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911F5B" w:rsidP="00911F5B">
      <w:pPr>
        <w:pStyle w:val="aff0"/>
        <w:rPr>
          <w:color w:val="000000"/>
        </w:rPr>
      </w:pPr>
    </w:p>
    <w:p w:rsidR="00911F5B" w:rsidRDefault="00BA2B2B" w:rsidP="00911F5B">
      <w:pPr>
        <w:pStyle w:val="aff0"/>
        <w:rPr>
          <w:color w:val="000000"/>
        </w:rPr>
      </w:pPr>
      <w:r w:rsidRPr="00911F5B">
        <w:rPr>
          <w:color w:val="000000"/>
        </w:rPr>
        <w:t>Контрольная работа</w:t>
      </w:r>
    </w:p>
    <w:p w:rsidR="00911F5B" w:rsidRDefault="00911F5B" w:rsidP="00911F5B">
      <w:pPr>
        <w:pStyle w:val="aff0"/>
        <w:rPr>
          <w:color w:val="000000"/>
        </w:rPr>
      </w:pPr>
      <w:r>
        <w:rPr>
          <w:color w:val="000000"/>
        </w:rPr>
        <w:t>"</w:t>
      </w:r>
      <w:r w:rsidR="00BA2B2B" w:rsidRPr="00911F5B">
        <w:rPr>
          <w:color w:val="000000"/>
        </w:rPr>
        <w:t>Опиоиды</w:t>
      </w:r>
      <w:r>
        <w:rPr>
          <w:color w:val="000000"/>
        </w:rPr>
        <w:t>"</w:t>
      </w:r>
    </w:p>
    <w:p w:rsidR="00911F5B" w:rsidRDefault="00BA2B2B" w:rsidP="003B1CE6">
      <w:r w:rsidRPr="00911F5B">
        <w:br w:type="page"/>
      </w:r>
      <w:r w:rsidR="003B1CE6">
        <w:t xml:space="preserve">1. </w:t>
      </w:r>
      <w:r w:rsidR="004D61B4" w:rsidRPr="00911F5B">
        <w:t>Что такое опиоиды</w:t>
      </w:r>
      <w:r w:rsidR="00911F5B" w:rsidRPr="00911F5B">
        <w:t>?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Опиоиды</w:t>
      </w:r>
      <w:r w:rsidR="00911F5B" w:rsidRPr="00911F5B">
        <w:rPr>
          <w:color w:val="000000"/>
        </w:rPr>
        <w:t xml:space="preserve"> - </w:t>
      </w:r>
      <w:r w:rsidRPr="00911F5B">
        <w:rPr>
          <w:color w:val="000000"/>
        </w:rPr>
        <w:t>это класс препаратов, выделенных из макового сока</w:t>
      </w:r>
      <w:r w:rsidR="00911F5B">
        <w:rPr>
          <w:color w:val="000000"/>
        </w:rPr>
        <w:t xml:space="preserve"> (</w:t>
      </w:r>
      <w:r w:rsidRPr="00911F5B">
        <w:rPr>
          <w:color w:val="000000"/>
          <w:lang w:val="en-US"/>
        </w:rPr>
        <w:t>Papaver</w:t>
      </w:r>
      <w:r w:rsidRPr="00911F5B">
        <w:rPr>
          <w:color w:val="000000"/>
        </w:rPr>
        <w:t xml:space="preserve"> </w:t>
      </w:r>
      <w:r w:rsidRPr="00911F5B">
        <w:rPr>
          <w:color w:val="000000"/>
          <w:lang w:val="en-US"/>
        </w:rPr>
        <w:t>somniferum</w:t>
      </w:r>
      <w:r w:rsidR="00911F5B" w:rsidRPr="00911F5B">
        <w:rPr>
          <w:color w:val="000000"/>
        </w:rPr>
        <w:t>),</w:t>
      </w:r>
      <w:r w:rsidRPr="00911F5B">
        <w:rPr>
          <w:color w:val="000000"/>
        </w:rPr>
        <w:t xml:space="preserve"> используемых в основном для аналгезии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Опиум</w:t>
      </w:r>
      <w:r w:rsidR="00911F5B">
        <w:rPr>
          <w:color w:val="000000"/>
        </w:rPr>
        <w:t xml:space="preserve"> (</w:t>
      </w:r>
      <w:r w:rsidRPr="00911F5B">
        <w:rPr>
          <w:color w:val="000000"/>
        </w:rPr>
        <w:t>от греч</w:t>
      </w:r>
      <w:r w:rsidR="00911F5B" w:rsidRPr="00911F5B">
        <w:rPr>
          <w:color w:val="000000"/>
        </w:rPr>
        <w:t>. -</w:t>
      </w:r>
      <w:r w:rsidR="00911F5B">
        <w:rPr>
          <w:color w:val="000000"/>
        </w:rPr>
        <w:t xml:space="preserve"> </w:t>
      </w:r>
      <w:r w:rsidRPr="00911F5B">
        <w:rPr>
          <w:color w:val="000000"/>
        </w:rPr>
        <w:t>сок</w:t>
      </w:r>
      <w:r w:rsidR="00911F5B" w:rsidRPr="00911F5B">
        <w:rPr>
          <w:color w:val="000000"/>
        </w:rPr>
        <w:t xml:space="preserve">) </w:t>
      </w:r>
      <w:r w:rsidRPr="00911F5B">
        <w:rPr>
          <w:color w:val="000000"/>
        </w:rPr>
        <w:t>содержит более 20 различных алкалоидов, которые делятся на два класса</w:t>
      </w:r>
      <w:r w:rsidR="00911F5B" w:rsidRPr="00911F5B">
        <w:rPr>
          <w:color w:val="000000"/>
        </w:rPr>
        <w:t xml:space="preserve">: </w:t>
      </w:r>
      <w:r w:rsidRPr="00911F5B">
        <w:rPr>
          <w:color w:val="000000"/>
        </w:rPr>
        <w:t>фенантрены и бензилизохинолоны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Морфин, кодеин и тебаин</w:t>
      </w:r>
      <w:r w:rsidR="00911F5B" w:rsidRPr="00911F5B">
        <w:rPr>
          <w:color w:val="000000"/>
        </w:rPr>
        <w:t xml:space="preserve"> - </w:t>
      </w:r>
      <w:r w:rsidRPr="00911F5B">
        <w:rPr>
          <w:color w:val="000000"/>
        </w:rPr>
        <w:t>основные представители фенантренов, тогда как папаверин и носкапин</w:t>
      </w:r>
      <w:r w:rsidR="00911F5B" w:rsidRPr="00911F5B">
        <w:rPr>
          <w:color w:val="000000"/>
        </w:rPr>
        <w:t xml:space="preserve"> - </w:t>
      </w:r>
      <w:r w:rsidRPr="00911F5B">
        <w:rPr>
          <w:color w:val="000000"/>
        </w:rPr>
        <w:t>главные представители бензилизохинолонов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Опиоидами называют любые препараты натурального происхождения</w:t>
      </w:r>
      <w:r w:rsidR="00911F5B">
        <w:rPr>
          <w:color w:val="000000"/>
        </w:rPr>
        <w:t xml:space="preserve"> (</w:t>
      </w:r>
      <w:r w:rsidRPr="00911F5B">
        <w:rPr>
          <w:color w:val="000000"/>
        </w:rPr>
        <w:t>из макового сока</w:t>
      </w:r>
      <w:r w:rsidR="00911F5B" w:rsidRPr="00911F5B">
        <w:rPr>
          <w:color w:val="000000"/>
        </w:rPr>
        <w:t>),</w:t>
      </w:r>
      <w:r w:rsidRPr="00911F5B">
        <w:rPr>
          <w:color w:val="000000"/>
        </w:rPr>
        <w:t xml:space="preserve"> произведенные из модифицированных натуральных компонентов</w:t>
      </w:r>
      <w:r w:rsidR="00911F5B">
        <w:rPr>
          <w:color w:val="000000"/>
        </w:rPr>
        <w:t xml:space="preserve"> (</w:t>
      </w:r>
      <w:r w:rsidRPr="00911F5B">
        <w:rPr>
          <w:color w:val="000000"/>
        </w:rPr>
        <w:t>полусинтетические</w:t>
      </w:r>
      <w:r w:rsidR="00911F5B" w:rsidRPr="00911F5B">
        <w:rPr>
          <w:color w:val="000000"/>
        </w:rPr>
        <w:t xml:space="preserve">) </w:t>
      </w:r>
      <w:r w:rsidRPr="00911F5B">
        <w:rPr>
          <w:color w:val="000000"/>
        </w:rPr>
        <w:t>или полностью промышленного производства</w:t>
      </w:r>
      <w:r w:rsidR="00911F5B">
        <w:rPr>
          <w:color w:val="000000"/>
        </w:rPr>
        <w:t xml:space="preserve"> (</w:t>
      </w:r>
      <w:r w:rsidRPr="00911F5B">
        <w:rPr>
          <w:color w:val="000000"/>
        </w:rPr>
        <w:t>синтетические</w:t>
      </w:r>
      <w:r w:rsidR="00911F5B" w:rsidRPr="00911F5B">
        <w:rPr>
          <w:color w:val="000000"/>
        </w:rPr>
        <w:t xml:space="preserve">). </w:t>
      </w:r>
      <w:r w:rsidRPr="00911F5B">
        <w:rPr>
          <w:color w:val="000000"/>
        </w:rPr>
        <w:t>Термин</w:t>
      </w:r>
      <w:r w:rsidR="00911F5B">
        <w:rPr>
          <w:color w:val="000000"/>
        </w:rPr>
        <w:t xml:space="preserve"> "</w:t>
      </w:r>
      <w:r w:rsidRPr="00911F5B">
        <w:rPr>
          <w:color w:val="000000"/>
        </w:rPr>
        <w:t>опиоид</w:t>
      </w:r>
      <w:r w:rsidR="00911F5B">
        <w:rPr>
          <w:color w:val="000000"/>
        </w:rPr>
        <w:t xml:space="preserve">" </w:t>
      </w:r>
      <w:r w:rsidRPr="00911F5B">
        <w:rPr>
          <w:color w:val="000000"/>
        </w:rPr>
        <w:t>касается всех препаратов</w:t>
      </w:r>
      <w:r w:rsidR="00911F5B" w:rsidRPr="00911F5B">
        <w:rPr>
          <w:color w:val="000000"/>
        </w:rPr>
        <w:t xml:space="preserve"> - </w:t>
      </w:r>
      <w:r w:rsidRPr="00911F5B">
        <w:rPr>
          <w:color w:val="000000"/>
        </w:rPr>
        <w:t>синтетических и натуральных, включая антагонисты</w:t>
      </w:r>
      <w:r w:rsidR="00911F5B" w:rsidRPr="00911F5B">
        <w:rPr>
          <w:color w:val="000000"/>
        </w:rPr>
        <w:t>.</w:t>
      </w:r>
    </w:p>
    <w:p w:rsidR="00911F5B" w:rsidRDefault="003B1CE6" w:rsidP="003B1CE6">
      <w:r>
        <w:t xml:space="preserve">2. </w:t>
      </w:r>
      <w:r w:rsidR="004D61B4" w:rsidRPr="00911F5B">
        <w:t>Дайте определение термину</w:t>
      </w:r>
      <w:r w:rsidR="00911F5B">
        <w:t xml:space="preserve"> "</w:t>
      </w:r>
      <w:r w:rsidR="004D61B4" w:rsidRPr="00911F5B">
        <w:t>наркотик</w:t>
      </w:r>
      <w:r>
        <w:t>".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Этот термин происходит от греческого слова, означающего ступор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В течение многих лет</w:t>
      </w:r>
      <w:r w:rsidR="00911F5B">
        <w:rPr>
          <w:color w:val="000000"/>
        </w:rPr>
        <w:t xml:space="preserve"> "</w:t>
      </w:r>
      <w:r w:rsidRPr="00911F5B">
        <w:rPr>
          <w:color w:val="000000"/>
        </w:rPr>
        <w:t>наркотиками</w:t>
      </w:r>
      <w:r w:rsidR="00911F5B">
        <w:rPr>
          <w:color w:val="000000"/>
        </w:rPr>
        <w:t xml:space="preserve">" </w:t>
      </w:r>
      <w:r w:rsidRPr="00911F5B">
        <w:rPr>
          <w:color w:val="000000"/>
        </w:rPr>
        <w:t>называли препараты с морфиноподобным действием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В настоящее время, однако, этот термин касается любого вещества, вызывающего зависимость, и больше не является специфичным определением опиоидов</w:t>
      </w:r>
      <w:r w:rsidR="00911F5B" w:rsidRPr="00911F5B">
        <w:rPr>
          <w:color w:val="000000"/>
        </w:rPr>
        <w:t>.</w:t>
      </w:r>
    </w:p>
    <w:p w:rsidR="00911F5B" w:rsidRDefault="003B1CE6" w:rsidP="003B1CE6">
      <w:r>
        <w:t xml:space="preserve">3. </w:t>
      </w:r>
      <w:r w:rsidR="004D61B4" w:rsidRPr="00911F5B">
        <w:t>Существуют ли эндогенные опиоиды</w:t>
      </w:r>
      <w:r w:rsidR="00911F5B" w:rsidRPr="00911F5B">
        <w:t>?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Да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Обнаружение специфических рецепторов для субстанций производных макового сока побудило к поиску возможных эндогенных опиоидов или эндорфинов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Эндорфины являются производными одной из трех молекул</w:t>
      </w:r>
      <w:r w:rsidR="00911F5B">
        <w:rPr>
          <w:color w:val="000000"/>
        </w:rPr>
        <w:t>:</w:t>
      </w:r>
    </w:p>
    <w:p w:rsidR="00911F5B" w:rsidRDefault="00911F5B" w:rsidP="00911F5B">
      <w:pPr>
        <w:rPr>
          <w:color w:val="000000"/>
        </w:rPr>
      </w:pPr>
      <w:r>
        <w:rPr>
          <w:color w:val="000000"/>
        </w:rPr>
        <w:t>1)</w:t>
      </w:r>
      <w:r w:rsidRPr="00911F5B">
        <w:rPr>
          <w:color w:val="000000"/>
        </w:rPr>
        <w:t xml:space="preserve"> </w:t>
      </w:r>
      <w:r w:rsidR="004D61B4" w:rsidRPr="00911F5B">
        <w:rPr>
          <w:color w:val="000000"/>
        </w:rPr>
        <w:t>проэнкефалина</w:t>
      </w:r>
      <w:r>
        <w:rPr>
          <w:color w:val="000000"/>
        </w:rPr>
        <w:t>,</w:t>
      </w:r>
    </w:p>
    <w:p w:rsidR="00911F5B" w:rsidRDefault="00911F5B" w:rsidP="00911F5B">
      <w:pPr>
        <w:rPr>
          <w:color w:val="000000"/>
        </w:rPr>
      </w:pPr>
      <w:r>
        <w:rPr>
          <w:color w:val="000000"/>
        </w:rPr>
        <w:t>2)</w:t>
      </w:r>
      <w:r w:rsidRPr="00911F5B">
        <w:rPr>
          <w:color w:val="000000"/>
        </w:rPr>
        <w:t xml:space="preserve"> </w:t>
      </w:r>
      <w:r w:rsidR="004D61B4" w:rsidRPr="00911F5B">
        <w:rPr>
          <w:color w:val="000000"/>
        </w:rPr>
        <w:t>про-опиомеланокортина и 3</w:t>
      </w:r>
      <w:r w:rsidRPr="00911F5B">
        <w:rPr>
          <w:color w:val="000000"/>
        </w:rPr>
        <w:t xml:space="preserve">) </w:t>
      </w:r>
      <w:r w:rsidR="004D61B4" w:rsidRPr="00911F5B">
        <w:rPr>
          <w:color w:val="000000"/>
        </w:rPr>
        <w:t>продинорфина</w:t>
      </w:r>
      <w:r w:rsidRPr="00911F5B">
        <w:rPr>
          <w:color w:val="000000"/>
        </w:rPr>
        <w:t>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Полагают, что опиоиды являются частью эндогенной антиноцицептивной системы</w:t>
      </w:r>
      <w:r w:rsidR="00911F5B" w:rsidRPr="00911F5B">
        <w:rPr>
          <w:color w:val="000000"/>
        </w:rPr>
        <w:t>.</w:t>
      </w:r>
    </w:p>
    <w:p w:rsidR="00911F5B" w:rsidRDefault="00A701A8" w:rsidP="003B1CE6">
      <w:r>
        <w:t xml:space="preserve">4. </w:t>
      </w:r>
      <w:r w:rsidR="004D61B4" w:rsidRPr="00911F5B">
        <w:t>Опишите рецепторы, на которые воздействуют опиоиды</w:t>
      </w:r>
      <w:r w:rsidR="003B1CE6">
        <w:t>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1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Мю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Прототипом эндогенных лиганд является морфин</w:t>
      </w:r>
      <w:r w:rsidR="00911F5B" w:rsidRPr="00911F5B">
        <w:rPr>
          <w:color w:val="000000"/>
        </w:rPr>
        <w:t>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Мю-1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Главным результатом воздействия на этот рецептор является аналгезия, эндогенным лигандом является энкефалин</w:t>
      </w:r>
      <w:r w:rsidR="00911F5B" w:rsidRPr="00911F5B">
        <w:rPr>
          <w:color w:val="000000"/>
        </w:rPr>
        <w:t>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Мю-2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При связи с этим рецептором развиваются депрессия дыхания, брадикардия, физическая зависимость, эйфория и парез кишечника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Эндогенные лиганды не определены</w:t>
      </w:r>
      <w:r w:rsidR="00911F5B" w:rsidRPr="00911F5B">
        <w:rPr>
          <w:color w:val="000000"/>
        </w:rPr>
        <w:t>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Дельта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Эти рецепторы модулируют активность мю-рецепторов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Полагают, что мю-и дельта-рецепторы существуют вместе как комплекс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Они более высоко селективны для эндогенных энкефалинов, но все равно связываются с опиоидами</w:t>
      </w:r>
      <w:r w:rsidR="00911F5B" w:rsidRPr="00911F5B">
        <w:rPr>
          <w:color w:val="000000"/>
        </w:rPr>
        <w:t>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Каппа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Кетоциклозацин и динорфин являются прототипом экзогенных и эндогенных лиганд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Результатом воздействия на эти рецепторы является аналгезия, седация, дисфория и психомиметические эффекты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Связывание с каппа-рецептором подавляет высвобождение вазопрессина, что приводит к повышению диуреза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Чистые каппа-агонисты не вызывают депрессию дыхания</w:t>
      </w:r>
      <w:r w:rsidR="00911F5B" w:rsidRPr="00911F5B">
        <w:rPr>
          <w:color w:val="000000"/>
        </w:rPr>
        <w:t>.</w:t>
      </w:r>
    </w:p>
    <w:p w:rsidR="00911F5B" w:rsidRDefault="004D61B4" w:rsidP="00911F5B">
      <w:pPr>
        <w:rPr>
          <w:color w:val="000000"/>
        </w:rPr>
      </w:pPr>
      <w:r w:rsidRPr="00911F5B">
        <w:rPr>
          <w:color w:val="000000"/>
        </w:rPr>
        <w:t>Сигма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  <w:lang w:val="en-US"/>
        </w:rPr>
        <w:t>N</w:t>
      </w:r>
      <w:r w:rsidRPr="00911F5B">
        <w:rPr>
          <w:color w:val="000000"/>
        </w:rPr>
        <w:t>-аллилметазоцин является прототипом экзогенных лиганд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Этот рецептор содержит участки для связывания не только с опиатами, но и с другими видами веществ</w:t>
      </w:r>
      <w:r w:rsidR="00911F5B" w:rsidRPr="00911F5B">
        <w:rPr>
          <w:color w:val="000000"/>
        </w:rPr>
        <w:t xml:space="preserve">. </w:t>
      </w:r>
      <w:r w:rsidRPr="00911F5B">
        <w:rPr>
          <w:color w:val="000000"/>
        </w:rPr>
        <w:t>Дисфория, гипертония, тахикардия, тахипноэ и мидриаз являются результатом воздействия на сигма-рецепторы</w:t>
      </w:r>
      <w:r w:rsidR="00911F5B" w:rsidRPr="00911F5B">
        <w:rPr>
          <w:color w:val="000000"/>
        </w:rPr>
        <w:t>.</w:t>
      </w:r>
    </w:p>
    <w:p w:rsidR="00911F5B" w:rsidRDefault="00A701A8" w:rsidP="00911F5B">
      <w:pPr>
        <w:rPr>
          <w:color w:val="000000"/>
        </w:rPr>
      </w:pPr>
      <w:r>
        <w:rPr>
          <w:color w:val="000000"/>
        </w:rPr>
        <w:t>5</w:t>
      </w:r>
      <w:r w:rsidR="003B1CE6">
        <w:rPr>
          <w:color w:val="000000"/>
        </w:rPr>
        <w:t xml:space="preserve">. </w:t>
      </w:r>
      <w:r w:rsidR="004D61B4" w:rsidRPr="00911F5B">
        <w:rPr>
          <w:color w:val="000000"/>
        </w:rPr>
        <w:t>Назовите опиоиды, часто используемые в периоперационном периоде, их торговые названия, периоды полувыведения, дозы, эквивалентные морфину, и класс препарата</w:t>
      </w:r>
      <w:r w:rsidR="00911F5B" w:rsidRPr="00911F5B">
        <w:rPr>
          <w:color w:val="000000"/>
        </w:rPr>
        <w:t>.</w:t>
      </w:r>
    </w:p>
    <w:p w:rsidR="003B1CE6" w:rsidRDefault="003B1CE6" w:rsidP="00911F5B">
      <w:pPr>
        <w:rPr>
          <w:color w:val="000000"/>
        </w:rPr>
      </w:pPr>
    </w:p>
    <w:p w:rsidR="004D61B4" w:rsidRPr="00911F5B" w:rsidRDefault="004D61B4" w:rsidP="00911F5B">
      <w:pPr>
        <w:rPr>
          <w:color w:val="000000"/>
        </w:rPr>
      </w:pPr>
      <w:r w:rsidRPr="00911F5B">
        <w:rPr>
          <w:color w:val="000000"/>
        </w:rPr>
        <w:t>Наиболее часто используемые опиоиды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519"/>
        <w:gridCol w:w="2077"/>
        <w:gridCol w:w="1835"/>
        <w:gridCol w:w="783"/>
        <w:gridCol w:w="1405"/>
      </w:tblGrid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опиоид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ТОРГОВОЕ НАЗВАНИЕ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ПЕРИОД ПОЛУВЫВЕДЕНИЯ, ч</w:t>
            </w:r>
          </w:p>
        </w:tc>
        <w:tc>
          <w:tcPr>
            <w:tcW w:w="1441" w:type="pct"/>
            <w:gridSpan w:val="2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ДОЗЫ, ЭКВИВАЛЕНТНЫЕ МОРФИНУ, мг</w:t>
            </w:r>
          </w:p>
          <w:p w:rsidR="004D61B4" w:rsidRPr="00911F5B" w:rsidRDefault="004D61B4" w:rsidP="003B1CE6">
            <w:pPr>
              <w:pStyle w:val="af9"/>
            </w:pPr>
            <w:r w:rsidRPr="00911F5B">
              <w:t>В/М, В/В ВНУТРЬ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КЛАСС ПРЕПАРАТА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Морфин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Морфина суль-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2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10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60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фат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Фентанил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Сублимаз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3-4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0,1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Суфентанил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Суфента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2-3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0,01-0,02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Меперидин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Демерол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3-4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75-100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300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Альфе нтан ил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Альфента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1-1,5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0,5-1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Кодеин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Тайленол 3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2-4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130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200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Гидрокодон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Викодин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4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30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Оксикодон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Перкосет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30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Гидроморфон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Дилаидид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2-3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1,2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7,5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Метало н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Долофин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15-40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20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Ремифентанил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Ултива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&lt;1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-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Трамадол</w:t>
            </w: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Ультрам</w:t>
            </w: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3-4</w:t>
            </w: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100</w:t>
            </w: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120</w:t>
            </w: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Агонист час-</w:t>
            </w:r>
          </w:p>
        </w:tc>
      </w:tr>
      <w:tr w:rsidR="00911F5B" w:rsidRPr="00002B50" w:rsidTr="00002B50">
        <w:trPr>
          <w:jc w:val="center"/>
        </w:trPr>
        <w:tc>
          <w:tcPr>
            <w:tcW w:w="807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836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114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1010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431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</w:p>
        </w:tc>
        <w:tc>
          <w:tcPr>
            <w:tcW w:w="773" w:type="pct"/>
            <w:shd w:val="clear" w:color="auto" w:fill="auto"/>
          </w:tcPr>
          <w:p w:rsidR="004D61B4" w:rsidRPr="00911F5B" w:rsidRDefault="004D61B4" w:rsidP="003B1CE6">
            <w:pPr>
              <w:pStyle w:val="af9"/>
            </w:pPr>
            <w:r w:rsidRPr="00911F5B">
              <w:t>тичный</w:t>
            </w:r>
          </w:p>
        </w:tc>
      </w:tr>
    </w:tbl>
    <w:p w:rsidR="004D61B4" w:rsidRPr="00911F5B" w:rsidRDefault="004D61B4" w:rsidP="00911F5B">
      <w:pPr>
        <w:rPr>
          <w:color w:val="000000"/>
          <w:sz w:val="20"/>
          <w:szCs w:val="20"/>
        </w:rPr>
      </w:pP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>6</w:t>
      </w:r>
      <w:r w:rsidR="003B1CE6" w:rsidRPr="00276D92">
        <w:rPr>
          <w:color w:val="000000"/>
        </w:rPr>
        <w:t xml:space="preserve">. </w:t>
      </w:r>
      <w:r w:rsidR="004D61B4" w:rsidRPr="00276D92">
        <w:rPr>
          <w:color w:val="000000"/>
        </w:rPr>
        <w:t>Применяются ли опиоиды для регионарной анестезии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Поскольку опиодные рецепторы существуют и в спинном мозге, возможно интратекаль-ное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субарахноидальное</w:t>
      </w:r>
      <w:r w:rsidR="00911F5B" w:rsidRPr="00276D92">
        <w:rPr>
          <w:color w:val="000000"/>
        </w:rPr>
        <w:t xml:space="preserve">) </w:t>
      </w:r>
      <w:r w:rsidRPr="00276D92">
        <w:rPr>
          <w:color w:val="000000"/>
        </w:rPr>
        <w:t>или эпидуральное применение опиоидов для периоперационной аналгезии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Спинальное применение опиоидов не обеспечивает соответствующее состояние для проведения хирургического вмешательства, но снижает потребность в ингаляционных анестетиках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Нейроаксиальное введение опиоидов тоже можно использовать для лечения послеоперационной боли, и в отличие от спинального применения местных анестетиков, они не влияют на симпатическую нервную систему, мышечный тонус или проприоцепцию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Например, эпидуральная инфузия морфина обеспечивает такую же аналгезию, как инфузия 0,5% раствора бупивакаина, но более длительную и с меньшей частотой развития гипотонии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По сравнению с парентеральным применение опиоидов, спинальный путь имеет ряд преимуществ</w:t>
      </w:r>
      <w:r w:rsidR="00911F5B" w:rsidRPr="00276D92">
        <w:rPr>
          <w:color w:val="000000"/>
        </w:rPr>
        <w:t>:</w:t>
      </w:r>
    </w:p>
    <w:p w:rsidR="00911F5B" w:rsidRPr="00276D92" w:rsidRDefault="00911F5B" w:rsidP="00911F5B">
      <w:pPr>
        <w:rPr>
          <w:color w:val="000000"/>
        </w:rPr>
      </w:pPr>
      <w:r w:rsidRPr="00276D92">
        <w:rPr>
          <w:color w:val="000000"/>
        </w:rPr>
        <w:t xml:space="preserve">1) </w:t>
      </w:r>
      <w:r w:rsidR="004D61B4" w:rsidRPr="00276D92">
        <w:rPr>
          <w:color w:val="000000"/>
        </w:rPr>
        <w:t>обладают более мощным действием</w:t>
      </w:r>
      <w:r w:rsidRPr="00276D92">
        <w:rPr>
          <w:color w:val="000000"/>
        </w:rPr>
        <w:t>;</w:t>
      </w:r>
    </w:p>
    <w:p w:rsidR="00911F5B" w:rsidRPr="00276D92" w:rsidRDefault="00911F5B" w:rsidP="00911F5B">
      <w:pPr>
        <w:rPr>
          <w:color w:val="000000"/>
        </w:rPr>
      </w:pPr>
      <w:r w:rsidRPr="00276D92">
        <w:rPr>
          <w:color w:val="000000"/>
        </w:rPr>
        <w:t xml:space="preserve">2) </w:t>
      </w:r>
      <w:r w:rsidR="004D61B4" w:rsidRPr="00276D92">
        <w:rPr>
          <w:color w:val="000000"/>
        </w:rPr>
        <w:t>снижается суточная потребность в препарате</w:t>
      </w:r>
      <w:r w:rsidRPr="00276D92">
        <w:rPr>
          <w:color w:val="000000"/>
        </w:rPr>
        <w:t>;</w:t>
      </w:r>
    </w:p>
    <w:p w:rsidR="00911F5B" w:rsidRPr="00276D92" w:rsidRDefault="00911F5B" w:rsidP="00911F5B">
      <w:pPr>
        <w:rPr>
          <w:color w:val="000000"/>
        </w:rPr>
      </w:pPr>
      <w:r w:rsidRPr="00276D92">
        <w:rPr>
          <w:color w:val="000000"/>
        </w:rPr>
        <w:t xml:space="preserve">3) </w:t>
      </w:r>
      <w:r w:rsidR="004D61B4" w:rsidRPr="00276D92">
        <w:rPr>
          <w:color w:val="000000"/>
        </w:rPr>
        <w:t>меньше угнетается ЦНС</w:t>
      </w:r>
      <w:r w:rsidRPr="00276D92">
        <w:rPr>
          <w:color w:val="000000"/>
        </w:rPr>
        <w:t>;</w:t>
      </w:r>
    </w:p>
    <w:p w:rsidR="00911F5B" w:rsidRPr="00276D92" w:rsidRDefault="00911F5B" w:rsidP="00911F5B">
      <w:pPr>
        <w:rPr>
          <w:color w:val="000000"/>
        </w:rPr>
      </w:pPr>
      <w:r w:rsidRPr="00276D92">
        <w:rPr>
          <w:color w:val="000000"/>
        </w:rPr>
        <w:t xml:space="preserve">4) </w:t>
      </w:r>
      <w:r w:rsidR="004D61B4" w:rsidRPr="00276D92">
        <w:rPr>
          <w:color w:val="000000"/>
        </w:rPr>
        <w:t>снижается частота развития паралитической кишечной непроходимости</w:t>
      </w:r>
      <w:r w:rsidRPr="00276D92">
        <w:rPr>
          <w:color w:val="000000"/>
        </w:rPr>
        <w:t>;</w:t>
      </w:r>
    </w:p>
    <w:p w:rsidR="00911F5B" w:rsidRPr="00276D92" w:rsidRDefault="00911F5B" w:rsidP="00911F5B">
      <w:pPr>
        <w:rPr>
          <w:color w:val="000000"/>
        </w:rPr>
      </w:pPr>
      <w:r w:rsidRPr="00276D92">
        <w:rPr>
          <w:color w:val="000000"/>
        </w:rPr>
        <w:t xml:space="preserve">5) </w:t>
      </w:r>
      <w:r w:rsidR="004D61B4" w:rsidRPr="00276D92">
        <w:rPr>
          <w:color w:val="000000"/>
        </w:rPr>
        <w:t>снижается риск развития зависимости</w:t>
      </w:r>
      <w:r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7. </w:t>
      </w:r>
      <w:r w:rsidR="004D61B4" w:rsidRPr="00276D92">
        <w:rPr>
          <w:color w:val="000000"/>
        </w:rPr>
        <w:t>Каковы побочные эффекты спинального применения опиоидов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Зуд, тошнота и рвота, задержка мочеиспускания, депрессия дыхания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8. </w:t>
      </w:r>
      <w:r w:rsidR="004D61B4" w:rsidRPr="00276D92">
        <w:rPr>
          <w:color w:val="000000"/>
        </w:rPr>
        <w:t>Объясните механизм нейроаксиального действия опиоидов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Опиоиды при введении в субарахноидальное или эпидуральное пространство связываются с опиатными рецепторами заднего корешка спинного мозга, а более точно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с желатиноз-ной субстанцией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 xml:space="preserve">Эта область спинного мозга проводит поступающую </w:t>
      </w:r>
      <w:r w:rsidR="00911F5B" w:rsidRPr="00276D92">
        <w:rPr>
          <w:color w:val="000000"/>
        </w:rPr>
        <w:t>информацию о боли и содержит мю</w:t>
      </w:r>
      <w:r w:rsidRPr="00276D92">
        <w:rPr>
          <w:color w:val="000000"/>
        </w:rPr>
        <w:t>, дельта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и каппа-рецепторы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Мю-1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и дельта-рецепторы при их активации снижают соматическую боль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Как каппа-, так и мю-1-рецепторы подавляют висцеральную боль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Полагают, что при активации каппа-рецепторов подавляется высвобождение субстанции Р блокадой тока кальция, входящего в нейрон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9. </w:t>
      </w:r>
      <w:r w:rsidR="004D61B4" w:rsidRPr="00276D92">
        <w:rPr>
          <w:color w:val="000000"/>
        </w:rPr>
        <w:t>Опишите, как растворимость в жирах влияет на действие опиоидов при спинальном введении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Липофильные опиоиды без труда проникают через оболочки спинного мозга и характеризуются быстрым началом действия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Гидрофильные опиоиды проникают через эти ткани более медленно и, соответственно, начало их действия замедленно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Однако липофильные агенты, вероятно, быстрее абсорбируются в сосудистое русло и жировую ткань и имеют более короткую длительность действия, чем гидрофильные препараты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Метаболизм не оказывает влияния на длительность действия опиоидов при их спинальном введении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Длительность действия липофильных опиоидов ограничена системной абсорбцией, тогда как действие гидрофильных препаратов ограничивается абсорбцией арахноидальными грануляциями при его ростральном распространении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Гидрофильные препараты дольше остаются в цереброспинальной жидкости и медленнее распространяются вверх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Липофильные препараты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фентанил, суфентанил</w:t>
      </w:r>
      <w:r w:rsidR="00911F5B" w:rsidRPr="00276D92">
        <w:rPr>
          <w:color w:val="000000"/>
        </w:rPr>
        <w:t xml:space="preserve">) </w:t>
      </w:r>
      <w:r w:rsidRPr="00276D92">
        <w:rPr>
          <w:color w:val="000000"/>
        </w:rPr>
        <w:t>соответственно оказывают эффект в месте введения опиоида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Гидрофильные препараты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морфин</w:t>
      </w:r>
      <w:r w:rsidR="00911F5B" w:rsidRPr="00276D92">
        <w:rPr>
          <w:color w:val="000000"/>
        </w:rPr>
        <w:t>),</w:t>
      </w:r>
      <w:r w:rsidRPr="00276D92">
        <w:rPr>
          <w:color w:val="000000"/>
        </w:rPr>
        <w:t xml:space="preserve"> в соответствии с процедурой, действуют не только в месте инъекции, но и распространяются дистальней места хирургической стимуляции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Побочные эффекты при спинальном введении опиоидо</w:t>
      </w:r>
      <w:r w:rsidR="00A701A8" w:rsidRPr="00276D92">
        <w:rPr>
          <w:color w:val="000000"/>
        </w:rPr>
        <w:t>в также связаны с их жирораство</w:t>
      </w:r>
      <w:r w:rsidRPr="00276D92">
        <w:rPr>
          <w:color w:val="000000"/>
        </w:rPr>
        <w:t>римостью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Липофильные агенты быстрее абсорбируются в местный кровоток, где достигают значительной концентрации и могут вызвать обычные побочные эффекты, характерные для парентерального введения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Липофильные препараты, которые распространяются рострально, могут вызывать депрессию дыхательного центра даже спустя несколько часов после введения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10. </w:t>
      </w:r>
      <w:r w:rsidR="004D61B4" w:rsidRPr="00276D92">
        <w:rPr>
          <w:color w:val="000000"/>
        </w:rPr>
        <w:t>Каково действие комбинации малых доз местного анестетика и опиоида при послеоперационном введении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Факты свидетельствуют о том, что такая комбинация обеспечивает потенцированный анальгетический эффект, аналгезия более качественна, чем при раздельном введении этих препаратов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Этот метод позволяет снизить дозы обоих препаратов, соответственно потенциально уменьшить побочные эффекты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>11</w:t>
      </w:r>
      <w:r w:rsidR="00911F5B" w:rsidRPr="00276D92">
        <w:rPr>
          <w:color w:val="000000"/>
        </w:rPr>
        <w:t xml:space="preserve">. </w:t>
      </w:r>
      <w:r w:rsidR="004D61B4" w:rsidRPr="00276D92">
        <w:rPr>
          <w:color w:val="000000"/>
        </w:rPr>
        <w:t>Опишите начало действия, длительность и время элиминации наиболее часто назначаемых опиоидов</w:t>
      </w:r>
      <w:r w:rsidR="00911F5B" w:rsidRPr="00276D92">
        <w:rPr>
          <w:color w:val="000000"/>
        </w:rPr>
        <w:t xml:space="preserve"> - </w:t>
      </w:r>
      <w:r w:rsidR="004D61B4" w:rsidRPr="00276D92">
        <w:rPr>
          <w:color w:val="000000"/>
        </w:rPr>
        <w:t>морфина и фентанила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Начало действия более быстрое у фентанила, чем у морфина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Действие фентанила развивается уже через 30 с после в/в введения, тогда как действие морфина развивается через несколько минут, пик действия морфина развивается через 10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15 мин после в/в введения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Длительность действия также короче у фентанила, чем у морфина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Фентанил имеет более длительный период полувыведения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185-219 мин</w:t>
      </w:r>
      <w:r w:rsidR="00911F5B" w:rsidRPr="00276D92">
        <w:rPr>
          <w:color w:val="000000"/>
        </w:rPr>
        <w:t>),</w:t>
      </w:r>
      <w:r w:rsidRPr="00276D92">
        <w:rPr>
          <w:color w:val="000000"/>
        </w:rPr>
        <w:t xml:space="preserve"> чем морфин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114 мин</w:t>
      </w:r>
      <w:r w:rsidR="00911F5B" w:rsidRPr="00276D92">
        <w:rPr>
          <w:color w:val="000000"/>
        </w:rPr>
        <w:t>).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12. </w:t>
      </w:r>
      <w:r w:rsidR="004D61B4" w:rsidRPr="00276D92">
        <w:rPr>
          <w:color w:val="000000"/>
        </w:rPr>
        <w:t>Объясните, почему фентанил, действуя в течение более короткого времени, имеет более длительный период полувыведения, чем морфин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Фентанил лучше растворим в жирах, чем морфин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Таким образом, он быстрее перераспределяется в другие ткани, такие как жировая клетчатка и скелетные мышцы, после начального распределения в хорошо кровоснабжаемых тканях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Во-вторых, 75% дозы фентанила абсорбируется легкими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феномен, называемый эффектом первого прохождения через легкие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Таким образом, длительность действия фентанила определяется не элиминацией, а перераспределением и эффектом первого прохождения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После перераспределения фентанил медленно высвобождается в плазму, после чего, возможно, подвергается печеночному метаболизму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Размер молекулы, ионизация, растворимость в жирах, связывание с белками и элиминация определяют начало и длительность действия других опиоидов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13. </w:t>
      </w:r>
      <w:r w:rsidR="004D61B4" w:rsidRPr="00276D92">
        <w:rPr>
          <w:color w:val="000000"/>
        </w:rPr>
        <w:t>Что такое ремифентанил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Ремифентанил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опиоидный агонист очень короткого действия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В отличие от других опи-одов, он разрушается неспецифическими эстеразами в крови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Клиренс препарата не связан с действием псевдохолинэстеразы или ингибиторами холинэстеразы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Фармакокинетика реми-фентанила не зависит от функции почек и печени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Ремифентанил в 20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40 раз сильнее альфен-танила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Пик действия наступает через 1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3 мин, длительность действия составляет 5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10 мин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Ремифентанил может применяться для аналгезии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дополняя инфильтрационную анестезию местными анестетиками</w:t>
      </w:r>
      <w:r w:rsidR="00911F5B" w:rsidRPr="00276D92">
        <w:rPr>
          <w:color w:val="000000"/>
        </w:rPr>
        <w:t xml:space="preserve">) </w:t>
      </w:r>
      <w:r w:rsidRPr="00276D92">
        <w:rPr>
          <w:color w:val="000000"/>
        </w:rPr>
        <w:t>для управляемой анестезии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в дозе 0,025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0,2 мкг/кг/мин</w:t>
      </w:r>
      <w:r w:rsidR="00911F5B" w:rsidRPr="00276D92">
        <w:rPr>
          <w:color w:val="000000"/>
        </w:rPr>
        <w:t xml:space="preserve">). </w:t>
      </w:r>
      <w:r w:rsidRPr="00276D92">
        <w:rPr>
          <w:color w:val="000000"/>
        </w:rPr>
        <w:t>Инфузию можно начинать вслед за в/в введением болюсной дозы в 1 мкг/кг через 30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60 с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Альтернативой является введение ремифентала при общей анестезии в виде инфузии со скоростью 0,5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1 мкг/кг/мин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При использовании таких мощных опиодов необходим тщательный мониторинг для раннего выявления депрессии дыхания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Одним из возможных осложнений является ригидность грудной клетки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В любых ситуациях, связанных с болью после манипуляции, длительно действующие опиоиды должны назначаться своевременно, чтобы пациент не испытывал значительный и излишний дискомфорт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14. </w:t>
      </w:r>
      <w:r w:rsidR="004D61B4" w:rsidRPr="00276D92">
        <w:rPr>
          <w:color w:val="000000"/>
        </w:rPr>
        <w:t>Что такое трамадол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Трамадол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уникальный анальгетик с опиоидоподобным действием и способностью подавлять обратный захват катехоламинов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Такие свойства позволяют использовать препарат для лечения как острой, так и хронической боли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Возможно, его применение несет меньший риск развития толерантности или зависимости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Главные</w:t>
      </w:r>
      <w:r w:rsidR="00A701A8" w:rsidRPr="00276D92">
        <w:rPr>
          <w:color w:val="000000"/>
        </w:rPr>
        <w:t xml:space="preserve"> побочные эффекты включают седа</w:t>
      </w:r>
      <w:r w:rsidRPr="00276D92">
        <w:rPr>
          <w:color w:val="000000"/>
        </w:rPr>
        <w:t>цию и головокружение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Сообщалось о редком побочном эффекте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развитии судорог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Следовательно, этот препарат должен использоваться с осторожностью у всех пациентов с указанием в анамнезе на судорожный синдром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15. </w:t>
      </w:r>
      <w:r w:rsidR="004D61B4" w:rsidRPr="00276D92">
        <w:rPr>
          <w:color w:val="000000"/>
        </w:rPr>
        <w:t>Что представляет из себя фентаниловый пластырь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Фентаниловый пластырь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своеобразная лекарственная форма для транедермального введения опиоида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Пластырь содержит большую дозу фентанила, равную 10 мг, упакованную в микропористую мембрану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Большое количество фентанила в резервуаре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источнике</w:t>
      </w:r>
      <w:r w:rsidR="00911F5B" w:rsidRPr="00276D92">
        <w:rPr>
          <w:color w:val="000000"/>
        </w:rPr>
        <w:t xml:space="preserve">) </w:t>
      </w:r>
      <w:r w:rsidRPr="00276D92">
        <w:rPr>
          <w:color w:val="000000"/>
        </w:rPr>
        <w:t>обеспечивает градиент диффузии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Требуется приблизительно 8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12 ч, чтобы достигнуть устойчивой концентрации после размещения пластыря на коже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Пластырь обычно меняют каждые 72 ч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Так как пластырь выпускается только в фиксированной дозе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25, 75 или 100 мкг/ч</w:t>
      </w:r>
      <w:r w:rsidR="00911F5B" w:rsidRPr="00276D92">
        <w:rPr>
          <w:color w:val="000000"/>
        </w:rPr>
        <w:t>),</w:t>
      </w:r>
      <w:r w:rsidRPr="00276D92">
        <w:rPr>
          <w:color w:val="000000"/>
        </w:rPr>
        <w:t xml:space="preserve"> нет возможности ее титрования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Однако это может быть альтернативой в лечении хронической боли, когда оральный путь введения невозможен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Интересно, что существуют формы фентанила для введения через слизистую оболочку</w:t>
      </w:r>
      <w:r w:rsidR="00911F5B" w:rsidRPr="00276D92">
        <w:rPr>
          <w:color w:val="000000"/>
        </w:rPr>
        <w:t xml:space="preserve"> - "</w:t>
      </w:r>
      <w:r w:rsidRPr="00276D92">
        <w:rPr>
          <w:color w:val="000000"/>
        </w:rPr>
        <w:t>фентаниловые леденцы</w:t>
      </w:r>
      <w:r w:rsidR="00911F5B" w:rsidRPr="00276D92">
        <w:rPr>
          <w:color w:val="000000"/>
        </w:rPr>
        <w:t xml:space="preserve">", </w:t>
      </w:r>
      <w:r w:rsidRPr="00276D92">
        <w:rPr>
          <w:color w:val="000000"/>
        </w:rPr>
        <w:t>используемые в детской практике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16. </w:t>
      </w:r>
      <w:r w:rsidR="004D61B4" w:rsidRPr="00276D92">
        <w:rPr>
          <w:color w:val="000000"/>
        </w:rPr>
        <w:t>Объясните, почему у больных с почечной недостаточностью после применения морфина развивается длительная депрессия дыхания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Морфин метабол и зируется в печени до морфин-3-глюкуронида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75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80%</w:t>
      </w:r>
      <w:r w:rsidR="00911F5B" w:rsidRPr="00276D92">
        <w:rPr>
          <w:color w:val="000000"/>
        </w:rPr>
        <w:t xml:space="preserve">) </w:t>
      </w:r>
      <w:r w:rsidRPr="00276D92">
        <w:rPr>
          <w:color w:val="000000"/>
        </w:rPr>
        <w:t>и морфин-6-глю-куронида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5</w:t>
      </w:r>
      <w:r w:rsidR="00911F5B" w:rsidRPr="00276D92">
        <w:rPr>
          <w:color w:val="000000"/>
        </w:rPr>
        <w:t>-</w:t>
      </w:r>
      <w:r w:rsidRPr="00276D92">
        <w:rPr>
          <w:color w:val="000000"/>
        </w:rPr>
        <w:t>10%</w:t>
      </w:r>
      <w:r w:rsidR="00911F5B" w:rsidRPr="00276D92">
        <w:rPr>
          <w:color w:val="000000"/>
        </w:rPr>
        <w:t xml:space="preserve">). </w:t>
      </w:r>
      <w:r w:rsidRPr="00276D92">
        <w:rPr>
          <w:color w:val="000000"/>
        </w:rPr>
        <w:t>Оба компонента выводятся почками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Морфин-6-глюкуронид является активным метаболитом и может накапливаться при почечной недостаточности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Таким образом, у пациентов с ослабленной функцией почек морфин должен использоваться с осторожностью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17. </w:t>
      </w:r>
      <w:r w:rsidR="004D61B4" w:rsidRPr="00276D92">
        <w:rPr>
          <w:color w:val="000000"/>
        </w:rPr>
        <w:t>Опишите сердечно-сосудистые эффекты опиоидных агонистов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Опиоиды считаются препаратами, стабилизирующими сердечно-сосудистую систему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Эти препараты часто используются как единственный компонент при анестезии в кардиохирургии, так как минимально влияют на гемодинамику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но они не вызывают амнезии</w:t>
      </w:r>
      <w:r w:rsidR="00911F5B" w:rsidRPr="00276D92">
        <w:rPr>
          <w:color w:val="000000"/>
        </w:rPr>
        <w:t xml:space="preserve">). </w:t>
      </w:r>
      <w:r w:rsidRPr="00276D92">
        <w:rPr>
          <w:color w:val="000000"/>
        </w:rPr>
        <w:t>Однако важно знать следующие сердечно-сосудистые эффекты опиоидов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Опиоиды могут вызвать дозозависимую брадикардию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Этот эффект, вероятно, является вторичным, опосредованным центральной стимуляцией ядер блуждающего нерва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Антихолинергические препараты могут использоваться для блокирования или ликвидации этого эффекта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Исключением из правила является тахикардия, которая развивается под влиянием меперидина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Поскольку структура меперидина схожа с атропином, могут выявляться атропиноподобные эффекты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Кроме того, меперидин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единственный препарат среди опиоидов, обладающий в клинически значимых дозах отрицательным инотропным действием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Некоторые опиоиды обладают способностью вызывать высвобождение гистамина, который, в свою оче</w:t>
      </w:r>
      <w:r w:rsidR="00A701A8" w:rsidRPr="00276D92">
        <w:rPr>
          <w:color w:val="000000"/>
        </w:rPr>
        <w:t>редь, способен вызвать вазодила</w:t>
      </w:r>
      <w:r w:rsidRPr="00276D92">
        <w:rPr>
          <w:color w:val="000000"/>
        </w:rPr>
        <w:t>тацию и гипотензию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18. </w:t>
      </w:r>
      <w:r w:rsidR="004D61B4" w:rsidRPr="00276D92">
        <w:rPr>
          <w:color w:val="000000"/>
        </w:rPr>
        <w:t>Какие опиоиды стимулируют высвобождение гистамина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Морфин, кодеин и демерол стимулируют выброс гистамина, который вызывает</w:t>
      </w:r>
      <w:r w:rsidR="00A701A8" w:rsidRPr="00276D92">
        <w:rPr>
          <w:color w:val="000000"/>
        </w:rPr>
        <w:t xml:space="preserve"> вазодила</w:t>
      </w:r>
      <w:r w:rsidRPr="00276D92">
        <w:rPr>
          <w:color w:val="000000"/>
        </w:rPr>
        <w:t>тацию, сопровождающуюся гипотензией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Фентанил, суфентанил и альфентанил не стимулируют выброс гистамина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19. </w:t>
      </w:r>
      <w:r w:rsidR="004D61B4" w:rsidRPr="00276D92">
        <w:rPr>
          <w:color w:val="000000"/>
        </w:rPr>
        <w:t>Опишите характерные изменения дыхания, вызываемые применением опиоидов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Вначале опиоиды снижают частоту дыхания, не уменьшая дыхательного объема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Высокие дозы снижают дыхательный объем, а очень высокие</w:t>
      </w:r>
      <w:r w:rsidR="00911F5B" w:rsidRPr="00276D92">
        <w:rPr>
          <w:color w:val="000000"/>
        </w:rPr>
        <w:t xml:space="preserve"> - </w:t>
      </w:r>
      <w:r w:rsidRPr="00276D92">
        <w:rPr>
          <w:color w:val="000000"/>
        </w:rPr>
        <w:t>вызывают апноэ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Этот паттерн противоположен быстрому, поверхностному дыханию при действии большинства ингаляционных анестетиков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Опиоиды также вызывают неправильный ритм дыхания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20. </w:t>
      </w:r>
      <w:r w:rsidR="004D61B4" w:rsidRPr="00276D92">
        <w:rPr>
          <w:color w:val="000000"/>
        </w:rPr>
        <w:t>Объясните воздействие опиоидов на вентиляцию при стимуляции углекислотой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 xml:space="preserve">Опиоиды сдвигают кривую ответа на углекислоту вправо, </w:t>
      </w:r>
      <w:r w:rsidR="00911F5B" w:rsidRPr="00276D92">
        <w:rPr>
          <w:color w:val="000000"/>
        </w:rPr>
        <w:t xml:space="preserve">т.е. </w:t>
      </w:r>
      <w:r w:rsidRPr="00276D92">
        <w:rPr>
          <w:color w:val="000000"/>
        </w:rPr>
        <w:t>при очень высокой концентрации углекислоты в крови вентиляция стимулируется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21. </w:t>
      </w:r>
      <w:r w:rsidR="004D61B4" w:rsidRPr="00276D92">
        <w:rPr>
          <w:color w:val="000000"/>
        </w:rPr>
        <w:t>Справедливо ли утверждение, что опиоиды не должны применяться при проведении манипуляций на желчных путях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Нет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Сообщалось, что опиоиды вызывают спазм гладкой мускулатуры, однако наблюдается это крайне редко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В современной практике от опиоидов не отказались, несмотря на теоретические предпосылки</w:t>
      </w:r>
      <w:r w:rsidR="00911F5B" w:rsidRPr="00276D92">
        <w:rPr>
          <w:color w:val="000000"/>
        </w:rPr>
        <w:t>. (</w:t>
      </w:r>
      <w:r w:rsidRPr="00276D92">
        <w:rPr>
          <w:color w:val="000000"/>
        </w:rPr>
        <w:t>Теоретически, опиоид-индуцированный спазм желчных путей может симулироваться камнем в общем желчном протоке и запутывается данными ин-траоперационной холангиографии</w:t>
      </w:r>
      <w:r w:rsidR="00911F5B" w:rsidRPr="00276D92">
        <w:rPr>
          <w:color w:val="000000"/>
        </w:rPr>
        <w:t xml:space="preserve">). </w:t>
      </w:r>
      <w:r w:rsidRPr="00276D92">
        <w:rPr>
          <w:color w:val="000000"/>
        </w:rPr>
        <w:t>Налоксон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как антагонист опиоидов</w:t>
      </w:r>
      <w:r w:rsidR="00911F5B" w:rsidRPr="00276D92">
        <w:rPr>
          <w:color w:val="000000"/>
        </w:rPr>
        <w:t>),</w:t>
      </w:r>
      <w:r w:rsidRPr="00276D92">
        <w:rPr>
          <w:color w:val="000000"/>
        </w:rPr>
        <w:t xml:space="preserve"> глюкагон, нитроглицерин или атропин способны купировать спазм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Применение налоксона может оказаться проблематичным, если он используется в дозе, достаточной для аннулирования аналгезии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22. </w:t>
      </w:r>
      <w:r w:rsidR="004D61B4" w:rsidRPr="00276D92">
        <w:rPr>
          <w:color w:val="000000"/>
        </w:rPr>
        <w:t>Назовите антагонисты опиоидов, чаще всего используемые в клинической анестезиологии</w:t>
      </w:r>
      <w:r w:rsidR="00911F5B" w:rsidRPr="00276D92">
        <w:rPr>
          <w:color w:val="000000"/>
        </w:rPr>
        <w:t xml:space="preserve">. </w:t>
      </w:r>
      <w:r w:rsidR="004D61B4" w:rsidRPr="00276D92">
        <w:rPr>
          <w:color w:val="000000"/>
        </w:rPr>
        <w:t>Расскажите об их действии</w:t>
      </w:r>
      <w:r w:rsidR="00911F5B" w:rsidRPr="00276D92">
        <w:rPr>
          <w:color w:val="000000"/>
        </w:rPr>
        <w:t>.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Налоксон является чистым антагонистом мю-рецепторов и применяется для лечения передозировки опиоидов или опиоид-индуцированной депрессии дыхания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Однако при нормализации дыхания исчезает анальгетический эффект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Внезапное прекращение аналгезии может вызвать катехоламиновую волну, приводя к тахикардии, гипертензии, отеку легких и нарушениям сердечного ритма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Во избежание резкой от</w:t>
      </w:r>
      <w:r w:rsidR="00A701A8" w:rsidRPr="00276D92">
        <w:rPr>
          <w:color w:val="000000"/>
        </w:rPr>
        <w:t>мены аналгезии, налоксон в пери</w:t>
      </w:r>
      <w:r w:rsidRPr="00276D92">
        <w:rPr>
          <w:color w:val="000000"/>
        </w:rPr>
        <w:t>операционном периоде должен назначаться в дозах около 40 мкг</w:t>
      </w:r>
      <w:r w:rsidR="00911F5B" w:rsidRPr="00276D92">
        <w:rPr>
          <w:color w:val="000000"/>
        </w:rPr>
        <w:t xml:space="preserve"> (</w:t>
      </w:r>
      <w:r w:rsidRPr="00276D92">
        <w:rPr>
          <w:color w:val="000000"/>
        </w:rPr>
        <w:t>0,1 мл</w:t>
      </w:r>
      <w:r w:rsidR="00911F5B" w:rsidRPr="00276D92">
        <w:rPr>
          <w:color w:val="000000"/>
        </w:rPr>
        <w:t xml:space="preserve">) </w:t>
      </w:r>
      <w:r w:rsidRPr="00276D92">
        <w:rPr>
          <w:color w:val="000000"/>
        </w:rPr>
        <w:t>повторно в течение нескольких минут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Поскольку налоксон имеет короткое время действия, его необходимо вводить повторно или проводить непрерывную инфузию до достижения полного купирования депрессии дыхания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23. </w:t>
      </w:r>
      <w:r w:rsidR="004D61B4" w:rsidRPr="00276D92">
        <w:rPr>
          <w:color w:val="000000"/>
        </w:rPr>
        <w:t>Что за опиоиды агонисты-антагонисты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Этот термин был предложен для обозначения класса опиоидов, которые проявляют антагонизм по отношению к мю-рецепторам и агонизм в отношении каппа-рецепторов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Однако</w:t>
      </w:r>
      <w:r w:rsidR="00A701A8" w:rsidRPr="00276D92">
        <w:rPr>
          <w:color w:val="000000"/>
        </w:rPr>
        <w:t xml:space="preserve"> </w:t>
      </w:r>
      <w:r w:rsidRPr="00276D92">
        <w:rPr>
          <w:color w:val="000000"/>
        </w:rPr>
        <w:t>последующее изучение показало, что многие препараты фактически проявляют частичный агонизм более чем к одному рецептору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Таким образом, термин агонист-антагонист является не совсем точным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Более правильный термин частичный агонист, так как при связывании с опиоидным рецептором эти лиганды вызывают эффект меньше максимального</w:t>
      </w:r>
      <w:r w:rsidR="00911F5B" w:rsidRPr="00276D92">
        <w:rPr>
          <w:color w:val="000000"/>
        </w:rPr>
        <w:t>.</w:t>
      </w:r>
    </w:p>
    <w:p w:rsidR="00911F5B" w:rsidRPr="00276D92" w:rsidRDefault="00A701A8" w:rsidP="00911F5B">
      <w:pPr>
        <w:rPr>
          <w:color w:val="000000"/>
        </w:rPr>
      </w:pPr>
      <w:r w:rsidRPr="00276D92">
        <w:rPr>
          <w:color w:val="000000"/>
        </w:rPr>
        <w:t xml:space="preserve">24 </w:t>
      </w:r>
      <w:r w:rsidR="004D61B4" w:rsidRPr="00276D92">
        <w:rPr>
          <w:color w:val="000000"/>
        </w:rPr>
        <w:t>Какими преимуществами обладают частичные агонисты по сравнению с антагонистами, даже если доступен налоксон</w:t>
      </w:r>
      <w:r w:rsidR="00911F5B" w:rsidRPr="00276D92">
        <w:rPr>
          <w:color w:val="000000"/>
        </w:rPr>
        <w:t>?</w:t>
      </w:r>
    </w:p>
    <w:p w:rsidR="00911F5B" w:rsidRPr="00276D92" w:rsidRDefault="004D61B4" w:rsidP="00911F5B">
      <w:pPr>
        <w:rPr>
          <w:color w:val="000000"/>
        </w:rPr>
      </w:pPr>
      <w:r w:rsidRPr="00276D92">
        <w:rPr>
          <w:color w:val="000000"/>
        </w:rPr>
        <w:t>Как упоминалось выше, налоксон ликвидирует не толь</w:t>
      </w:r>
      <w:r w:rsidR="00A701A8" w:rsidRPr="00276D92">
        <w:rPr>
          <w:color w:val="000000"/>
        </w:rPr>
        <w:t>ко депрессию дыхания, но и анал</w:t>
      </w:r>
      <w:r w:rsidRPr="00276D92">
        <w:rPr>
          <w:color w:val="000000"/>
        </w:rPr>
        <w:t>гезию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Частичные агонисты не вызывают полной отмены аналгезии в той степени, в какой это свойственно налоксону</w:t>
      </w:r>
      <w:r w:rsidR="00911F5B" w:rsidRPr="00276D92">
        <w:rPr>
          <w:color w:val="000000"/>
        </w:rPr>
        <w:t xml:space="preserve">. </w:t>
      </w:r>
      <w:r w:rsidRPr="00276D92">
        <w:rPr>
          <w:color w:val="000000"/>
        </w:rPr>
        <w:t>Таким образом, частичные агонисты не вызывают нежелательных сердечно-сосудистых и легочных побочных эффектов как налоксон</w:t>
      </w:r>
      <w:r w:rsidR="00911F5B" w:rsidRPr="00276D92">
        <w:rPr>
          <w:color w:val="000000"/>
        </w:rPr>
        <w:t>.</w:t>
      </w:r>
    </w:p>
    <w:p w:rsidR="00BA2B2B" w:rsidRPr="00276D92" w:rsidRDefault="00BA2B2B" w:rsidP="00911F5B">
      <w:pPr>
        <w:rPr>
          <w:color w:val="000000"/>
        </w:rPr>
      </w:pPr>
      <w:bookmarkStart w:id="0" w:name="_GoBack"/>
      <w:bookmarkEnd w:id="0"/>
    </w:p>
    <w:sectPr w:rsidR="00BA2B2B" w:rsidRPr="00276D92" w:rsidSect="00911F5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50" w:rsidRDefault="00002B50">
      <w:r>
        <w:separator/>
      </w:r>
    </w:p>
  </w:endnote>
  <w:endnote w:type="continuationSeparator" w:id="0">
    <w:p w:rsidR="00002B50" w:rsidRDefault="0000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5B" w:rsidRDefault="00911F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5B" w:rsidRDefault="00911F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50" w:rsidRDefault="00002B50">
      <w:r>
        <w:separator/>
      </w:r>
    </w:p>
  </w:footnote>
  <w:footnote w:type="continuationSeparator" w:id="0">
    <w:p w:rsidR="00002B50" w:rsidRDefault="0000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5B" w:rsidRDefault="001A0227" w:rsidP="00911F5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11F5B" w:rsidRDefault="00911F5B" w:rsidP="00911F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5B" w:rsidRDefault="00911F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FA5818"/>
    <w:lvl w:ilvl="0">
      <w:numFmt w:val="bullet"/>
      <w:lvlText w:val="*"/>
      <w:lvlJc w:val="left"/>
    </w:lvl>
  </w:abstractNum>
  <w:abstractNum w:abstractNumId="1">
    <w:nsid w:val="042778FE"/>
    <w:multiLevelType w:val="singleLevel"/>
    <w:tmpl w:val="D9B69B4A"/>
    <w:lvl w:ilvl="0">
      <w:start w:val="2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05485722"/>
    <w:multiLevelType w:val="singleLevel"/>
    <w:tmpl w:val="DC60030A"/>
    <w:lvl w:ilvl="0">
      <w:start w:val="8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708B4"/>
    <w:multiLevelType w:val="singleLevel"/>
    <w:tmpl w:val="21783B54"/>
    <w:lvl w:ilvl="0">
      <w:start w:val="2"/>
      <w:numFmt w:val="decimal"/>
      <w:lvlText w:val="%1.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5">
    <w:nsid w:val="1AA2645C"/>
    <w:multiLevelType w:val="singleLevel"/>
    <w:tmpl w:val="F26252B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24B3D06"/>
    <w:multiLevelType w:val="singleLevel"/>
    <w:tmpl w:val="91002984"/>
    <w:lvl w:ilvl="0">
      <w:start w:val="1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2790709A"/>
    <w:multiLevelType w:val="singleLevel"/>
    <w:tmpl w:val="087A80F4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308B1170"/>
    <w:multiLevelType w:val="singleLevel"/>
    <w:tmpl w:val="6F94E27E"/>
    <w:lvl w:ilvl="0">
      <w:start w:val="1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0D2011"/>
    <w:multiLevelType w:val="singleLevel"/>
    <w:tmpl w:val="A5B82ADA"/>
    <w:lvl w:ilvl="0">
      <w:start w:val="1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40A25621"/>
    <w:multiLevelType w:val="singleLevel"/>
    <w:tmpl w:val="DA56BFF0"/>
    <w:lvl w:ilvl="0">
      <w:start w:val="7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2">
    <w:nsid w:val="435F4660"/>
    <w:multiLevelType w:val="singleLevel"/>
    <w:tmpl w:val="28C2008E"/>
    <w:lvl w:ilvl="0">
      <w:start w:val="18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3">
    <w:nsid w:val="479F5ABE"/>
    <w:multiLevelType w:val="singleLevel"/>
    <w:tmpl w:val="F66066C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8790EE8"/>
    <w:multiLevelType w:val="singleLevel"/>
    <w:tmpl w:val="393E78CC"/>
    <w:lvl w:ilvl="0">
      <w:start w:val="19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5">
    <w:nsid w:val="49A5046B"/>
    <w:multiLevelType w:val="singleLevel"/>
    <w:tmpl w:val="57DC235C"/>
    <w:lvl w:ilvl="0">
      <w:start w:val="20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6">
    <w:nsid w:val="4E460E55"/>
    <w:multiLevelType w:val="singleLevel"/>
    <w:tmpl w:val="FCF6FD9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526A02F5"/>
    <w:multiLevelType w:val="singleLevel"/>
    <w:tmpl w:val="2730E23A"/>
    <w:lvl w:ilvl="0">
      <w:start w:val="10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8">
    <w:nsid w:val="57AA6B7E"/>
    <w:multiLevelType w:val="hybridMultilevel"/>
    <w:tmpl w:val="0804ED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614F5189"/>
    <w:multiLevelType w:val="singleLevel"/>
    <w:tmpl w:val="72A6BA7E"/>
    <w:lvl w:ilvl="0">
      <w:start w:val="2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0">
    <w:nsid w:val="6261651A"/>
    <w:multiLevelType w:val="singleLevel"/>
    <w:tmpl w:val="E05A6D30"/>
    <w:lvl w:ilvl="0">
      <w:start w:val="1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73E971D9"/>
    <w:multiLevelType w:val="singleLevel"/>
    <w:tmpl w:val="C65A0C1A"/>
    <w:lvl w:ilvl="0">
      <w:start w:val="9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2">
    <w:nsid w:val="77E5714A"/>
    <w:multiLevelType w:val="singleLevel"/>
    <w:tmpl w:val="F38AB164"/>
    <w:lvl w:ilvl="0">
      <w:start w:val="1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4">
    <w:nsid w:val="7F7868A6"/>
    <w:multiLevelType w:val="singleLevel"/>
    <w:tmpl w:val="FCF4AD04"/>
    <w:lvl w:ilvl="0">
      <w:start w:val="2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21"/>
  </w:num>
  <w:num w:numId="10">
    <w:abstractNumId w:val="17"/>
  </w:num>
  <w:num w:numId="11">
    <w:abstractNumId w:val="10"/>
  </w:num>
  <w:num w:numId="12">
    <w:abstractNumId w:val="6"/>
  </w:num>
  <w:num w:numId="13">
    <w:abstractNumId w:val="22"/>
  </w:num>
  <w:num w:numId="14">
    <w:abstractNumId w:val="20"/>
  </w:num>
  <w:num w:numId="15">
    <w:abstractNumId w:val="8"/>
  </w:num>
  <w:num w:numId="16">
    <w:abstractNumId w:val="12"/>
  </w:num>
  <w:num w:numId="17">
    <w:abstractNumId w:val="14"/>
  </w:num>
  <w:num w:numId="18">
    <w:abstractNumId w:val="15"/>
  </w:num>
  <w:num w:numId="19">
    <w:abstractNumId w:val="19"/>
  </w:num>
  <w:num w:numId="20">
    <w:abstractNumId w:val="1"/>
  </w:num>
  <w:num w:numId="21">
    <w:abstractNumId w:val="24"/>
  </w:num>
  <w:num w:numId="22">
    <w:abstractNumId w:val="18"/>
  </w:num>
  <w:num w:numId="23">
    <w:abstractNumId w:val="9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B2B"/>
    <w:rsid w:val="00002B50"/>
    <w:rsid w:val="00156254"/>
    <w:rsid w:val="001A0227"/>
    <w:rsid w:val="00276D92"/>
    <w:rsid w:val="00393886"/>
    <w:rsid w:val="003B1CE6"/>
    <w:rsid w:val="004D61B4"/>
    <w:rsid w:val="00640361"/>
    <w:rsid w:val="007668E4"/>
    <w:rsid w:val="00911F5B"/>
    <w:rsid w:val="00A701A8"/>
    <w:rsid w:val="00B64C5F"/>
    <w:rsid w:val="00BA2B2B"/>
    <w:rsid w:val="00CA4C6E"/>
    <w:rsid w:val="00E21B92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359FD4-AECE-4A61-9D14-6CF03F56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1F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1F5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1F5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11F5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1F5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1F5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1F5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1F5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1F5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11F5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1"/>
    <w:uiPriority w:val="99"/>
    <w:rsid w:val="00911F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911F5B"/>
    <w:rPr>
      <w:rFonts w:cs="Times New Roman"/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911F5B"/>
    <w:pPr>
      <w:ind w:firstLine="0"/>
    </w:pPr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6"/>
    <w:uiPriority w:val="99"/>
    <w:semiHidden/>
    <w:locked/>
    <w:rsid w:val="00911F5B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a">
    <w:name w:val="выделение"/>
    <w:uiPriority w:val="99"/>
    <w:rsid w:val="00911F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uiPriority w:val="99"/>
    <w:rsid w:val="00911F5B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c"/>
    <w:uiPriority w:val="99"/>
    <w:rsid w:val="00911F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link w:val="ad"/>
    <w:uiPriority w:val="99"/>
    <w:rsid w:val="00911F5B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911F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2"/>
    <w:uiPriority w:val="99"/>
    <w:rsid w:val="00911F5B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0"/>
    <w:uiPriority w:val="99"/>
    <w:semiHidden/>
    <w:locked/>
    <w:rsid w:val="00911F5B"/>
    <w:rPr>
      <w:rFonts w:cs="Times New Roman"/>
      <w:sz w:val="28"/>
      <w:szCs w:val="28"/>
      <w:lang w:val="ru-RU" w:eastAsia="ru-RU"/>
    </w:rPr>
  </w:style>
  <w:style w:type="paragraph" w:styleId="af0">
    <w:name w:val="footer"/>
    <w:basedOn w:val="a2"/>
    <w:link w:val="13"/>
    <w:uiPriority w:val="99"/>
    <w:semiHidden/>
    <w:rsid w:val="00911F5B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911F5B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911F5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1F5B"/>
    <w:pPr>
      <w:numPr>
        <w:numId w:val="2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911F5B"/>
    <w:rPr>
      <w:rFonts w:cs="Times New Roman"/>
    </w:rPr>
  </w:style>
  <w:style w:type="character" w:customStyle="1" w:styleId="af5">
    <w:name w:val="номер страницы"/>
    <w:uiPriority w:val="99"/>
    <w:rsid w:val="00911F5B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911F5B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911F5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11F5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1F5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1F5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1F5B"/>
    <w:pPr>
      <w:ind w:left="958"/>
    </w:pPr>
  </w:style>
  <w:style w:type="paragraph" w:styleId="23">
    <w:name w:val="Body Text Indent 2"/>
    <w:basedOn w:val="a2"/>
    <w:link w:val="24"/>
    <w:uiPriority w:val="99"/>
    <w:rsid w:val="00911F5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1F5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11F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11F5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1F5B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1F5B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11F5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11F5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1F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1F5B"/>
    <w:rPr>
      <w:i/>
      <w:iCs/>
    </w:rPr>
  </w:style>
  <w:style w:type="paragraph" w:customStyle="1" w:styleId="af9">
    <w:name w:val="ТАБЛИЦА"/>
    <w:next w:val="a2"/>
    <w:autoRedefine/>
    <w:uiPriority w:val="99"/>
    <w:rsid w:val="00911F5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11F5B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911F5B"/>
  </w:style>
  <w:style w:type="table" w:customStyle="1" w:styleId="16">
    <w:name w:val="Стиль таблицы1"/>
    <w:uiPriority w:val="99"/>
    <w:rsid w:val="00911F5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11F5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11F5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11F5B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11F5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Diapsalmata</Company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Diapsalmata</dc:creator>
  <cp:keywords/>
  <dc:description/>
  <cp:lastModifiedBy>admin</cp:lastModifiedBy>
  <cp:revision>2</cp:revision>
  <dcterms:created xsi:type="dcterms:W3CDTF">2014-02-25T04:48:00Z</dcterms:created>
  <dcterms:modified xsi:type="dcterms:W3CDTF">2014-02-25T04:48:00Z</dcterms:modified>
</cp:coreProperties>
</file>