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7D" w:rsidRPr="00ED69E8" w:rsidRDefault="008E1A7D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>Введение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181FB5" w:rsidRPr="00ED69E8" w:rsidRDefault="00181FB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Российские предприятия ведут активный поиск надежных </w:t>
      </w:r>
      <w:r w:rsidR="005F5DBF" w:rsidRPr="00ED69E8">
        <w:rPr>
          <w:sz w:val="28"/>
          <w:szCs w:val="28"/>
        </w:rPr>
        <w:t>контрагентов</w:t>
      </w:r>
      <w:r w:rsidRPr="00ED69E8">
        <w:rPr>
          <w:sz w:val="28"/>
          <w:szCs w:val="28"/>
        </w:rPr>
        <w:t xml:space="preserve"> с целью получения дополнительных возможностей выхода на новые рынки сбыта и доступа к новым источникам сырья. Возможность самостоятельного формирования партнерских отношений со своим контрагентами во многом определяется рыночным характером экономики</w:t>
      </w:r>
      <w:r w:rsidR="002D1494" w:rsidRPr="00ED69E8">
        <w:rPr>
          <w:sz w:val="28"/>
          <w:szCs w:val="28"/>
        </w:rPr>
        <w:t>,</w:t>
      </w:r>
      <w:r w:rsidRPr="00ED69E8">
        <w:rPr>
          <w:sz w:val="28"/>
          <w:szCs w:val="28"/>
        </w:rPr>
        <w:t xml:space="preserve"> </w:t>
      </w:r>
      <w:r w:rsidR="00EA7EBE" w:rsidRPr="00ED69E8">
        <w:rPr>
          <w:sz w:val="28"/>
          <w:szCs w:val="28"/>
        </w:rPr>
        <w:t>а надежность</w:t>
      </w:r>
      <w:r w:rsidRPr="00ED69E8">
        <w:rPr>
          <w:sz w:val="28"/>
          <w:szCs w:val="28"/>
        </w:rPr>
        <w:t xml:space="preserve"> эти</w:t>
      </w:r>
      <w:r w:rsidR="00EA7EBE" w:rsidRPr="00ED69E8">
        <w:rPr>
          <w:sz w:val="28"/>
          <w:szCs w:val="28"/>
        </w:rPr>
        <w:t>х</w:t>
      </w:r>
      <w:r w:rsidRPr="00ED69E8">
        <w:rPr>
          <w:sz w:val="28"/>
          <w:szCs w:val="28"/>
        </w:rPr>
        <w:t xml:space="preserve"> </w:t>
      </w:r>
      <w:r w:rsidR="00EA7EBE" w:rsidRPr="00ED69E8">
        <w:rPr>
          <w:sz w:val="28"/>
          <w:szCs w:val="28"/>
        </w:rPr>
        <w:t>отношений обеспечи</w:t>
      </w:r>
      <w:r w:rsidR="005746A9" w:rsidRPr="00ED69E8">
        <w:rPr>
          <w:sz w:val="28"/>
          <w:szCs w:val="28"/>
        </w:rPr>
        <w:t>вает</w:t>
      </w:r>
      <w:r w:rsidR="00EA7EBE" w:rsidRPr="00ED69E8">
        <w:rPr>
          <w:sz w:val="28"/>
          <w:szCs w:val="28"/>
        </w:rPr>
        <w:t xml:space="preserve"> не только выживание фирмы, но и ее устойчивое развитие.</w:t>
      </w:r>
    </w:p>
    <w:p w:rsidR="00EC658A" w:rsidRPr="00ED69E8" w:rsidRDefault="00CB4F6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Одним из основных элементов </w:t>
      </w:r>
      <w:r w:rsidR="00E52C08" w:rsidRPr="00ED69E8">
        <w:rPr>
          <w:sz w:val="28"/>
          <w:szCs w:val="28"/>
        </w:rPr>
        <w:t xml:space="preserve">создания партнерских взаимоотношений </w:t>
      </w:r>
      <w:r w:rsidR="005865A9" w:rsidRPr="00ED69E8">
        <w:rPr>
          <w:sz w:val="28"/>
          <w:szCs w:val="28"/>
        </w:rPr>
        <w:t xml:space="preserve">предприятия </w:t>
      </w:r>
      <w:r w:rsidR="00E52C08" w:rsidRPr="00ED69E8">
        <w:rPr>
          <w:sz w:val="28"/>
          <w:szCs w:val="28"/>
        </w:rPr>
        <w:t xml:space="preserve">с контрагентами является </w:t>
      </w:r>
      <w:r w:rsidR="004012FA" w:rsidRPr="00ED69E8">
        <w:rPr>
          <w:sz w:val="28"/>
          <w:szCs w:val="28"/>
        </w:rPr>
        <w:t xml:space="preserve">способность </w:t>
      </w:r>
      <w:r w:rsidR="00DD4509" w:rsidRPr="00ED69E8">
        <w:rPr>
          <w:sz w:val="28"/>
          <w:szCs w:val="28"/>
        </w:rPr>
        <w:t>предприятия</w:t>
      </w:r>
      <w:r w:rsidR="004012FA" w:rsidRPr="00ED69E8">
        <w:rPr>
          <w:sz w:val="28"/>
          <w:szCs w:val="28"/>
        </w:rPr>
        <w:t xml:space="preserve"> осуществлять в полной мере </w:t>
      </w:r>
      <w:r w:rsidR="00DD4509" w:rsidRPr="00ED69E8">
        <w:rPr>
          <w:sz w:val="28"/>
          <w:szCs w:val="28"/>
        </w:rPr>
        <w:t xml:space="preserve">все </w:t>
      </w:r>
      <w:r w:rsidR="004012FA" w:rsidRPr="00ED69E8">
        <w:rPr>
          <w:sz w:val="28"/>
          <w:szCs w:val="28"/>
        </w:rPr>
        <w:t>расчеты по своим обязательства</w:t>
      </w:r>
      <w:r w:rsidR="00FA0266" w:rsidRPr="00ED69E8">
        <w:rPr>
          <w:sz w:val="28"/>
          <w:szCs w:val="28"/>
        </w:rPr>
        <w:t>м</w:t>
      </w:r>
      <w:r w:rsidR="004012FA" w:rsidRPr="00ED69E8">
        <w:rPr>
          <w:sz w:val="28"/>
          <w:szCs w:val="28"/>
        </w:rPr>
        <w:t xml:space="preserve"> </w:t>
      </w:r>
      <w:r w:rsidR="00FA0266" w:rsidRPr="00ED69E8">
        <w:rPr>
          <w:sz w:val="28"/>
          <w:szCs w:val="28"/>
        </w:rPr>
        <w:t>по</w:t>
      </w:r>
      <w:r w:rsidR="004012FA" w:rsidRPr="00ED69E8">
        <w:rPr>
          <w:sz w:val="28"/>
          <w:szCs w:val="28"/>
        </w:rPr>
        <w:t xml:space="preserve"> отношени</w:t>
      </w:r>
      <w:r w:rsidR="00FA0266" w:rsidRPr="00ED69E8">
        <w:rPr>
          <w:sz w:val="28"/>
          <w:szCs w:val="28"/>
        </w:rPr>
        <w:t>ю к</w:t>
      </w:r>
      <w:r w:rsidR="004012FA" w:rsidRPr="00ED69E8">
        <w:rPr>
          <w:sz w:val="28"/>
          <w:szCs w:val="28"/>
        </w:rPr>
        <w:t xml:space="preserve"> контрагент</w:t>
      </w:r>
      <w:r w:rsidR="00FA0266" w:rsidRPr="00ED69E8">
        <w:rPr>
          <w:sz w:val="28"/>
          <w:szCs w:val="28"/>
        </w:rPr>
        <w:t>ам</w:t>
      </w:r>
      <w:r w:rsidR="00342608" w:rsidRPr="00ED69E8">
        <w:rPr>
          <w:sz w:val="28"/>
          <w:szCs w:val="28"/>
        </w:rPr>
        <w:t xml:space="preserve"> и наоборот.</w:t>
      </w:r>
      <w:r w:rsidR="004012FA" w:rsidRPr="00ED69E8">
        <w:rPr>
          <w:sz w:val="28"/>
          <w:szCs w:val="28"/>
        </w:rPr>
        <w:t xml:space="preserve"> </w:t>
      </w:r>
    </w:p>
    <w:p w:rsidR="003A6644" w:rsidRPr="00ED69E8" w:rsidRDefault="004D6180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А </w:t>
      </w:r>
      <w:r w:rsidR="00BC1C6D" w:rsidRPr="00ED69E8">
        <w:rPr>
          <w:sz w:val="28"/>
          <w:szCs w:val="28"/>
        </w:rPr>
        <w:t xml:space="preserve">для собственников предприятия </w:t>
      </w:r>
      <w:r w:rsidR="00B65CAB" w:rsidRPr="00ED69E8">
        <w:rPr>
          <w:sz w:val="28"/>
          <w:szCs w:val="28"/>
        </w:rPr>
        <w:t xml:space="preserve">информация о расчетах, отраженная в балансе предприятия, </w:t>
      </w:r>
      <w:r w:rsidR="00BC1C6D" w:rsidRPr="00ED69E8">
        <w:rPr>
          <w:sz w:val="28"/>
          <w:szCs w:val="28"/>
        </w:rPr>
        <w:t>дает возможность определить</w:t>
      </w:r>
      <w:r w:rsidR="00B65CAB" w:rsidRPr="00ED69E8">
        <w:rPr>
          <w:sz w:val="28"/>
          <w:szCs w:val="28"/>
        </w:rPr>
        <w:t xml:space="preserve"> степени ликвидности, платежеспособности</w:t>
      </w:r>
      <w:r w:rsidR="008C1CA0" w:rsidRPr="00ED69E8">
        <w:rPr>
          <w:sz w:val="28"/>
          <w:szCs w:val="28"/>
        </w:rPr>
        <w:t xml:space="preserve">, эффективности кредитной политики, </w:t>
      </w:r>
      <w:r w:rsidR="00906066" w:rsidRPr="00ED69E8">
        <w:rPr>
          <w:sz w:val="28"/>
          <w:szCs w:val="28"/>
        </w:rPr>
        <w:t>а также свидетельствует о степени</w:t>
      </w:r>
      <w:r w:rsidR="002F327B" w:rsidRPr="00ED69E8">
        <w:rPr>
          <w:sz w:val="28"/>
          <w:szCs w:val="28"/>
        </w:rPr>
        <w:t xml:space="preserve"> финансовой устойчивости </w:t>
      </w:r>
      <w:r w:rsidR="00AB6B21" w:rsidRPr="00ED69E8">
        <w:rPr>
          <w:sz w:val="28"/>
          <w:szCs w:val="28"/>
        </w:rPr>
        <w:t xml:space="preserve">предприятия </w:t>
      </w:r>
      <w:r w:rsidR="002F327B" w:rsidRPr="00ED69E8">
        <w:rPr>
          <w:sz w:val="28"/>
          <w:szCs w:val="28"/>
        </w:rPr>
        <w:t>от внешних источников финансирования.</w:t>
      </w:r>
    </w:p>
    <w:p w:rsidR="00623C14" w:rsidRPr="00ED69E8" w:rsidRDefault="00B05CA0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У</w:t>
      </w:r>
      <w:r w:rsidR="00B12724" w:rsidRPr="00ED69E8">
        <w:rPr>
          <w:sz w:val="28"/>
          <w:szCs w:val="28"/>
        </w:rPr>
        <w:t xml:space="preserve">чет расчетов организации с контрагентами </w:t>
      </w:r>
      <w:r w:rsidRPr="00ED69E8">
        <w:rPr>
          <w:sz w:val="28"/>
          <w:szCs w:val="28"/>
        </w:rPr>
        <w:t>является ва</w:t>
      </w:r>
      <w:r w:rsidR="00B12D93" w:rsidRPr="00ED69E8">
        <w:rPr>
          <w:sz w:val="28"/>
          <w:szCs w:val="28"/>
        </w:rPr>
        <w:t xml:space="preserve">жным элементом </w:t>
      </w:r>
      <w:r w:rsidR="009E7594" w:rsidRPr="00ED69E8">
        <w:rPr>
          <w:sz w:val="28"/>
          <w:szCs w:val="28"/>
        </w:rPr>
        <w:t>бухгалтерского учета</w:t>
      </w:r>
      <w:r w:rsidR="00DF7D1E" w:rsidRPr="00ED69E8">
        <w:rPr>
          <w:sz w:val="28"/>
          <w:szCs w:val="28"/>
        </w:rPr>
        <w:t xml:space="preserve">, т.к. </w:t>
      </w:r>
      <w:r w:rsidR="007E23B6" w:rsidRPr="00ED69E8">
        <w:rPr>
          <w:sz w:val="28"/>
          <w:szCs w:val="28"/>
        </w:rPr>
        <w:t>он</w:t>
      </w:r>
      <w:r w:rsidR="00DF7D1E" w:rsidRPr="00ED69E8">
        <w:rPr>
          <w:sz w:val="28"/>
          <w:szCs w:val="28"/>
        </w:rPr>
        <w:t xml:space="preserve"> обеспечи</w:t>
      </w:r>
      <w:r w:rsidR="0009573C" w:rsidRPr="00ED69E8">
        <w:rPr>
          <w:sz w:val="28"/>
          <w:szCs w:val="28"/>
        </w:rPr>
        <w:t>вае</w:t>
      </w:r>
      <w:r w:rsidR="00DF7D1E" w:rsidRPr="00ED69E8">
        <w:rPr>
          <w:sz w:val="28"/>
          <w:szCs w:val="28"/>
        </w:rPr>
        <w:t>т надежную защиту интересов организации во взаимоотношениях</w:t>
      </w:r>
      <w:r w:rsidR="00CD2779" w:rsidRPr="00ED69E8">
        <w:rPr>
          <w:sz w:val="28"/>
          <w:szCs w:val="28"/>
        </w:rPr>
        <w:t xml:space="preserve"> с деловыми партнерами.</w:t>
      </w:r>
    </w:p>
    <w:p w:rsidR="007576F6" w:rsidRPr="00ED69E8" w:rsidRDefault="00623C14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Ц</w:t>
      </w:r>
      <w:r w:rsidR="007576F6" w:rsidRPr="00ED69E8">
        <w:rPr>
          <w:sz w:val="28"/>
          <w:szCs w:val="28"/>
        </w:rPr>
        <w:t xml:space="preserve">елью данной контрольной работы является определение основных элементов расчетов с </w:t>
      </w:r>
      <w:r w:rsidR="00E83389" w:rsidRPr="00ED69E8">
        <w:rPr>
          <w:sz w:val="28"/>
          <w:szCs w:val="28"/>
        </w:rPr>
        <w:t xml:space="preserve">контрагентами и </w:t>
      </w:r>
      <w:r w:rsidR="004603E4" w:rsidRPr="00ED69E8">
        <w:rPr>
          <w:sz w:val="28"/>
          <w:szCs w:val="28"/>
        </w:rPr>
        <w:t>изучение</w:t>
      </w:r>
      <w:r w:rsidRPr="00ED69E8">
        <w:rPr>
          <w:sz w:val="28"/>
          <w:szCs w:val="28"/>
        </w:rPr>
        <w:t xml:space="preserve"> </w:t>
      </w:r>
      <w:r w:rsidR="00E83389" w:rsidRPr="00ED69E8">
        <w:rPr>
          <w:sz w:val="28"/>
          <w:szCs w:val="28"/>
        </w:rPr>
        <w:t>вариант</w:t>
      </w:r>
      <w:r w:rsidRPr="00ED69E8">
        <w:rPr>
          <w:sz w:val="28"/>
          <w:szCs w:val="28"/>
        </w:rPr>
        <w:t>ов</w:t>
      </w:r>
      <w:r w:rsidR="00E83389" w:rsidRPr="00ED69E8">
        <w:rPr>
          <w:sz w:val="28"/>
          <w:szCs w:val="28"/>
        </w:rPr>
        <w:t xml:space="preserve"> их учета в балансе</w:t>
      </w:r>
      <w:r w:rsidRPr="00ED69E8">
        <w:rPr>
          <w:sz w:val="28"/>
          <w:szCs w:val="28"/>
        </w:rPr>
        <w:t xml:space="preserve"> предприятия.</w:t>
      </w:r>
    </w:p>
    <w:p w:rsidR="004B1643" w:rsidRP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5B01" w:rsidRPr="00ED69E8">
        <w:rPr>
          <w:b/>
          <w:bCs/>
          <w:sz w:val="28"/>
          <w:szCs w:val="28"/>
        </w:rPr>
        <w:t xml:space="preserve">Глава 1. </w:t>
      </w:r>
      <w:r w:rsidR="004B1643" w:rsidRPr="00ED69E8">
        <w:rPr>
          <w:b/>
          <w:bCs/>
          <w:sz w:val="28"/>
          <w:szCs w:val="28"/>
        </w:rPr>
        <w:t>Основные элементы учета расчетов</w:t>
      </w:r>
      <w:r w:rsidR="00C940B2" w:rsidRPr="00ED69E8">
        <w:rPr>
          <w:b/>
          <w:bCs/>
          <w:sz w:val="28"/>
          <w:szCs w:val="28"/>
        </w:rPr>
        <w:t xml:space="preserve"> организации</w:t>
      </w:r>
    </w:p>
    <w:p w:rsid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5A47" w:rsidRPr="00ED69E8" w:rsidRDefault="006A5B01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1.1 </w:t>
      </w:r>
      <w:r w:rsidR="00C940B2" w:rsidRPr="00ED69E8">
        <w:rPr>
          <w:b/>
          <w:bCs/>
          <w:sz w:val="28"/>
          <w:szCs w:val="28"/>
        </w:rPr>
        <w:t>Сущность расчетов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3E38E3" w:rsidRPr="00ED69E8" w:rsidRDefault="00181FB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Современное общество не возможно без взаимодействия между индивидуумами и (или) их объединениями. </w:t>
      </w:r>
      <w:r w:rsidR="000C74EB" w:rsidRPr="00ED69E8">
        <w:rPr>
          <w:sz w:val="28"/>
          <w:szCs w:val="28"/>
        </w:rPr>
        <w:t xml:space="preserve">Эти взаимоотношения основаны на процессе передачи из рук в руки на тех или иных условиях того или иного ресурса. </w:t>
      </w:r>
    </w:p>
    <w:p w:rsidR="000C74EB" w:rsidRPr="00ED69E8" w:rsidRDefault="000C74E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Любую организацию используя системный подход, можно представить как некую</w:t>
      </w:r>
      <w:r w:rsidR="00F158B8" w:rsidRPr="00ED69E8">
        <w:rPr>
          <w:sz w:val="28"/>
          <w:szCs w:val="28"/>
        </w:rPr>
        <w:t xml:space="preserve"> систему, состоящую из взаимосвязанных частей. В процессе осуществления производственной</w:t>
      </w:r>
      <w:r w:rsidR="00F35AD3" w:rsidRPr="00ED69E8">
        <w:rPr>
          <w:sz w:val="28"/>
          <w:szCs w:val="28"/>
        </w:rPr>
        <w:t>, хозяйственной и финансовой деятельности организация приобретает материальные и трудовые ресурсы</w:t>
      </w:r>
      <w:r w:rsidR="00D17D25" w:rsidRPr="00ED69E8">
        <w:rPr>
          <w:sz w:val="28"/>
          <w:szCs w:val="28"/>
        </w:rPr>
        <w:t xml:space="preserve">, реализует свою продукцию, работу или услуги или осуществляет другие операции, </w:t>
      </w:r>
      <w:r w:rsidR="006763BC" w:rsidRPr="00ED69E8">
        <w:rPr>
          <w:sz w:val="28"/>
          <w:szCs w:val="28"/>
        </w:rPr>
        <w:t>позволяющие ей продолжить свое функционирование в дальнейшем. Таким образом, деятельность организации можно представить как кругооборот средств, который включает в себя процесс приобретения, производства и реализации.</w:t>
      </w:r>
    </w:p>
    <w:p w:rsidR="006B15E5" w:rsidRPr="00ED69E8" w:rsidRDefault="006B15E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В процессе приобретения происходит снабжение </w:t>
      </w:r>
      <w:r w:rsidR="002F2933" w:rsidRPr="00ED69E8">
        <w:rPr>
          <w:sz w:val="28"/>
          <w:szCs w:val="28"/>
        </w:rPr>
        <w:t>сырьем, матер</w:t>
      </w:r>
      <w:r w:rsidR="003F4B4A" w:rsidRPr="00ED69E8">
        <w:rPr>
          <w:sz w:val="28"/>
          <w:szCs w:val="28"/>
        </w:rPr>
        <w:t xml:space="preserve">иалами, электроэнергией и другим необходимым для производства. Затем внутри организации, как системы, происходит </w:t>
      </w:r>
      <w:r w:rsidR="00540EAE" w:rsidRPr="00ED69E8">
        <w:rPr>
          <w:sz w:val="28"/>
          <w:szCs w:val="28"/>
        </w:rPr>
        <w:t>создание продукции или непосредственное оказание услуг. На этапе реализации предприятие продает свою продукцию (работы, услуги) и получает средства</w:t>
      </w:r>
      <w:r w:rsidR="00D943A0" w:rsidRPr="00ED69E8">
        <w:rPr>
          <w:sz w:val="28"/>
          <w:szCs w:val="28"/>
        </w:rPr>
        <w:t>, позволяющие начать заново кругооборот средств, т.е. возвращается к процессу приобретения.</w:t>
      </w:r>
    </w:p>
    <w:p w:rsidR="004201A5" w:rsidRPr="00ED69E8" w:rsidRDefault="00D943A0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Кругооборот средств организации </w:t>
      </w:r>
      <w:r w:rsidR="00443E04" w:rsidRPr="00ED69E8">
        <w:rPr>
          <w:sz w:val="28"/>
          <w:szCs w:val="28"/>
        </w:rPr>
        <w:t>характеризует экономическая сущность и содержание расчетов. Так, приобретение – это расчеты с поставщиками сырья и материалов, информации, капитала. В про</w:t>
      </w:r>
      <w:r w:rsidR="009950A2" w:rsidRPr="00ED69E8">
        <w:rPr>
          <w:sz w:val="28"/>
          <w:szCs w:val="28"/>
        </w:rPr>
        <w:t>цессе производства возникают</w:t>
      </w:r>
      <w:r w:rsidR="00443E04" w:rsidRPr="00ED69E8">
        <w:rPr>
          <w:sz w:val="28"/>
          <w:szCs w:val="28"/>
        </w:rPr>
        <w:t xml:space="preserve"> расчеты внутри самого предприятия: с подразделениями, с персоналом по оплате труда, с подотчетными лицами.</w:t>
      </w:r>
      <w:r w:rsidR="006A63F6" w:rsidRPr="00ED69E8">
        <w:rPr>
          <w:sz w:val="28"/>
          <w:szCs w:val="28"/>
        </w:rPr>
        <w:t xml:space="preserve"> На этапе реализации готовой про</w:t>
      </w:r>
      <w:r w:rsidR="009950A2" w:rsidRPr="00ED69E8">
        <w:rPr>
          <w:sz w:val="28"/>
          <w:szCs w:val="28"/>
        </w:rPr>
        <w:t xml:space="preserve">дукции, работ, услуг возникают расчеты </w:t>
      </w:r>
      <w:r w:rsidR="006A63F6" w:rsidRPr="00ED69E8">
        <w:rPr>
          <w:sz w:val="28"/>
          <w:szCs w:val="28"/>
        </w:rPr>
        <w:t xml:space="preserve">покупателей и заказчиков </w:t>
      </w:r>
      <w:r w:rsidR="009950A2" w:rsidRPr="00ED69E8">
        <w:rPr>
          <w:sz w:val="28"/>
          <w:szCs w:val="28"/>
        </w:rPr>
        <w:t>с</w:t>
      </w:r>
      <w:r w:rsidR="006A63F6" w:rsidRPr="00ED69E8">
        <w:rPr>
          <w:sz w:val="28"/>
          <w:szCs w:val="28"/>
        </w:rPr>
        <w:t xml:space="preserve"> продавцом.</w:t>
      </w:r>
      <w:r w:rsidR="009950A2" w:rsidRPr="00ED69E8">
        <w:rPr>
          <w:sz w:val="28"/>
          <w:szCs w:val="28"/>
        </w:rPr>
        <w:t xml:space="preserve"> Таким образом,</w:t>
      </w:r>
      <w:r w:rsidR="004201A5" w:rsidRPr="00ED69E8">
        <w:rPr>
          <w:sz w:val="28"/>
          <w:szCs w:val="28"/>
        </w:rPr>
        <w:t xml:space="preserve"> расчеты</w:t>
      </w:r>
      <w:r w:rsidR="009950A2" w:rsidRPr="00ED69E8">
        <w:rPr>
          <w:sz w:val="28"/>
          <w:szCs w:val="28"/>
        </w:rPr>
        <w:t xml:space="preserve"> являются важной составляющей </w:t>
      </w:r>
      <w:r w:rsidR="00D21756" w:rsidRPr="00ED69E8">
        <w:rPr>
          <w:sz w:val="28"/>
          <w:szCs w:val="28"/>
        </w:rPr>
        <w:t xml:space="preserve">текущей финансовой деятельности любой организации. </w:t>
      </w:r>
    </w:p>
    <w:p w:rsidR="00D943A0" w:rsidRPr="00ED69E8" w:rsidRDefault="00D21756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Правовой основой осуществления </w:t>
      </w:r>
      <w:r w:rsidR="00A43914" w:rsidRPr="00ED69E8">
        <w:rPr>
          <w:sz w:val="28"/>
          <w:szCs w:val="28"/>
        </w:rPr>
        <w:t>большинства расчетов являются обязательства, возникающие из договоров.</w:t>
      </w:r>
    </w:p>
    <w:p w:rsidR="00243E54" w:rsidRPr="00ED69E8" w:rsidRDefault="004201A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Договор заключается по средствам оферты (предложения заключить договор) одной из сторон и е</w:t>
      </w:r>
      <w:r w:rsidR="00E50F1C" w:rsidRPr="00ED69E8">
        <w:rPr>
          <w:sz w:val="28"/>
          <w:szCs w:val="28"/>
        </w:rPr>
        <w:t>е</w:t>
      </w:r>
      <w:r w:rsidRPr="00ED69E8">
        <w:rPr>
          <w:sz w:val="28"/>
          <w:szCs w:val="28"/>
        </w:rPr>
        <w:t xml:space="preserve"> акцепта (принятия предложения) другой стороной, и вступает в силу (становится обязательным для сторон) с </w:t>
      </w:r>
      <w:r w:rsidR="00C9224D" w:rsidRPr="00ED69E8">
        <w:rPr>
          <w:sz w:val="28"/>
          <w:szCs w:val="28"/>
        </w:rPr>
        <w:t xml:space="preserve">момента его подписания обеими сторонами (или с момента получения стороной, отправившей оферту, ее акцепта). Содержание и условия договора </w:t>
      </w:r>
      <w:r w:rsidR="001C3FC6" w:rsidRPr="00ED69E8">
        <w:rPr>
          <w:sz w:val="28"/>
          <w:szCs w:val="28"/>
        </w:rPr>
        <w:t xml:space="preserve">определяются по усмотрению сторон, кроме случаев, когда содержание соответствующих условий предписано законом. </w:t>
      </w:r>
      <w:r w:rsidR="00BF1279" w:rsidRPr="00ED69E8">
        <w:rPr>
          <w:sz w:val="28"/>
          <w:szCs w:val="28"/>
        </w:rPr>
        <w:t>Т.е. при возникновении договора, возникают обязательства, прекращение которых подразумевает взаимные расчеты между сторонами сделки.</w:t>
      </w:r>
    </w:p>
    <w:p w:rsidR="003216A5" w:rsidRPr="00ED69E8" w:rsidRDefault="003216A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Законодательством не дано определение понятию «расчеты», хотя в нормативных документах достаточно часто встречается данный термин. </w:t>
      </w:r>
      <w:r w:rsidR="003A30FB" w:rsidRPr="00ED69E8">
        <w:rPr>
          <w:sz w:val="28"/>
          <w:szCs w:val="28"/>
        </w:rPr>
        <w:t>В экономической и юридической литературе</w:t>
      </w:r>
      <w:r w:rsidR="00017839" w:rsidRPr="00ED69E8">
        <w:rPr>
          <w:sz w:val="28"/>
          <w:szCs w:val="28"/>
        </w:rPr>
        <w:t xml:space="preserve"> существуют различные подходы к определению указанного понятия, т.е. выделяют правовые и экономиче</w:t>
      </w:r>
      <w:r w:rsidR="00544D88" w:rsidRPr="00ED69E8">
        <w:rPr>
          <w:sz w:val="28"/>
          <w:szCs w:val="28"/>
        </w:rPr>
        <w:t>с</w:t>
      </w:r>
      <w:r w:rsidR="00017839" w:rsidRPr="00ED69E8">
        <w:rPr>
          <w:sz w:val="28"/>
          <w:szCs w:val="28"/>
        </w:rPr>
        <w:t>кие точки зрения</w:t>
      </w:r>
      <w:r w:rsidR="00544D88" w:rsidRPr="00ED69E8">
        <w:rPr>
          <w:sz w:val="28"/>
          <w:szCs w:val="28"/>
        </w:rPr>
        <w:t>, но все они сужены до оплаты долга, причем только денежными средствами, игнорируя</w:t>
      </w:r>
      <w:r w:rsidR="00ED69E8">
        <w:rPr>
          <w:sz w:val="28"/>
          <w:szCs w:val="28"/>
        </w:rPr>
        <w:t xml:space="preserve"> </w:t>
      </w:r>
      <w:r w:rsidR="00544D88" w:rsidRPr="00ED69E8">
        <w:rPr>
          <w:sz w:val="28"/>
          <w:szCs w:val="28"/>
        </w:rPr>
        <w:t>тем самым все многообразие</w:t>
      </w:r>
      <w:r w:rsidR="00045F1A" w:rsidRPr="00ED69E8">
        <w:rPr>
          <w:sz w:val="28"/>
          <w:szCs w:val="28"/>
        </w:rPr>
        <w:t xml:space="preserve"> применяемых в настоящее </w:t>
      </w:r>
      <w:r w:rsidR="00BD572C" w:rsidRPr="00ED69E8">
        <w:rPr>
          <w:sz w:val="28"/>
          <w:szCs w:val="28"/>
        </w:rPr>
        <w:t>в</w:t>
      </w:r>
      <w:r w:rsidR="00045F1A" w:rsidRPr="00ED69E8">
        <w:rPr>
          <w:sz w:val="28"/>
          <w:szCs w:val="28"/>
        </w:rPr>
        <w:t>ремя форм и видов расчетов</w:t>
      </w:r>
      <w:r w:rsidR="00BD572C" w:rsidRPr="00ED69E8">
        <w:rPr>
          <w:sz w:val="28"/>
          <w:szCs w:val="28"/>
        </w:rPr>
        <w:t>, приводящих к прекращению обязательств.</w:t>
      </w:r>
    </w:p>
    <w:p w:rsidR="00E64F56" w:rsidRPr="00ED69E8" w:rsidRDefault="00EE3873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 позиции бухгалтерского учета</w:t>
      </w:r>
      <w:r w:rsidR="00E00A67" w:rsidRPr="00ED69E8">
        <w:rPr>
          <w:sz w:val="28"/>
          <w:szCs w:val="28"/>
        </w:rPr>
        <w:t>, характерной особенностью расчетов является одновременные с их осуществлением</w:t>
      </w:r>
      <w:r w:rsidRPr="00ED69E8">
        <w:rPr>
          <w:sz w:val="28"/>
          <w:szCs w:val="28"/>
        </w:rPr>
        <w:t xml:space="preserve"> изменения в структуре имущества (дебиторская задолженность) или обязательствах (кредиторской задолженности) организации.</w:t>
      </w:r>
      <w:r w:rsidR="009733AB" w:rsidRPr="00ED69E8">
        <w:rPr>
          <w:sz w:val="28"/>
          <w:szCs w:val="28"/>
        </w:rPr>
        <w:t xml:space="preserve"> В первом случае при погашении дебиторской задолженности</w:t>
      </w:r>
      <w:r w:rsidR="002170DF" w:rsidRPr="00ED69E8">
        <w:rPr>
          <w:sz w:val="28"/>
          <w:szCs w:val="28"/>
        </w:rPr>
        <w:t xml:space="preserve"> происходит уменьшение одного вида актива (</w:t>
      </w:r>
      <w:r w:rsidR="00182175" w:rsidRPr="00ED69E8">
        <w:rPr>
          <w:sz w:val="28"/>
          <w:szCs w:val="28"/>
        </w:rPr>
        <w:t xml:space="preserve">права на получение определенной денежной суммы) и увеличение другого </w:t>
      </w:r>
      <w:r w:rsidR="002170DF" w:rsidRPr="00ED69E8">
        <w:rPr>
          <w:sz w:val="28"/>
          <w:szCs w:val="28"/>
        </w:rPr>
        <w:t>(денежные средства)</w:t>
      </w:r>
      <w:r w:rsidR="00182175" w:rsidRPr="00ED69E8">
        <w:rPr>
          <w:sz w:val="28"/>
          <w:szCs w:val="28"/>
        </w:rPr>
        <w:t>, валюта баланса при этом остается неиз</w:t>
      </w:r>
      <w:r w:rsidR="000D05B3" w:rsidRPr="00ED69E8">
        <w:rPr>
          <w:sz w:val="28"/>
          <w:szCs w:val="28"/>
        </w:rPr>
        <w:t>м</w:t>
      </w:r>
      <w:r w:rsidR="00182175" w:rsidRPr="00ED69E8">
        <w:rPr>
          <w:sz w:val="28"/>
          <w:szCs w:val="28"/>
        </w:rPr>
        <w:t>енной. Во втором случае при</w:t>
      </w:r>
      <w:r w:rsidR="000D05B3" w:rsidRPr="00ED69E8">
        <w:rPr>
          <w:sz w:val="28"/>
          <w:szCs w:val="28"/>
        </w:rPr>
        <w:t xml:space="preserve"> погашении кредиторской задолженности уменьшается валюта баланса с одновременным уменьшением не только суммы самой задолженности, но и размера имущества</w:t>
      </w:r>
      <w:r w:rsidR="00C305A2" w:rsidRPr="00ED69E8">
        <w:rPr>
          <w:sz w:val="28"/>
          <w:szCs w:val="28"/>
        </w:rPr>
        <w:t xml:space="preserve"> организации (денежных средств или других активов).</w:t>
      </w:r>
    </w:p>
    <w:p w:rsidR="003F1673" w:rsidRPr="00ED69E8" w:rsidRDefault="003F1673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7C5D" w:rsidRPr="00ED69E8" w:rsidRDefault="0037361B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>1</w:t>
      </w:r>
      <w:r w:rsidR="006A5B01" w:rsidRPr="00ED69E8">
        <w:rPr>
          <w:b/>
          <w:bCs/>
          <w:sz w:val="28"/>
          <w:szCs w:val="28"/>
        </w:rPr>
        <w:t>.</w:t>
      </w:r>
      <w:r w:rsidRPr="00ED69E8">
        <w:rPr>
          <w:b/>
          <w:bCs/>
          <w:sz w:val="28"/>
          <w:szCs w:val="28"/>
        </w:rPr>
        <w:t>2</w:t>
      </w:r>
      <w:r w:rsidR="006A5B01" w:rsidRPr="00ED69E8">
        <w:rPr>
          <w:b/>
          <w:bCs/>
          <w:sz w:val="28"/>
          <w:szCs w:val="28"/>
        </w:rPr>
        <w:t xml:space="preserve"> </w:t>
      </w:r>
      <w:r w:rsidR="00D918E3" w:rsidRPr="00ED69E8">
        <w:rPr>
          <w:b/>
          <w:bCs/>
          <w:sz w:val="28"/>
          <w:szCs w:val="28"/>
        </w:rPr>
        <w:t>Виды ра</w:t>
      </w:r>
      <w:r w:rsidR="00A65CD5" w:rsidRPr="00ED69E8">
        <w:rPr>
          <w:b/>
          <w:bCs/>
          <w:sz w:val="28"/>
          <w:szCs w:val="28"/>
        </w:rPr>
        <w:t>счетов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955A06" w:rsidRPr="00ED69E8" w:rsidRDefault="00634B9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Расчетные операции сопровождают деятельность любой организации. </w:t>
      </w:r>
      <w:r w:rsidR="008913A1" w:rsidRPr="00ED69E8">
        <w:rPr>
          <w:sz w:val="28"/>
          <w:szCs w:val="28"/>
        </w:rPr>
        <w:t>В настоящее время существует множество вариантов осуществления расчетных операций</w:t>
      </w:r>
      <w:r w:rsidR="00A25D9A" w:rsidRPr="00ED69E8">
        <w:rPr>
          <w:sz w:val="28"/>
          <w:szCs w:val="28"/>
        </w:rPr>
        <w:t xml:space="preserve"> </w:t>
      </w:r>
      <w:r w:rsidR="00057EE9" w:rsidRPr="00ED69E8">
        <w:rPr>
          <w:sz w:val="28"/>
          <w:szCs w:val="28"/>
        </w:rPr>
        <w:t>как внутри самой организации, так и с ее контрагентами.</w:t>
      </w:r>
      <w:r w:rsidR="007536D7" w:rsidRPr="00ED69E8">
        <w:rPr>
          <w:sz w:val="28"/>
          <w:szCs w:val="28"/>
        </w:rPr>
        <w:t xml:space="preserve"> </w:t>
      </w:r>
      <w:r w:rsidR="00787CF2" w:rsidRPr="00ED69E8">
        <w:rPr>
          <w:sz w:val="28"/>
          <w:szCs w:val="28"/>
        </w:rPr>
        <w:t>В табл.1 представлена</w:t>
      </w:r>
      <w:r w:rsidRPr="00ED69E8">
        <w:rPr>
          <w:sz w:val="28"/>
          <w:szCs w:val="28"/>
        </w:rPr>
        <w:t xml:space="preserve"> </w:t>
      </w:r>
      <w:r w:rsidR="007536D7" w:rsidRPr="00ED69E8">
        <w:rPr>
          <w:sz w:val="28"/>
          <w:szCs w:val="28"/>
        </w:rPr>
        <w:t>классификаци</w:t>
      </w:r>
      <w:r w:rsidR="00787CF2" w:rsidRPr="00ED69E8">
        <w:rPr>
          <w:sz w:val="28"/>
          <w:szCs w:val="28"/>
        </w:rPr>
        <w:t>я</w:t>
      </w:r>
      <w:r w:rsidR="007536D7" w:rsidRPr="00ED69E8">
        <w:rPr>
          <w:sz w:val="28"/>
          <w:szCs w:val="28"/>
        </w:rPr>
        <w:t xml:space="preserve"> расчетов </w:t>
      </w:r>
      <w:r w:rsidRPr="00ED69E8">
        <w:rPr>
          <w:sz w:val="28"/>
          <w:szCs w:val="28"/>
        </w:rPr>
        <w:t xml:space="preserve">организации </w:t>
      </w:r>
      <w:r w:rsidR="007536D7" w:rsidRPr="00ED69E8">
        <w:rPr>
          <w:sz w:val="28"/>
          <w:szCs w:val="28"/>
        </w:rPr>
        <w:t>для целей бухгалтерского учета.</w:t>
      </w:r>
    </w:p>
    <w:p w:rsid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FCC" w:rsidRPr="00ED69E8" w:rsidRDefault="003B0FC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Табл. 1</w:t>
      </w:r>
    </w:p>
    <w:tbl>
      <w:tblPr>
        <w:tblW w:w="9200" w:type="dxa"/>
        <w:tblInd w:w="95" w:type="dxa"/>
        <w:tblLook w:val="0000" w:firstRow="0" w:lastRow="0" w:firstColumn="0" w:lastColumn="0" w:noHBand="0" w:noVBand="0"/>
      </w:tblPr>
      <w:tblGrid>
        <w:gridCol w:w="3900"/>
        <w:gridCol w:w="5300"/>
      </w:tblGrid>
      <w:tr w:rsidR="00532498" w:rsidRPr="00ED69E8">
        <w:trPr>
          <w:trHeight w:val="33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498" w:rsidRPr="00ED69E8" w:rsidRDefault="00532498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Признак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498" w:rsidRPr="00ED69E8" w:rsidRDefault="00532498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Виды расчетов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Форма расчетов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1.денежные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2.неденежные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 категории контрагентов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</w:t>
            </w:r>
            <w:r w:rsidR="006F4788" w:rsidRPr="00ED69E8">
              <w:rPr>
                <w:sz w:val="20"/>
                <w:szCs w:val="20"/>
              </w:rPr>
              <w:t>физические лица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</w:t>
            </w:r>
            <w:r w:rsidR="006F4788" w:rsidRPr="00ED69E8">
              <w:rPr>
                <w:sz w:val="20"/>
                <w:szCs w:val="20"/>
              </w:rPr>
              <w:t>юридические лица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 моменту проведения платежей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1.авансы (предварительная оплата)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2.последующая оплата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 экономическому содержанию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1.с поставщиками и подрядчиками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2.с потребителями и заказчиками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3.с разными дебиторами и кредиторами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4.внутрихозяйственные расчеты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 отношению к среде предприятия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1.внутренние</w:t>
            </w:r>
          </w:p>
        </w:tc>
      </w:tr>
      <w:tr w:rsidR="00532498" w:rsidRPr="00ED69E8">
        <w:trPr>
          <w:trHeight w:val="33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98" w:rsidRPr="00ED69E8" w:rsidRDefault="00532498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2.внешние</w:t>
            </w:r>
          </w:p>
        </w:tc>
      </w:tr>
    </w:tbl>
    <w:p w:rsidR="00587584" w:rsidRPr="00ED69E8" w:rsidRDefault="00587584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422D7C" w:rsidRPr="00ED69E8" w:rsidRDefault="00306AEF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Кроме </w:t>
      </w:r>
      <w:r w:rsidR="00774373" w:rsidRPr="00ED69E8">
        <w:rPr>
          <w:sz w:val="28"/>
          <w:szCs w:val="28"/>
        </w:rPr>
        <w:t>того,</w:t>
      </w:r>
      <w:r w:rsidRPr="00ED69E8">
        <w:rPr>
          <w:sz w:val="28"/>
          <w:szCs w:val="28"/>
        </w:rPr>
        <w:t xml:space="preserve"> денежные расчеты подразделяются на наличные, когда должник вручает кредитору деньги в натуральной форме, и безналичные</w:t>
      </w:r>
      <w:r w:rsidR="00DC48C7" w:rsidRPr="00ED69E8">
        <w:rPr>
          <w:sz w:val="28"/>
          <w:szCs w:val="28"/>
        </w:rPr>
        <w:t xml:space="preserve">, т.е. расчеты по гражданско–правовым сделкам и иным основаниям с использованием для этого </w:t>
      </w:r>
      <w:r w:rsidR="003937BC" w:rsidRPr="00ED69E8">
        <w:rPr>
          <w:sz w:val="28"/>
          <w:szCs w:val="28"/>
        </w:rPr>
        <w:t xml:space="preserve">денежные средства на банковских счетах. Неденежные расчеты – это </w:t>
      </w:r>
      <w:r w:rsidR="00890117" w:rsidRPr="00ED69E8">
        <w:rPr>
          <w:sz w:val="28"/>
          <w:szCs w:val="28"/>
        </w:rPr>
        <w:t>исполнение обязательств неденежными средствами. При этом используются такие варианты расчетов</w:t>
      </w:r>
      <w:r w:rsidR="002C1CFF" w:rsidRPr="00ED69E8">
        <w:rPr>
          <w:sz w:val="28"/>
          <w:szCs w:val="28"/>
        </w:rPr>
        <w:t>, как договор мены</w:t>
      </w:r>
      <w:r w:rsidR="00002F9B" w:rsidRPr="00ED69E8">
        <w:rPr>
          <w:sz w:val="28"/>
          <w:szCs w:val="28"/>
        </w:rPr>
        <w:t>, товарообменные (бартерные) операции, взаимозачеты, вексельные расчеты, уступка права требования, исполнение обязательств треть</w:t>
      </w:r>
      <w:r w:rsidR="003A7374" w:rsidRPr="00ED69E8">
        <w:rPr>
          <w:sz w:val="28"/>
          <w:szCs w:val="28"/>
        </w:rPr>
        <w:t>им лицом, перевод долга. Также к неденежным расчетам можно условно отнести и списание дебиторской задолженн</w:t>
      </w:r>
      <w:r w:rsidR="005B3712" w:rsidRPr="00ED69E8">
        <w:rPr>
          <w:sz w:val="28"/>
          <w:szCs w:val="28"/>
        </w:rPr>
        <w:t>о</w:t>
      </w:r>
      <w:r w:rsidR="003A7374" w:rsidRPr="00ED69E8">
        <w:rPr>
          <w:sz w:val="28"/>
          <w:szCs w:val="28"/>
        </w:rPr>
        <w:t>сти.</w:t>
      </w:r>
      <w:r w:rsidR="005B3712" w:rsidRPr="00ED69E8">
        <w:rPr>
          <w:sz w:val="28"/>
          <w:szCs w:val="28"/>
        </w:rPr>
        <w:t xml:space="preserve"> В зависимости от используемой формы расчетов</w:t>
      </w:r>
      <w:r w:rsidR="006859E4" w:rsidRPr="00ED69E8">
        <w:rPr>
          <w:sz w:val="28"/>
          <w:szCs w:val="28"/>
        </w:rPr>
        <w:t xml:space="preserve"> применяются соответствующие счета бухгалтерского учета.</w:t>
      </w:r>
    </w:p>
    <w:p w:rsidR="006F4788" w:rsidRPr="00ED69E8" w:rsidRDefault="00DB532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Деление контрагентов на физические и юридические лица связано, как правило</w:t>
      </w:r>
      <w:r w:rsidR="00BB1244" w:rsidRPr="00ED69E8">
        <w:rPr>
          <w:sz w:val="28"/>
          <w:szCs w:val="28"/>
        </w:rPr>
        <w:t>,</w:t>
      </w:r>
      <w:r w:rsidRPr="00ED69E8">
        <w:rPr>
          <w:sz w:val="28"/>
          <w:szCs w:val="28"/>
        </w:rPr>
        <w:t xml:space="preserve"> с формой </w:t>
      </w:r>
      <w:r w:rsidR="00BB1244" w:rsidRPr="00ED69E8">
        <w:rPr>
          <w:sz w:val="28"/>
          <w:szCs w:val="28"/>
        </w:rPr>
        <w:t>оплаты</w:t>
      </w:r>
      <w:r w:rsidRPr="00ED69E8">
        <w:rPr>
          <w:sz w:val="28"/>
          <w:szCs w:val="28"/>
        </w:rPr>
        <w:t xml:space="preserve">. Физические лица в основном </w:t>
      </w:r>
      <w:r w:rsidR="00BB1244" w:rsidRPr="00ED69E8">
        <w:rPr>
          <w:sz w:val="28"/>
          <w:szCs w:val="28"/>
        </w:rPr>
        <w:t>ра</w:t>
      </w:r>
      <w:r w:rsidRPr="00ED69E8">
        <w:rPr>
          <w:sz w:val="28"/>
          <w:szCs w:val="28"/>
        </w:rPr>
        <w:t>с</w:t>
      </w:r>
      <w:r w:rsidR="00BB1244" w:rsidRPr="00ED69E8">
        <w:rPr>
          <w:sz w:val="28"/>
          <w:szCs w:val="28"/>
        </w:rPr>
        <w:t>с</w:t>
      </w:r>
      <w:r w:rsidRPr="00ED69E8">
        <w:rPr>
          <w:sz w:val="28"/>
          <w:szCs w:val="28"/>
        </w:rPr>
        <w:t xml:space="preserve">читываются наличными денежными средствами, а юридические – </w:t>
      </w:r>
      <w:r w:rsidR="00BB1244" w:rsidRPr="00ED69E8">
        <w:rPr>
          <w:sz w:val="28"/>
          <w:szCs w:val="28"/>
        </w:rPr>
        <w:t>безналичными.</w:t>
      </w:r>
    </w:p>
    <w:p w:rsidR="00A60309" w:rsidRPr="00ED69E8" w:rsidRDefault="00A021BF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Использование авансов </w:t>
      </w:r>
      <w:r w:rsidR="00975036" w:rsidRPr="00ED69E8">
        <w:rPr>
          <w:sz w:val="28"/>
          <w:szCs w:val="28"/>
        </w:rPr>
        <w:t xml:space="preserve">и/или предварительной оплаты </w:t>
      </w:r>
      <w:r w:rsidRPr="00ED69E8">
        <w:rPr>
          <w:sz w:val="28"/>
          <w:szCs w:val="28"/>
        </w:rPr>
        <w:t xml:space="preserve">при расчетах с контрагентами, обусловлено желанием организации уменьшить риск неплатежа со стороны </w:t>
      </w:r>
      <w:r w:rsidR="001E4157" w:rsidRPr="00ED69E8">
        <w:rPr>
          <w:sz w:val="28"/>
          <w:szCs w:val="28"/>
        </w:rPr>
        <w:t>организации – партнера</w:t>
      </w:r>
      <w:r w:rsidR="004F4D1B" w:rsidRPr="00ED69E8">
        <w:rPr>
          <w:sz w:val="28"/>
          <w:szCs w:val="28"/>
        </w:rPr>
        <w:t>.</w:t>
      </w:r>
    </w:p>
    <w:p w:rsidR="002A2DA7" w:rsidRPr="00ED69E8" w:rsidRDefault="008D7C9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По экономическому содержанию контрагенты подразделяются на </w:t>
      </w:r>
      <w:r w:rsidR="00A96064" w:rsidRPr="00ED69E8">
        <w:rPr>
          <w:sz w:val="28"/>
          <w:szCs w:val="28"/>
        </w:rPr>
        <w:t xml:space="preserve">4 </w:t>
      </w:r>
      <w:r w:rsidR="00520648" w:rsidRPr="00ED69E8">
        <w:rPr>
          <w:sz w:val="28"/>
          <w:szCs w:val="28"/>
        </w:rPr>
        <w:t xml:space="preserve">основные </w:t>
      </w:r>
      <w:r w:rsidR="00A96064" w:rsidRPr="00ED69E8">
        <w:rPr>
          <w:sz w:val="28"/>
          <w:szCs w:val="28"/>
        </w:rPr>
        <w:t>группы</w:t>
      </w:r>
      <w:r w:rsidR="00FB3CCF" w:rsidRPr="00ED69E8">
        <w:rPr>
          <w:sz w:val="28"/>
          <w:szCs w:val="28"/>
        </w:rPr>
        <w:t>. Данное разделение отражено и в</w:t>
      </w:r>
      <w:r w:rsidR="000D2044" w:rsidRPr="00ED69E8">
        <w:rPr>
          <w:sz w:val="28"/>
          <w:szCs w:val="28"/>
        </w:rPr>
        <w:t xml:space="preserve"> </w:t>
      </w:r>
      <w:r w:rsidR="00520648" w:rsidRPr="00ED69E8">
        <w:rPr>
          <w:sz w:val="28"/>
          <w:szCs w:val="28"/>
        </w:rPr>
        <w:t xml:space="preserve">главных </w:t>
      </w:r>
      <w:r w:rsidR="000D2044" w:rsidRPr="00ED69E8">
        <w:rPr>
          <w:sz w:val="28"/>
          <w:szCs w:val="28"/>
        </w:rPr>
        <w:t>счета</w:t>
      </w:r>
      <w:r w:rsidR="00FB3CCF" w:rsidRPr="00ED69E8">
        <w:rPr>
          <w:sz w:val="28"/>
          <w:szCs w:val="28"/>
        </w:rPr>
        <w:t>х, используемых</w:t>
      </w:r>
      <w:r w:rsidR="000D2044" w:rsidRPr="00ED69E8">
        <w:rPr>
          <w:sz w:val="28"/>
          <w:szCs w:val="28"/>
        </w:rPr>
        <w:t xml:space="preserve"> при расчетных операциях с ними</w:t>
      </w:r>
      <w:r w:rsidR="00CD6F76" w:rsidRPr="00ED69E8">
        <w:rPr>
          <w:sz w:val="28"/>
          <w:szCs w:val="28"/>
        </w:rPr>
        <w:t>. Это</w:t>
      </w:r>
      <w:r w:rsidR="00FB3CCF" w:rsidRPr="00ED69E8">
        <w:rPr>
          <w:sz w:val="28"/>
          <w:szCs w:val="28"/>
        </w:rPr>
        <w:t xml:space="preserve"> </w:t>
      </w:r>
      <w:r w:rsidR="002A2DA7" w:rsidRPr="00ED69E8">
        <w:rPr>
          <w:sz w:val="28"/>
          <w:szCs w:val="28"/>
        </w:rPr>
        <w:t xml:space="preserve">счет 60 «Расчеты с поставщиками и подрядчиками» (поставщики поставляют предметы и средства труда, а подрядчики выполняют строительные и иные работы для нее по ее заказу), счет 62 «Расчеты с покупателями и заказчиками», счет 76 «Расчет с разными дебиторами и кредиторами». </w:t>
      </w:r>
      <w:r w:rsidR="00C97F5B" w:rsidRPr="00ED69E8">
        <w:rPr>
          <w:sz w:val="28"/>
          <w:szCs w:val="28"/>
        </w:rPr>
        <w:t>Отдельное</w:t>
      </w:r>
      <w:r w:rsidR="002A2DA7" w:rsidRPr="00ED69E8">
        <w:rPr>
          <w:sz w:val="28"/>
          <w:szCs w:val="28"/>
        </w:rPr>
        <w:t xml:space="preserve"> место в составе </w:t>
      </w:r>
      <w:r w:rsidR="00CD6F76" w:rsidRPr="00ED69E8">
        <w:rPr>
          <w:sz w:val="28"/>
          <w:szCs w:val="28"/>
        </w:rPr>
        <w:t>данных</w:t>
      </w:r>
      <w:r w:rsidR="002A2DA7" w:rsidRPr="00ED69E8">
        <w:rPr>
          <w:sz w:val="28"/>
          <w:szCs w:val="28"/>
        </w:rPr>
        <w:t xml:space="preserve"> расчетных операций занимает счет 79 «Внутрихозяйственные расчеты»</w:t>
      </w:r>
      <w:r w:rsidR="00C97F5B" w:rsidRPr="00ED69E8">
        <w:rPr>
          <w:sz w:val="28"/>
          <w:szCs w:val="28"/>
        </w:rPr>
        <w:t xml:space="preserve">, </w:t>
      </w:r>
      <w:r w:rsidR="002A2DA7" w:rsidRPr="00ED69E8">
        <w:rPr>
          <w:sz w:val="28"/>
          <w:szCs w:val="28"/>
        </w:rPr>
        <w:t>поскольку применяется при расчетах с обособленными подразделениями организации, являющимися отдельными юридическими лицами, либо в связи</w:t>
      </w:r>
      <w:r w:rsidR="00ED69E8">
        <w:rPr>
          <w:sz w:val="28"/>
          <w:szCs w:val="28"/>
        </w:rPr>
        <w:t xml:space="preserve"> </w:t>
      </w:r>
      <w:r w:rsidR="002A2DA7" w:rsidRPr="00ED69E8">
        <w:rPr>
          <w:sz w:val="28"/>
          <w:szCs w:val="28"/>
        </w:rPr>
        <w:t>с передачей ее имущества другой организации в доверительное управление.</w:t>
      </w:r>
    </w:p>
    <w:p w:rsidR="008E1A7D" w:rsidRPr="00ED69E8" w:rsidRDefault="00C5720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 отношению к среде предприятия все расчеты</w:t>
      </w:r>
      <w:r w:rsidR="00927C5D" w:rsidRPr="00ED69E8">
        <w:rPr>
          <w:sz w:val="28"/>
          <w:szCs w:val="28"/>
        </w:rPr>
        <w:t xml:space="preserve"> можно разделить на две группы. Первая группа – внешние расчетные операции. Это операции данной организации с другими юридическими лицами и физическими лицами, не являющимися ее штатными работниками. Вторая группа – внутренние расчетные операции.</w:t>
      </w:r>
      <w:r w:rsidR="00ED69E8">
        <w:rPr>
          <w:sz w:val="28"/>
          <w:szCs w:val="28"/>
        </w:rPr>
        <w:t xml:space="preserve"> </w:t>
      </w:r>
      <w:r w:rsidR="00927C5D" w:rsidRPr="00ED69E8">
        <w:rPr>
          <w:sz w:val="28"/>
          <w:szCs w:val="28"/>
        </w:rPr>
        <w:t>Это операции по расчетам организации</w:t>
      </w:r>
      <w:r w:rsidR="002D3A81" w:rsidRPr="00ED69E8">
        <w:rPr>
          <w:sz w:val="28"/>
          <w:szCs w:val="28"/>
        </w:rPr>
        <w:t xml:space="preserve"> со своими штатными работниками, подотчетными лицами и учредителями.</w:t>
      </w:r>
      <w:r w:rsidR="00927C5D" w:rsidRPr="00ED69E8">
        <w:rPr>
          <w:sz w:val="28"/>
          <w:szCs w:val="28"/>
        </w:rPr>
        <w:t xml:space="preserve"> В составе внешних расчетных операций рассматриваются расчеты с поставщиками и подрядчиками, с покупателями и заказчиками, с разными дебиторами и кредиторами, а также внутрихозяйственные расчеты.</w:t>
      </w:r>
    </w:p>
    <w:p w:rsid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18E3" w:rsidRPr="00ED69E8" w:rsidRDefault="0037361B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1.3 </w:t>
      </w:r>
      <w:r w:rsidR="00D918E3" w:rsidRPr="00ED69E8">
        <w:rPr>
          <w:b/>
          <w:bCs/>
          <w:sz w:val="28"/>
          <w:szCs w:val="28"/>
        </w:rPr>
        <w:t>Понятие дебиторской и кредиторской задолж</w:t>
      </w:r>
      <w:r w:rsidR="002C53F3" w:rsidRPr="00ED69E8">
        <w:rPr>
          <w:b/>
          <w:bCs/>
          <w:sz w:val="28"/>
          <w:szCs w:val="28"/>
        </w:rPr>
        <w:t>ен</w:t>
      </w:r>
      <w:r w:rsidR="00A65CD5" w:rsidRPr="00ED69E8">
        <w:rPr>
          <w:b/>
          <w:bCs/>
          <w:sz w:val="28"/>
          <w:szCs w:val="28"/>
        </w:rPr>
        <w:t>ности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F7700C" w:rsidRPr="00ED69E8" w:rsidRDefault="00F7700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 ходе расчетов организации с другими лицами</w:t>
      </w:r>
      <w:r w:rsidR="00F15166" w:rsidRPr="00ED69E8">
        <w:rPr>
          <w:sz w:val="28"/>
          <w:szCs w:val="28"/>
        </w:rPr>
        <w:t xml:space="preserve"> может возникать </w:t>
      </w:r>
      <w:r w:rsidR="00F15166" w:rsidRPr="00ED69E8">
        <w:rPr>
          <w:i/>
          <w:iCs/>
          <w:sz w:val="28"/>
          <w:szCs w:val="28"/>
        </w:rPr>
        <w:t>дебиторская</w:t>
      </w:r>
      <w:r w:rsidR="00F15166" w:rsidRPr="00ED69E8">
        <w:rPr>
          <w:sz w:val="28"/>
          <w:szCs w:val="28"/>
        </w:rPr>
        <w:t xml:space="preserve"> или </w:t>
      </w:r>
      <w:r w:rsidR="00F15166" w:rsidRPr="00ED69E8">
        <w:rPr>
          <w:i/>
          <w:iCs/>
          <w:sz w:val="28"/>
          <w:szCs w:val="28"/>
        </w:rPr>
        <w:t>кредиторская</w:t>
      </w:r>
      <w:r w:rsidR="00F15166" w:rsidRPr="00ED69E8">
        <w:rPr>
          <w:sz w:val="28"/>
          <w:szCs w:val="28"/>
        </w:rPr>
        <w:t xml:space="preserve"> </w:t>
      </w:r>
      <w:r w:rsidR="00F15166" w:rsidRPr="00ED69E8">
        <w:rPr>
          <w:i/>
          <w:iCs/>
          <w:sz w:val="28"/>
          <w:szCs w:val="28"/>
        </w:rPr>
        <w:t xml:space="preserve">задолженность. </w:t>
      </w:r>
      <w:r w:rsidR="00F15166" w:rsidRPr="00ED69E8">
        <w:rPr>
          <w:sz w:val="28"/>
          <w:szCs w:val="28"/>
        </w:rPr>
        <w:t>Дебиторская задолженность отражается в активе баланса</w:t>
      </w:r>
      <w:r w:rsidR="000C40BE" w:rsidRPr="00ED69E8">
        <w:rPr>
          <w:sz w:val="28"/>
          <w:szCs w:val="28"/>
        </w:rPr>
        <w:t>. Примером ее является задолженность покупателей за полученную, но не оплаченную продукцию. Кредиторская задолженность (должником является сама организация) отраж</w:t>
      </w:r>
      <w:r w:rsidR="004F6F08" w:rsidRPr="00ED69E8">
        <w:rPr>
          <w:sz w:val="28"/>
          <w:szCs w:val="28"/>
        </w:rPr>
        <w:t>а</w:t>
      </w:r>
      <w:r w:rsidR="000C40BE" w:rsidRPr="00ED69E8">
        <w:rPr>
          <w:sz w:val="28"/>
          <w:szCs w:val="28"/>
        </w:rPr>
        <w:t>ется в пассиве баланса</w:t>
      </w:r>
      <w:r w:rsidR="004F6F08" w:rsidRPr="00ED69E8">
        <w:rPr>
          <w:sz w:val="28"/>
          <w:szCs w:val="28"/>
        </w:rPr>
        <w:t>. Примером ее является задолженность поставщику за полученные, но еще не оплаченные материальные ценности. Задолженность может быть срочной</w:t>
      </w:r>
      <w:r w:rsidR="009D5274" w:rsidRPr="00ED69E8">
        <w:rPr>
          <w:sz w:val="28"/>
          <w:szCs w:val="28"/>
        </w:rPr>
        <w:t xml:space="preserve"> и просроченной, образовавшейся при невыполнении должником в срок своих обязательств.</w:t>
      </w:r>
    </w:p>
    <w:p w:rsidR="009D5274" w:rsidRPr="00ED69E8" w:rsidRDefault="00674BC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Бухгалтеру важно следить за своевременным погашением задолженностей. Если задолженность дебиторская, то можно случайно пропустить срок исковой давности</w:t>
      </w:r>
      <w:r w:rsidR="00733F8A" w:rsidRPr="00ED69E8">
        <w:rPr>
          <w:sz w:val="28"/>
          <w:szCs w:val="28"/>
        </w:rPr>
        <w:t xml:space="preserve"> и нельзя будет вернуть свои деньги, а если кредиторская, то возникают ситуации, при которых организация</w:t>
      </w:r>
      <w:r w:rsidR="00F34EA8" w:rsidRPr="00ED69E8">
        <w:rPr>
          <w:sz w:val="28"/>
          <w:szCs w:val="28"/>
        </w:rPr>
        <w:t xml:space="preserve"> обязана будет уплатить штрафы</w:t>
      </w:r>
      <w:r w:rsidR="00661542" w:rsidRPr="00ED69E8">
        <w:rPr>
          <w:sz w:val="28"/>
          <w:szCs w:val="28"/>
        </w:rPr>
        <w:t xml:space="preserve">, пени, неустойки. Реальность дебиторской и кредиторской задолженности должна быть </w:t>
      </w:r>
      <w:r w:rsidR="00477FC2" w:rsidRPr="00ED69E8">
        <w:rPr>
          <w:sz w:val="28"/>
          <w:szCs w:val="28"/>
        </w:rPr>
        <w:t>подтверждена документально. Для этого организация направляет контрагентам выписки из карточек аналитического учета</w:t>
      </w:r>
      <w:r w:rsidR="00811E7F" w:rsidRPr="00ED69E8">
        <w:rPr>
          <w:sz w:val="28"/>
          <w:szCs w:val="28"/>
        </w:rPr>
        <w:t xml:space="preserve"> о числящихся по ним суммам</w:t>
      </w:r>
      <w:r w:rsidR="0062305B" w:rsidRPr="00ED69E8">
        <w:rPr>
          <w:sz w:val="28"/>
          <w:szCs w:val="28"/>
        </w:rPr>
        <w:t xml:space="preserve"> или запрос о состоянии расчетов.</w:t>
      </w:r>
    </w:p>
    <w:p w:rsidR="0062305B" w:rsidRPr="00ED69E8" w:rsidRDefault="0062305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Организации, которые устанавливают в своей учетной политике </w:t>
      </w:r>
      <w:r w:rsidR="00045026" w:rsidRPr="00ED69E8">
        <w:rPr>
          <w:sz w:val="28"/>
          <w:szCs w:val="28"/>
        </w:rPr>
        <w:t>метод определения выручки о реализации для целей налогообл</w:t>
      </w:r>
      <w:r w:rsidR="005D02BC" w:rsidRPr="00ED69E8">
        <w:rPr>
          <w:sz w:val="28"/>
          <w:szCs w:val="28"/>
        </w:rPr>
        <w:t>о</w:t>
      </w:r>
      <w:r w:rsidR="00045026" w:rsidRPr="00ED69E8">
        <w:rPr>
          <w:sz w:val="28"/>
          <w:szCs w:val="28"/>
        </w:rPr>
        <w:t>жения по отгрузке продукции, могут в конце года создать резерв сомнительных долгов</w:t>
      </w:r>
      <w:r w:rsidR="005D02BC" w:rsidRPr="00ED69E8">
        <w:rPr>
          <w:sz w:val="28"/>
          <w:szCs w:val="28"/>
        </w:rPr>
        <w:t>. Этот резерв создается по результатам инвентаризации дебиторской задолженности</w:t>
      </w:r>
      <w:r w:rsidR="005254F8" w:rsidRPr="00ED69E8">
        <w:rPr>
          <w:sz w:val="28"/>
          <w:szCs w:val="28"/>
        </w:rPr>
        <w:t>. Вели</w:t>
      </w:r>
      <w:r w:rsidR="005D02BC" w:rsidRPr="00ED69E8">
        <w:rPr>
          <w:sz w:val="28"/>
          <w:szCs w:val="28"/>
        </w:rPr>
        <w:t>ч</w:t>
      </w:r>
      <w:r w:rsidR="005254F8" w:rsidRPr="00ED69E8">
        <w:rPr>
          <w:sz w:val="28"/>
          <w:szCs w:val="28"/>
        </w:rPr>
        <w:t>и</w:t>
      </w:r>
      <w:r w:rsidR="005D02BC" w:rsidRPr="00ED69E8">
        <w:rPr>
          <w:sz w:val="28"/>
          <w:szCs w:val="28"/>
        </w:rPr>
        <w:t>на его определяе</w:t>
      </w:r>
      <w:r w:rsidR="005254F8" w:rsidRPr="00ED69E8">
        <w:rPr>
          <w:sz w:val="28"/>
          <w:szCs w:val="28"/>
        </w:rPr>
        <w:t>тся отдельно по каждому долгу в зависимости от платежеспособности должника</w:t>
      </w:r>
      <w:r w:rsidR="00F57B0C" w:rsidRPr="00ED69E8">
        <w:rPr>
          <w:sz w:val="28"/>
          <w:szCs w:val="28"/>
        </w:rPr>
        <w:t xml:space="preserve"> и вероятности полного или частичного погашения долга. Если этот резерв не использован, то в конце года он снова присоединяется к прибыли. </w:t>
      </w:r>
    </w:p>
    <w:p w:rsidR="00F57B0C" w:rsidRPr="00ED69E8" w:rsidRDefault="00F57B0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При ведении расчетов используется понятие «исковая давность». Гражданский Кодекс определяет ее как </w:t>
      </w:r>
      <w:r w:rsidR="003C1644" w:rsidRPr="00ED69E8">
        <w:rPr>
          <w:sz w:val="28"/>
          <w:szCs w:val="28"/>
        </w:rPr>
        <w:t>срок защиты права по иску лица, право которого нарушено. В течение этого срока</w:t>
      </w:r>
      <w:r w:rsidR="00111BC5" w:rsidRPr="00ED69E8">
        <w:rPr>
          <w:sz w:val="28"/>
          <w:szCs w:val="28"/>
        </w:rPr>
        <w:t xml:space="preserve"> можно требовать принудительной защиты нарушенного права. Общий срок исковой давности равен трем годам. </w:t>
      </w:r>
      <w:r w:rsidR="005D6EF7" w:rsidRPr="00ED69E8">
        <w:rPr>
          <w:sz w:val="28"/>
          <w:szCs w:val="28"/>
        </w:rPr>
        <w:t>Но существуют и специальные сроки исковой давности, которые могут быть короткими или более длинными.</w:t>
      </w:r>
    </w:p>
    <w:p w:rsidR="00B02A86" w:rsidRPr="00ED69E8" w:rsidRDefault="00EA477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Примером более короткого срока исковой давности является срок исполнения</w:t>
      </w:r>
      <w:r w:rsidR="007F2B3B" w:rsidRPr="00ED69E8">
        <w:rPr>
          <w:sz w:val="28"/>
          <w:szCs w:val="28"/>
        </w:rPr>
        <w:t xml:space="preserve"> обязательств по платежам за поставку товаров (выполнение работ, оказание услуг). При этом обязательна форма договора, с предельным сроком</w:t>
      </w:r>
      <w:r w:rsidR="004C13AD" w:rsidRPr="00ED69E8">
        <w:rPr>
          <w:sz w:val="28"/>
          <w:szCs w:val="28"/>
        </w:rPr>
        <w:t xml:space="preserve"> исполнения обязательств, который не может превышать три месяца. </w:t>
      </w:r>
      <w:r w:rsidR="00DB5B2E" w:rsidRPr="00ED69E8">
        <w:rPr>
          <w:sz w:val="28"/>
          <w:szCs w:val="28"/>
        </w:rPr>
        <w:t>Если платежи не поступили, то по истечении четырех месяцев эта задолженность списывается на убытки кредитора, но не уменьшает финансовый результат</w:t>
      </w:r>
      <w:r w:rsidR="00B02A86" w:rsidRPr="00ED69E8">
        <w:rPr>
          <w:sz w:val="28"/>
          <w:szCs w:val="28"/>
        </w:rPr>
        <w:t>, учитываемый при налогообложении прибыли.</w:t>
      </w:r>
    </w:p>
    <w:p w:rsidR="001110B8" w:rsidRPr="00ED69E8" w:rsidRDefault="00B02A86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Такой порядок принят для того, чтобы не допускать умышленного </w:t>
      </w:r>
      <w:r w:rsidR="009F7305" w:rsidRPr="00ED69E8">
        <w:rPr>
          <w:sz w:val="28"/>
          <w:szCs w:val="28"/>
        </w:rPr>
        <w:t>несвоевременного осуществления платежей. Если он нарушается, то сделка считается ничтожной.</w:t>
      </w:r>
    </w:p>
    <w:p w:rsid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5B01" w:rsidRPr="00ED69E8" w:rsidRDefault="0037361B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1.4 </w:t>
      </w:r>
      <w:r w:rsidR="006A5B01" w:rsidRPr="00ED69E8">
        <w:rPr>
          <w:b/>
          <w:bCs/>
          <w:sz w:val="28"/>
          <w:szCs w:val="28"/>
        </w:rPr>
        <w:t xml:space="preserve">Используемые счета при </w:t>
      </w:r>
      <w:r w:rsidR="00DF162E" w:rsidRPr="00ED69E8">
        <w:rPr>
          <w:b/>
          <w:bCs/>
          <w:sz w:val="28"/>
          <w:szCs w:val="28"/>
        </w:rPr>
        <w:t>расчетах с контрагентами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6A5B01" w:rsidRPr="00ED69E8" w:rsidRDefault="002C1BC0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 табл. 2</w:t>
      </w:r>
      <w:r w:rsidR="006A5B01" w:rsidRPr="00ED69E8">
        <w:rPr>
          <w:sz w:val="28"/>
          <w:szCs w:val="28"/>
        </w:rPr>
        <w:t xml:space="preserve"> представлен перечень основных бухгалтерских счетов и субсчетов, используемых при учете расчетных операций</w:t>
      </w:r>
      <w:r w:rsidRPr="00ED69E8">
        <w:rPr>
          <w:sz w:val="28"/>
          <w:szCs w:val="28"/>
        </w:rPr>
        <w:t xml:space="preserve"> с различными контрагентамим</w:t>
      </w:r>
      <w:r w:rsidR="006A5B01" w:rsidRPr="00ED69E8">
        <w:rPr>
          <w:sz w:val="28"/>
          <w:szCs w:val="28"/>
        </w:rPr>
        <w:t xml:space="preserve">. В зависимости от условий хозяйствования состав, номера и наименования субсчетов могут отличаться от приведенных в таблице. </w:t>
      </w:r>
    </w:p>
    <w:p w:rsidR="00A40175" w:rsidRP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175" w:rsidRPr="00ED69E8">
        <w:rPr>
          <w:sz w:val="28"/>
          <w:szCs w:val="28"/>
        </w:rPr>
        <w:t>Табл. 2</w:t>
      </w:r>
    </w:p>
    <w:tbl>
      <w:tblPr>
        <w:tblW w:w="9228" w:type="dxa"/>
        <w:tblInd w:w="95" w:type="dxa"/>
        <w:tblLook w:val="0000" w:firstRow="0" w:lastRow="0" w:firstColumn="0" w:lastColumn="0" w:noHBand="0" w:noVBand="0"/>
      </w:tblPr>
      <w:tblGrid>
        <w:gridCol w:w="3590"/>
        <w:gridCol w:w="808"/>
        <w:gridCol w:w="3684"/>
        <w:gridCol w:w="1146"/>
      </w:tblGrid>
      <w:tr w:rsidR="006A5B01" w:rsidRPr="00ED69E8">
        <w:trPr>
          <w:trHeight w:val="854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 xml:space="preserve">Наименование счета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Номер счета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Номер и наименование субсчета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Характер счета (субсчета)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3.Строительство объектов основных средств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4.Приобретение объектов основных средств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305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5. Приобретение НМА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916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8. Выполнение научно-исследовательских работ, опытно-конструкторских работ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Материалы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Заготовление и приобретение материальных ценностей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19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1.НДС при приобретении основных средств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66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2.НДС по приобретенным НМА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398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3. НДС по приобретенным материально-производственным запасам и др.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Товары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Касса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Резервы по сомнительным долгам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</w:t>
            </w:r>
          </w:p>
        </w:tc>
      </w:tr>
      <w:tr w:rsidR="006A5B01" w:rsidRPr="00ED69E8">
        <w:trPr>
          <w:trHeight w:val="656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1.Расчеты по имущественному и личному страхованию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2.Расчеты по претензиям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961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3.Расчеты по причитающимся дивидендам и другим доходам и др.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Внутрихозяйственные расчеты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Продажи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  <w:tr w:rsidR="006A5B01" w:rsidRPr="00ED69E8">
        <w:trPr>
          <w:trHeight w:val="611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Недостачи и потери от порчи ценностей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</w:t>
            </w:r>
          </w:p>
        </w:tc>
      </w:tr>
      <w:tr w:rsidR="006A5B01" w:rsidRPr="00ED69E8">
        <w:trPr>
          <w:trHeight w:val="30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99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01" w:rsidRPr="00ED69E8" w:rsidRDefault="006A5B0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АП</w:t>
            </w:r>
          </w:p>
        </w:tc>
      </w:tr>
    </w:tbl>
    <w:p w:rsidR="00587584" w:rsidRPr="00ED69E8" w:rsidRDefault="00587584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08 используется для отражения расчетов с поставщиками при приобретении основных средств и НМА, для отражения расчетов с подрядчиками в ходе строительства или выполнения научно-исследовательских, опытно-конструкторских и технологических работ.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</w:t>
      </w:r>
      <w:r w:rsidR="00D5235B" w:rsidRPr="00ED69E8">
        <w:rPr>
          <w:sz w:val="28"/>
          <w:szCs w:val="28"/>
        </w:rPr>
        <w:t>а</w:t>
      </w:r>
      <w:r w:rsidRPr="00ED69E8">
        <w:rPr>
          <w:sz w:val="28"/>
          <w:szCs w:val="28"/>
        </w:rPr>
        <w:t xml:space="preserve"> 10,15 и 41 применяются для записи поступления материалов или товаров.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Счет 19 используется при отражении НДС по поступающим ценностям. 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Счета денежных средств (50, 51, 52) применяются при погашении поставщикам и подрядчикам, прочей кредиторской задолженности, а также при поступлении выручки от реализации и денежных средств о дебиторов. 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60 предназначен для обобщения информации о расчетах с поставщиками и подрядчиками:</w:t>
      </w:r>
    </w:p>
    <w:p w:rsidR="006A5B01" w:rsidRPr="00ED69E8" w:rsidRDefault="006A5B01" w:rsidP="0077437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За полученные товарно-материальные ценности, принятые выполненные работы и потребленные услуги, включая предоставление электроэнергии, газа, пара, воды, и т.п., а также по доставке или переработке материальных ценностей, расчетные документы на которые акцептованы и подлежат оплате через банк;</w:t>
      </w:r>
    </w:p>
    <w:p w:rsidR="006A5B01" w:rsidRPr="00ED69E8" w:rsidRDefault="006A5B01" w:rsidP="0077437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Товарно-материальные ценности, работы и услуги, на которые расчетные документы от поставщиков или подрядчиков не поступили (так называемые неотфактурованные);</w:t>
      </w:r>
    </w:p>
    <w:p w:rsidR="006A5B01" w:rsidRPr="00ED69E8" w:rsidRDefault="006A5B01" w:rsidP="0077437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Излишки товарно-материальных ценностей, выявленные при их приемке;</w:t>
      </w:r>
    </w:p>
    <w:p w:rsidR="006A5B01" w:rsidRPr="00ED69E8" w:rsidRDefault="006A5B01" w:rsidP="0077437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Полученные услуги по перевозкам, в т.ч. расчеты по недоборам и переборам тарифа (фрахта), а также за все виды услуг связи и др.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Организации, осуществляющие функции генерального подрядчика при выполнении строительных, опытно-конструкторских, технологических и иных подрядных работ, расчеты по своим субподрядчикам также отражают на счете 60.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62 предназначен для обобщения информации о расчетах с покупателями и заказчиками.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63 используется при списании невостребованных долгов, ранее признанных организацией сомнительными.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76 предназначен для обобщения информации о расчетах по операциям с дебиторами и кредиторами: по имущественному и личному страхованию, по претензиям, и другим расчетам, не нашедшим себе места в записях по счетам 60 и 62.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79 предназначен для учета всех видов расчетов с филиалами, представительствами, отделениями и другими обособленными подразделениями организации, выделенными на отдельные балансы (внутрибалансовых расчетов).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90 применяется для расчетов с покупателями по отгруженной продукции и с заказчиками по выполненным работам и услугам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Счет 91 применяется при расчетах по прочим доходам и расходам.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Необходимость использования счета</w:t>
      </w:r>
      <w:r w:rsidR="00ED69E8">
        <w:rPr>
          <w:sz w:val="28"/>
          <w:szCs w:val="28"/>
        </w:rPr>
        <w:t xml:space="preserve"> </w:t>
      </w:r>
      <w:r w:rsidRPr="00ED69E8">
        <w:rPr>
          <w:sz w:val="28"/>
          <w:szCs w:val="28"/>
        </w:rPr>
        <w:t>94 возникает при расчетах по претензиям.</w:t>
      </w:r>
    </w:p>
    <w:p w:rsidR="006A5B01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счетах 97 и 26 отражаются операции, связанные с расчетами по страхованию.</w:t>
      </w:r>
    </w:p>
    <w:p w:rsidR="004747A4" w:rsidRPr="00ED69E8" w:rsidRDefault="006A5B01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счете 99 учитываются отдельные</w:t>
      </w:r>
      <w:r w:rsidR="00F7152A" w:rsidRPr="00ED69E8">
        <w:rPr>
          <w:sz w:val="28"/>
          <w:szCs w:val="28"/>
        </w:rPr>
        <w:t xml:space="preserve"> потери от страховых случаев.</w:t>
      </w:r>
    </w:p>
    <w:p w:rsidR="000F451C" w:rsidRP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F162E" w:rsidRPr="00ED69E8">
        <w:rPr>
          <w:b/>
          <w:bCs/>
          <w:sz w:val="28"/>
          <w:szCs w:val="28"/>
        </w:rPr>
        <w:t xml:space="preserve">Глава 2. </w:t>
      </w:r>
      <w:r w:rsidR="000F451C" w:rsidRPr="00ED69E8">
        <w:rPr>
          <w:b/>
          <w:bCs/>
          <w:sz w:val="28"/>
          <w:szCs w:val="28"/>
        </w:rPr>
        <w:t xml:space="preserve">Учет </w:t>
      </w:r>
      <w:r w:rsidR="00D83F78" w:rsidRPr="00ED69E8">
        <w:rPr>
          <w:b/>
          <w:bCs/>
          <w:sz w:val="28"/>
          <w:szCs w:val="28"/>
        </w:rPr>
        <w:t>расчетов с контрагентами</w:t>
      </w:r>
    </w:p>
    <w:p w:rsid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10B8" w:rsidRPr="00ED69E8" w:rsidRDefault="00D83F7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2.1 </w:t>
      </w:r>
      <w:r w:rsidR="003B1FD1" w:rsidRPr="00ED69E8">
        <w:rPr>
          <w:b/>
          <w:bCs/>
          <w:sz w:val="28"/>
          <w:szCs w:val="28"/>
        </w:rPr>
        <w:t>Учетов расчетов с поставщиками и</w:t>
      </w:r>
      <w:r w:rsidR="00E26E29" w:rsidRPr="00ED69E8">
        <w:rPr>
          <w:b/>
          <w:bCs/>
          <w:sz w:val="28"/>
          <w:szCs w:val="28"/>
        </w:rPr>
        <w:t xml:space="preserve"> </w:t>
      </w:r>
      <w:r w:rsidRPr="00ED69E8">
        <w:rPr>
          <w:b/>
          <w:bCs/>
          <w:sz w:val="28"/>
          <w:szCs w:val="28"/>
        </w:rPr>
        <w:t>подрядчиками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3B1FD1" w:rsidRPr="00ED69E8" w:rsidRDefault="00E26E29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Счет 60 </w:t>
      </w:r>
      <w:r w:rsidR="00CF1749" w:rsidRPr="00ED69E8">
        <w:rPr>
          <w:sz w:val="28"/>
          <w:szCs w:val="28"/>
        </w:rPr>
        <w:t xml:space="preserve">«Расчеты с поставщиками и подрядчиками» </w:t>
      </w:r>
      <w:r w:rsidRPr="00ED69E8">
        <w:rPr>
          <w:sz w:val="28"/>
          <w:szCs w:val="28"/>
        </w:rPr>
        <w:t>кредитуется на стоимость прини</w:t>
      </w:r>
      <w:r w:rsidR="008D4F7C" w:rsidRPr="00ED69E8">
        <w:rPr>
          <w:sz w:val="28"/>
          <w:szCs w:val="28"/>
        </w:rPr>
        <w:t>маемых к бухгалтерскому учету товарно-материальных ценностей, работ, услуг в корреспонденции со счетами учета этих ценностей</w:t>
      </w:r>
      <w:r w:rsidR="0005529E" w:rsidRPr="00ED69E8">
        <w:rPr>
          <w:sz w:val="28"/>
          <w:szCs w:val="28"/>
        </w:rPr>
        <w:t>, а также на стоимость работ и услуг в корреспонденции со счетами учета соответствующих затрат.</w:t>
      </w:r>
      <w:r w:rsidR="00F92E3A" w:rsidRPr="00ED69E8">
        <w:rPr>
          <w:sz w:val="28"/>
          <w:szCs w:val="28"/>
        </w:rPr>
        <w:t xml:space="preserve"> За услуги по заготовке и доставке материальных ценностей (товаров), а также по переработке материалов на стороне записи по </w:t>
      </w:r>
      <w:r w:rsidR="00A36F20" w:rsidRPr="00ED69E8">
        <w:rPr>
          <w:sz w:val="28"/>
          <w:szCs w:val="28"/>
        </w:rPr>
        <w:t>кредиту счета 60 производятся в корреспонденции со счетами учета производственных запасов, товаров, затрат на производство и т.п.</w:t>
      </w:r>
    </w:p>
    <w:p w:rsidR="00A36F20" w:rsidRPr="00ED69E8" w:rsidRDefault="005C6240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 синтетическом учете счет 60 кредитуется согласно расчетным документам поставщика независимо от оценки товарно-материальных ценностей</w:t>
      </w:r>
      <w:r w:rsidR="00D528C3" w:rsidRPr="00ED69E8">
        <w:rPr>
          <w:sz w:val="28"/>
          <w:szCs w:val="28"/>
        </w:rPr>
        <w:t xml:space="preserve">, принятой в аналитическом учете. При поступлении на склад может быть выявлена недостача (порча) товарно-материальных ценностей: </w:t>
      </w:r>
    </w:p>
    <w:p w:rsidR="00E61AF8" w:rsidRPr="00ED69E8" w:rsidRDefault="00E61AF8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А) в пределах предусмотренных договором величин;</w:t>
      </w:r>
    </w:p>
    <w:p w:rsidR="00E61AF8" w:rsidRPr="00ED69E8" w:rsidRDefault="00017F6A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Б) сверх предусмотренных договором величин.</w:t>
      </w:r>
    </w:p>
    <w:p w:rsidR="00017F6A" w:rsidRPr="00ED69E8" w:rsidRDefault="00017F6A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В первом случае вся сумма недостачи относится в дебет счета 94 «недостача и потери от порчи ценностей» в корреспонденции с кредитом счета 60. Во втором случае сумма недостачи сверх </w:t>
      </w:r>
      <w:r w:rsidR="0032031C" w:rsidRPr="00ED69E8">
        <w:rPr>
          <w:sz w:val="28"/>
          <w:szCs w:val="28"/>
        </w:rPr>
        <w:t xml:space="preserve">предусмотренной в договоре отражается по дебету субсчета 76-2 «Расчеты по претензиям» </w:t>
      </w:r>
      <w:r w:rsidR="006D0ACD" w:rsidRPr="00ED69E8">
        <w:rPr>
          <w:sz w:val="28"/>
          <w:szCs w:val="28"/>
        </w:rPr>
        <w:t>в корреспонденции с кредитом счета 60.</w:t>
      </w:r>
    </w:p>
    <w:p w:rsidR="006D0ACD" w:rsidRPr="00ED69E8" w:rsidRDefault="006D0ACD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За неотфактурованные поставки (т.е. </w:t>
      </w:r>
      <w:r w:rsidR="00514808" w:rsidRPr="00ED69E8">
        <w:rPr>
          <w:sz w:val="28"/>
          <w:szCs w:val="28"/>
        </w:rPr>
        <w:t>поставки, по которым не предъявлены платежные документы) счет 60 кредитуется на стоимость поступивших ценностей</w:t>
      </w:r>
      <w:r w:rsidR="00462CE9" w:rsidRPr="00ED69E8">
        <w:rPr>
          <w:sz w:val="28"/>
          <w:szCs w:val="28"/>
        </w:rPr>
        <w:t>, определенную исходя из цены и условий, предусмотренных</w:t>
      </w:r>
      <w:r w:rsidR="008259AA" w:rsidRPr="00ED69E8">
        <w:rPr>
          <w:sz w:val="28"/>
          <w:szCs w:val="28"/>
        </w:rPr>
        <w:t xml:space="preserve"> ценностей, определенную исходя из цены и условий, предусмотренных в договорах.</w:t>
      </w:r>
    </w:p>
    <w:p w:rsidR="00824707" w:rsidRPr="00ED69E8" w:rsidRDefault="008259AA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Записи по дебету счета 60 производятся на суммы исполнения обязательств</w:t>
      </w:r>
      <w:r w:rsidR="00EB5B4A" w:rsidRPr="00ED69E8">
        <w:rPr>
          <w:sz w:val="28"/>
          <w:szCs w:val="28"/>
        </w:rPr>
        <w:t xml:space="preserve"> (оплату счетов), включая авансы и предварительную оплату, в корреспонденции со счетами учета</w:t>
      </w:r>
      <w:r w:rsidR="005C454E" w:rsidRPr="00ED69E8">
        <w:rPr>
          <w:sz w:val="28"/>
          <w:szCs w:val="28"/>
        </w:rPr>
        <w:t xml:space="preserve"> денежных средств или счетами расчетов. При этом суммы выданных авансов и предварительной </w:t>
      </w:r>
      <w:r w:rsidR="00127562" w:rsidRPr="00ED69E8">
        <w:rPr>
          <w:sz w:val="28"/>
          <w:szCs w:val="28"/>
        </w:rPr>
        <w:t>о</w:t>
      </w:r>
      <w:r w:rsidR="005C454E" w:rsidRPr="00ED69E8">
        <w:rPr>
          <w:sz w:val="28"/>
          <w:szCs w:val="28"/>
        </w:rPr>
        <w:t>платы учитываются обособленно (на отдельном субсчете счета 60).</w:t>
      </w:r>
      <w:r w:rsidR="00DE10C5" w:rsidRPr="00ED69E8">
        <w:rPr>
          <w:sz w:val="28"/>
          <w:szCs w:val="28"/>
        </w:rPr>
        <w:t xml:space="preserve"> По суммам претензий, предъявленных поставщикам и подрядчика, сумму аванса списывают со счета 60 в дебет счета 76 «Расчеты с разными дебиторами и кредиторами», субсчет 2 «Расчеты по претензиям». </w:t>
      </w:r>
      <w:r w:rsidR="005A12C9" w:rsidRPr="00ED69E8">
        <w:rPr>
          <w:sz w:val="28"/>
          <w:szCs w:val="28"/>
        </w:rPr>
        <w:t>Возвращенные поставщиком неиспользованные суммы аванса отражают по дебету счетов учета денежных средств и кредиту счета 60.</w:t>
      </w:r>
      <w:r w:rsidR="00824707" w:rsidRPr="00ED69E8">
        <w:rPr>
          <w:sz w:val="28"/>
          <w:szCs w:val="28"/>
        </w:rPr>
        <w:t xml:space="preserve"> Ранее выданные, но не востребованные авансы списывают на убытки организации (дебет счета 91</w:t>
      </w:r>
      <w:r w:rsidR="00053303" w:rsidRPr="00ED69E8">
        <w:rPr>
          <w:sz w:val="28"/>
          <w:szCs w:val="28"/>
        </w:rPr>
        <w:t xml:space="preserve"> «</w:t>
      </w:r>
      <w:r w:rsidR="009277C9" w:rsidRPr="00ED69E8">
        <w:rPr>
          <w:sz w:val="28"/>
          <w:szCs w:val="28"/>
        </w:rPr>
        <w:t>Прочие доходы и расходы»</w:t>
      </w:r>
      <w:r w:rsidR="00824707" w:rsidRPr="00ED69E8">
        <w:rPr>
          <w:sz w:val="28"/>
          <w:szCs w:val="28"/>
        </w:rPr>
        <w:t>, кредит счета 60).</w:t>
      </w:r>
    </w:p>
    <w:p w:rsidR="0095154C" w:rsidRPr="00ED69E8" w:rsidRDefault="0095154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При покупке затраты на приобретение и сооружение основных средств и приобретение материально-производственных запасов могут возникнуть суммовые разницы в случае, когда оплата производится в рублях в сумме, эквивалентной сумме в иностранной валюте (условных денежных единицах). При покупке активов под суммовой разницей понимается разница между рублевой оценкой фактически произведенной оплаты, выраженной в иностранной валюте (условных денежных единицах), исчисленной по официальному или иному согласованному курсу на дату принятия к бухгалтерскому учету соответствующей кредитной задолженности, и рублевой оценкой этой кредитной задолженности, исчисленной по официальному или иному согласованному курсу на дату признания расхода в бухгалтерском учете. Указанные суммовые разницы отражаются по дебету счетов учета приобретаемых активов (08, 10, 11 и др.) и кредиту счетов 60 «Расчеты с поставщиками и подрядчиками» или 76 «Расчеты с разными дебиторами и кредиторами».</w:t>
      </w:r>
    </w:p>
    <w:p w:rsidR="008259AA" w:rsidRPr="00ED69E8" w:rsidRDefault="00BE351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Учет с</w:t>
      </w:r>
      <w:r w:rsidR="005C454E" w:rsidRPr="00ED69E8">
        <w:rPr>
          <w:sz w:val="28"/>
          <w:szCs w:val="28"/>
        </w:rPr>
        <w:t xml:space="preserve">уммы </w:t>
      </w:r>
      <w:r w:rsidR="004442B4" w:rsidRPr="00ED69E8">
        <w:rPr>
          <w:sz w:val="28"/>
          <w:szCs w:val="28"/>
        </w:rPr>
        <w:t>задолженности поставщи</w:t>
      </w:r>
      <w:r w:rsidRPr="00ED69E8">
        <w:rPr>
          <w:sz w:val="28"/>
          <w:szCs w:val="28"/>
        </w:rPr>
        <w:t xml:space="preserve">кам и подрядчикам, обеспеченных </w:t>
      </w:r>
      <w:r w:rsidR="004442B4" w:rsidRPr="00ED69E8">
        <w:rPr>
          <w:sz w:val="28"/>
          <w:szCs w:val="28"/>
        </w:rPr>
        <w:t xml:space="preserve">выданными организацией векселями, </w:t>
      </w:r>
      <w:r w:rsidRPr="00ED69E8">
        <w:rPr>
          <w:sz w:val="28"/>
          <w:szCs w:val="28"/>
        </w:rPr>
        <w:t>рекомендуется осуществлять по упрощенной схеме на тех же счетах</w:t>
      </w:r>
      <w:r w:rsidR="00181050" w:rsidRPr="00ED69E8">
        <w:rPr>
          <w:sz w:val="28"/>
          <w:szCs w:val="28"/>
        </w:rPr>
        <w:t>, на которых определяются расчеты без использования векселей. Выделение расчетов с использованием векселей осуществляется в аналитическом учете. Выданные векселя под приобретение товарно-материальных ценностей</w:t>
      </w:r>
      <w:r w:rsidR="003128DA" w:rsidRPr="00ED69E8">
        <w:rPr>
          <w:sz w:val="28"/>
          <w:szCs w:val="28"/>
        </w:rPr>
        <w:t xml:space="preserve"> отражают по кредиту счета 60 или других подобных счетов. На этих счетах задолженность, обеспеч</w:t>
      </w:r>
      <w:r w:rsidR="00EB41A9" w:rsidRPr="00ED69E8">
        <w:rPr>
          <w:sz w:val="28"/>
          <w:szCs w:val="28"/>
        </w:rPr>
        <w:t>енная векселем, числится до мом</w:t>
      </w:r>
      <w:r w:rsidR="003128DA" w:rsidRPr="00ED69E8">
        <w:rPr>
          <w:sz w:val="28"/>
          <w:szCs w:val="28"/>
        </w:rPr>
        <w:t>ента ее погашения</w:t>
      </w:r>
      <w:r w:rsidR="00EB41A9" w:rsidRPr="00ED69E8">
        <w:rPr>
          <w:sz w:val="28"/>
          <w:szCs w:val="28"/>
        </w:rPr>
        <w:t>. По мере погашения задолженности она списывается в дебет счета 60 с кредита счетов по учету денежных средств (50</w:t>
      </w:r>
      <w:r w:rsidR="005D35F7" w:rsidRPr="00ED69E8">
        <w:rPr>
          <w:sz w:val="28"/>
          <w:szCs w:val="28"/>
        </w:rPr>
        <w:t xml:space="preserve"> «Касса»</w:t>
      </w:r>
      <w:r w:rsidR="00EB41A9" w:rsidRPr="00ED69E8">
        <w:rPr>
          <w:sz w:val="28"/>
          <w:szCs w:val="28"/>
        </w:rPr>
        <w:t>, 51</w:t>
      </w:r>
      <w:r w:rsidR="005D35F7" w:rsidRPr="00ED69E8">
        <w:rPr>
          <w:sz w:val="28"/>
          <w:szCs w:val="28"/>
        </w:rPr>
        <w:t xml:space="preserve"> «Расчетные счета»</w:t>
      </w:r>
      <w:r w:rsidR="00EB41A9" w:rsidRPr="00ED69E8">
        <w:rPr>
          <w:sz w:val="28"/>
          <w:szCs w:val="28"/>
        </w:rPr>
        <w:t>, 52</w:t>
      </w:r>
      <w:r w:rsidR="005D35F7" w:rsidRPr="00ED69E8">
        <w:rPr>
          <w:sz w:val="28"/>
          <w:szCs w:val="28"/>
        </w:rPr>
        <w:t xml:space="preserve"> «Валютные счета»</w:t>
      </w:r>
      <w:r w:rsidR="00EB41A9" w:rsidRPr="00ED69E8">
        <w:rPr>
          <w:sz w:val="28"/>
          <w:szCs w:val="28"/>
        </w:rPr>
        <w:t xml:space="preserve"> и др.). </w:t>
      </w:r>
      <w:r w:rsidR="004E351A" w:rsidRPr="00ED69E8">
        <w:rPr>
          <w:sz w:val="28"/>
          <w:szCs w:val="28"/>
        </w:rPr>
        <w:t>Векселя с просроченным сроком оплаты отражаются в аналитическом учете отдельно. При выдачи векселей, предусматривающих выплату процентов за пользование полученным товаром без его оплаты в течение определенного периода</w:t>
      </w:r>
      <w:r w:rsidR="00F83AAE" w:rsidRPr="00ED69E8">
        <w:rPr>
          <w:sz w:val="28"/>
          <w:szCs w:val="28"/>
        </w:rPr>
        <w:t>, сумму уплачиваемых процентов относят на увеличение операционных расходов. При этом если начисленные проценты будут уплачены в текущем отчетном периоде, то они отражаются на счете 91 «Прочие доходы и расходы»</w:t>
      </w:r>
    </w:p>
    <w:p w:rsidR="009949B8" w:rsidRPr="00ED69E8" w:rsidRDefault="009949B8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Аналитический учет по счету 60 ведется по каждому поставщику</w:t>
      </w:r>
      <w:r w:rsidR="00017251" w:rsidRPr="00ED69E8">
        <w:rPr>
          <w:sz w:val="28"/>
          <w:szCs w:val="28"/>
        </w:rPr>
        <w:t xml:space="preserve"> и подрядчику и по каждому предъявленному счету. При этом построение аналитического учета</w:t>
      </w:r>
      <w:r w:rsidR="00913589" w:rsidRPr="00ED69E8">
        <w:rPr>
          <w:sz w:val="28"/>
          <w:szCs w:val="28"/>
        </w:rPr>
        <w:t xml:space="preserve"> должно обеспечить возможность получения необходимых данных:</w:t>
      </w:r>
    </w:p>
    <w:p w:rsidR="00913589" w:rsidRPr="00ED69E8" w:rsidRDefault="008D0BDF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 акцептованным и другим расчетным документам, срок оплаты которых не наступил;</w:t>
      </w:r>
    </w:p>
    <w:p w:rsidR="008D0BDF" w:rsidRPr="00ED69E8" w:rsidRDefault="007608CA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Не оплаченным в срок расчетным документам;</w:t>
      </w:r>
    </w:p>
    <w:p w:rsidR="007608CA" w:rsidRPr="00ED69E8" w:rsidRDefault="007608CA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Неотфактурованным поставкам;</w:t>
      </w:r>
    </w:p>
    <w:p w:rsidR="007608CA" w:rsidRPr="00ED69E8" w:rsidRDefault="007608CA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Выданным авансам;</w:t>
      </w:r>
    </w:p>
    <w:p w:rsidR="007608CA" w:rsidRPr="00ED69E8" w:rsidRDefault="007608CA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Выданным векселям</w:t>
      </w:r>
      <w:r w:rsidR="00313972" w:rsidRPr="00ED69E8">
        <w:rPr>
          <w:sz w:val="28"/>
          <w:szCs w:val="28"/>
        </w:rPr>
        <w:t>, срок оплаты которых не наступил;</w:t>
      </w:r>
    </w:p>
    <w:p w:rsidR="00313972" w:rsidRPr="00ED69E8" w:rsidRDefault="00313972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Просроченным оплатой векселям;</w:t>
      </w:r>
    </w:p>
    <w:p w:rsidR="00E70D46" w:rsidRPr="00ED69E8" w:rsidRDefault="00313972" w:rsidP="00774373">
      <w:pPr>
        <w:numPr>
          <w:ilvl w:val="0"/>
          <w:numId w:val="2"/>
        </w:numPr>
        <w:tabs>
          <w:tab w:val="clear" w:pos="1080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Полученному коммерческому кредиту и др.</w:t>
      </w:r>
    </w:p>
    <w:p w:rsidR="00313972" w:rsidRPr="00ED69E8" w:rsidRDefault="002B7926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Основные хозяйственные операции, отражающие расчетные операции с поставщиками и подрядчиками, представлены в табл.</w:t>
      </w:r>
      <w:r w:rsidR="00ED4B55" w:rsidRPr="00ED69E8">
        <w:rPr>
          <w:sz w:val="28"/>
          <w:szCs w:val="28"/>
        </w:rPr>
        <w:t>3</w:t>
      </w:r>
    </w:p>
    <w:p w:rsidR="00ED4B55" w:rsidRP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55" w:rsidRPr="00ED69E8">
        <w:rPr>
          <w:sz w:val="28"/>
          <w:szCs w:val="28"/>
        </w:rPr>
        <w:t>Табл. 3</w:t>
      </w:r>
    </w:p>
    <w:tbl>
      <w:tblPr>
        <w:tblW w:w="9230" w:type="dxa"/>
        <w:tblInd w:w="95" w:type="dxa"/>
        <w:tblLook w:val="0000" w:firstRow="0" w:lastRow="0" w:firstColumn="0" w:lastColumn="0" w:noHBand="0" w:noVBand="0"/>
      </w:tblPr>
      <w:tblGrid>
        <w:gridCol w:w="503"/>
        <w:gridCol w:w="4623"/>
        <w:gridCol w:w="1355"/>
        <w:gridCol w:w="1491"/>
        <w:gridCol w:w="1258"/>
      </w:tblGrid>
      <w:tr w:rsidR="0091349D" w:rsidRPr="00ED69E8">
        <w:trPr>
          <w:trHeight w:val="51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Содержание хозяйственной оп</w:t>
            </w:r>
            <w:r w:rsidR="00C74B5E" w:rsidRPr="00ED69E8">
              <w:rPr>
                <w:b/>
                <w:bCs/>
                <w:sz w:val="20"/>
                <w:szCs w:val="20"/>
              </w:rPr>
              <w:t>е</w:t>
            </w:r>
            <w:r w:rsidRPr="00ED69E8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Корреспондирующие счета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349D" w:rsidRPr="00ED69E8">
        <w:trPr>
          <w:trHeight w:val="34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 xml:space="preserve">Дебет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9D" w:rsidRPr="00ED69E8" w:rsidRDefault="0091349D" w:rsidP="0077437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1349D" w:rsidRPr="00ED69E8">
        <w:trPr>
          <w:trHeight w:val="3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Приобретены основные средства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08 - 4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С</w:t>
            </w:r>
          </w:p>
        </w:tc>
      </w:tr>
      <w:tr w:rsidR="0091349D" w:rsidRPr="00ED69E8">
        <w:trPr>
          <w:trHeight w:val="8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 xml:space="preserve">Отражена сумма НДС, предъявленная к </w:t>
            </w:r>
            <w:r w:rsidR="00EE5B22" w:rsidRPr="00ED69E8">
              <w:rPr>
                <w:sz w:val="20"/>
                <w:szCs w:val="20"/>
              </w:rPr>
              <w:t>уплате продавцом на основные сре</w:t>
            </w:r>
            <w:r w:rsidRPr="00ED69E8">
              <w:rPr>
                <w:sz w:val="20"/>
                <w:szCs w:val="20"/>
              </w:rPr>
              <w:t>дства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4B174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9 - 1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4B1742" w:rsidRPr="00ED69E8">
              <w:rPr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4B174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αС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</w:tr>
      <w:tr w:rsidR="0091349D" w:rsidRPr="00ED69E8">
        <w:trPr>
          <w:trHeight w:val="6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Перечислено поставщику за основные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855B7F" w:rsidRPr="00ED69E8">
              <w:rPr>
                <w:sz w:val="20"/>
                <w:szCs w:val="20"/>
              </w:rPr>
              <w:t>60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855B7F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855B7F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(1+α)С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</w:tr>
      <w:tr w:rsidR="0091349D" w:rsidRPr="00ED69E8">
        <w:trPr>
          <w:trHeight w:val="6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9D" w:rsidRPr="00ED69E8" w:rsidRDefault="00EE5B2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Приняты к учету материалы (то</w:t>
            </w:r>
            <w:r w:rsidR="0091349D" w:rsidRPr="00ED69E8">
              <w:rPr>
                <w:sz w:val="20"/>
                <w:szCs w:val="20"/>
              </w:rPr>
              <w:t>в</w:t>
            </w:r>
            <w:r w:rsidRPr="00ED69E8">
              <w:rPr>
                <w:sz w:val="20"/>
                <w:szCs w:val="20"/>
              </w:rPr>
              <w:t>а</w:t>
            </w:r>
            <w:r w:rsidR="0091349D" w:rsidRPr="00ED69E8">
              <w:rPr>
                <w:sz w:val="20"/>
                <w:szCs w:val="20"/>
              </w:rPr>
              <w:t>ры), поступившие от поставщика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EE5B2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10 (41)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EE5B2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EE5B22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М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</w:tr>
      <w:tr w:rsidR="0091349D" w:rsidRPr="00ED69E8">
        <w:trPr>
          <w:trHeight w:val="48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Отражена сумма НДС по поступившим материалам (товарам)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19 - 3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</w:t>
            </w:r>
            <w:r w:rsidR="0091349D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49D" w:rsidRPr="00ED69E8" w:rsidRDefault="0091349D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7D2BDB" w:rsidRPr="00ED69E8">
              <w:rPr>
                <w:sz w:val="20"/>
                <w:szCs w:val="20"/>
              </w:rPr>
              <w:t>αМ</w:t>
            </w:r>
          </w:p>
        </w:tc>
      </w:tr>
      <w:tr w:rsidR="007D2BDB" w:rsidRPr="00ED69E8">
        <w:trPr>
          <w:trHeight w:val="52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Оплачено поставщику за материалы (товары)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(1+α)М</w:t>
            </w:r>
          </w:p>
        </w:tc>
      </w:tr>
      <w:tr w:rsidR="007D2BDB" w:rsidRPr="00ED69E8">
        <w:trPr>
          <w:trHeight w:val="841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При приемке груза обнаружена недостача товарно-материальных ценностей: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</w:p>
        </w:tc>
      </w:tr>
      <w:tr w:rsidR="007D2BDB" w:rsidRPr="00ED69E8">
        <w:trPr>
          <w:trHeight w:val="60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а)</w:t>
            </w:r>
            <w:r w:rsidR="00CE61E1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в пределах, предусмотренных договором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CE61E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94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CE61E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ED69E8">
              <w:rPr>
                <w:sz w:val="20"/>
                <w:szCs w:val="20"/>
              </w:rPr>
              <w:t> </w:t>
            </w:r>
            <w:r w:rsidR="00CE61E1" w:rsidRPr="00ED69E8">
              <w:rPr>
                <w:sz w:val="20"/>
                <w:szCs w:val="20"/>
                <w:lang w:val="en-US"/>
              </w:rPr>
              <w:t>S</w:t>
            </w:r>
            <w:r w:rsidR="00DE37EF" w:rsidRPr="00ED69E8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7D2BDB" w:rsidRPr="00ED69E8">
        <w:trPr>
          <w:trHeight w:val="931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б)</w:t>
            </w:r>
            <w:r w:rsidR="00CE61E1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сверх величин, предусмотренных договором (предъявлена претензия поставщику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CE61E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76 - 2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CE61E1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60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ED69E8">
              <w:rPr>
                <w:sz w:val="20"/>
                <w:szCs w:val="20"/>
              </w:rPr>
              <w:t> </w:t>
            </w:r>
            <w:r w:rsidR="00CE61E1" w:rsidRPr="00ED69E8">
              <w:rPr>
                <w:sz w:val="20"/>
                <w:szCs w:val="20"/>
                <w:lang w:val="en-US"/>
              </w:rPr>
              <w:t>S</w:t>
            </w:r>
            <w:r w:rsidR="00DE37EF" w:rsidRPr="00ED69E8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D2BDB" w:rsidRPr="00ED69E8">
        <w:trPr>
          <w:trHeight w:val="3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Претензия погашена поставщиком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DE37EF" w:rsidRPr="00ED69E8">
              <w:rPr>
                <w:sz w:val="20"/>
                <w:szCs w:val="20"/>
              </w:rPr>
              <w:t>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DE37EF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76 - 2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DE37EF" w:rsidRPr="00ED69E8">
              <w:rPr>
                <w:sz w:val="20"/>
                <w:szCs w:val="20"/>
                <w:lang w:val="en-US"/>
              </w:rPr>
              <w:t>S</w:t>
            </w:r>
            <w:r w:rsidR="00DE37EF" w:rsidRPr="00ED69E8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D2BDB" w:rsidRPr="00ED69E8">
        <w:trPr>
          <w:trHeight w:val="101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 истечении срока исковой давности сумма претензии отнесена на счет потерь от порчи ценностей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5C5E27" w:rsidRPr="00ED69E8">
              <w:rPr>
                <w:sz w:val="20"/>
                <w:szCs w:val="20"/>
              </w:rPr>
              <w:t>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5C5E27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76 - 2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5C5E27" w:rsidRPr="00ED69E8">
              <w:rPr>
                <w:sz w:val="20"/>
                <w:szCs w:val="20"/>
                <w:lang w:val="en-US"/>
              </w:rPr>
              <w:t>S</w:t>
            </w:r>
            <w:r w:rsidR="005C5E27" w:rsidRPr="00ED69E8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D2BDB" w:rsidRPr="00ED69E8">
        <w:trPr>
          <w:trHeight w:val="97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BDB" w:rsidRPr="00ED69E8" w:rsidRDefault="007D2BDB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Сумма потерь от порчи ценностей признана внереализационным расходом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5C5E27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91 - 2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5C5E27" w:rsidP="00774373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94</w:t>
            </w:r>
            <w:r w:rsidR="007D2BDB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BDB" w:rsidRPr="00ED69E8" w:rsidRDefault="00ED69E8" w:rsidP="007743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5E27" w:rsidRPr="00ED69E8">
              <w:rPr>
                <w:sz w:val="20"/>
                <w:szCs w:val="20"/>
                <w:lang w:val="en-US"/>
              </w:rPr>
              <w:t>S</w:t>
            </w:r>
            <w:r w:rsidR="005C5E27" w:rsidRPr="00ED69E8">
              <w:rPr>
                <w:sz w:val="20"/>
                <w:szCs w:val="20"/>
                <w:vertAlign w:val="subscript"/>
              </w:rPr>
              <w:t xml:space="preserve">1 </w:t>
            </w:r>
            <w:r w:rsidR="005C5E27" w:rsidRPr="00ED69E8">
              <w:rPr>
                <w:sz w:val="20"/>
                <w:szCs w:val="20"/>
              </w:rPr>
              <w:t xml:space="preserve">+ </w:t>
            </w:r>
            <w:r w:rsidR="005C5E27" w:rsidRPr="00ED69E8">
              <w:rPr>
                <w:sz w:val="20"/>
                <w:szCs w:val="20"/>
                <w:lang w:val="en-US"/>
              </w:rPr>
              <w:t>S</w:t>
            </w:r>
            <w:r w:rsidR="005C5E27" w:rsidRPr="00ED69E8">
              <w:rPr>
                <w:sz w:val="20"/>
                <w:szCs w:val="20"/>
                <w:vertAlign w:val="subscript"/>
              </w:rPr>
              <w:t>2</w:t>
            </w:r>
          </w:p>
        </w:tc>
      </w:tr>
    </w:tbl>
    <w:p w:rsidR="002A5464" w:rsidRPr="00ED69E8" w:rsidRDefault="002A5464" w:rsidP="00774373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2A5464" w:rsidRPr="00ED69E8" w:rsidRDefault="00D83F7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2.2 </w:t>
      </w:r>
      <w:r w:rsidR="002A5464" w:rsidRPr="00ED69E8">
        <w:rPr>
          <w:b/>
          <w:bCs/>
          <w:sz w:val="28"/>
          <w:szCs w:val="28"/>
        </w:rPr>
        <w:t>Учет расчет</w:t>
      </w:r>
      <w:r w:rsidRPr="00ED69E8">
        <w:rPr>
          <w:b/>
          <w:bCs/>
          <w:sz w:val="28"/>
          <w:szCs w:val="28"/>
        </w:rPr>
        <w:t>ов с покупателями и заказчиками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2A5464" w:rsidRPr="00ED69E8" w:rsidRDefault="00A5657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Записи по дебету счета 62</w:t>
      </w:r>
      <w:r w:rsidR="0057396A" w:rsidRPr="00ED69E8">
        <w:rPr>
          <w:sz w:val="28"/>
          <w:szCs w:val="28"/>
        </w:rPr>
        <w:t xml:space="preserve"> </w:t>
      </w:r>
      <w:r w:rsidR="005D35F7" w:rsidRPr="00ED69E8">
        <w:rPr>
          <w:sz w:val="28"/>
          <w:szCs w:val="28"/>
        </w:rPr>
        <w:t>«Расчеты с покупателями и заказчиками»</w:t>
      </w:r>
      <w:r w:rsidRPr="00ED69E8">
        <w:rPr>
          <w:sz w:val="28"/>
          <w:szCs w:val="28"/>
        </w:rPr>
        <w:t xml:space="preserve"> производятся на суммы выручки от продажи продукции, работ, услуг и иной реализации в корреспонденции со </w:t>
      </w:r>
      <w:r w:rsidR="0057396A" w:rsidRPr="00ED69E8">
        <w:rPr>
          <w:sz w:val="28"/>
          <w:szCs w:val="28"/>
        </w:rPr>
        <w:t>с</w:t>
      </w:r>
      <w:r w:rsidRPr="00ED69E8">
        <w:rPr>
          <w:sz w:val="28"/>
          <w:szCs w:val="28"/>
        </w:rPr>
        <w:t>четами 90</w:t>
      </w:r>
      <w:r w:rsidR="00785DA5" w:rsidRPr="00ED69E8">
        <w:rPr>
          <w:sz w:val="28"/>
          <w:szCs w:val="28"/>
        </w:rPr>
        <w:t xml:space="preserve"> «Продажи»</w:t>
      </w:r>
      <w:r w:rsidRPr="00ED69E8">
        <w:rPr>
          <w:sz w:val="28"/>
          <w:szCs w:val="28"/>
        </w:rPr>
        <w:t>, 91</w:t>
      </w:r>
      <w:r w:rsidR="00785DA5" w:rsidRPr="00ED69E8">
        <w:rPr>
          <w:sz w:val="28"/>
          <w:szCs w:val="28"/>
        </w:rPr>
        <w:t xml:space="preserve"> «Прочие доходы и расходы»</w:t>
      </w:r>
      <w:r w:rsidRPr="00ED69E8">
        <w:rPr>
          <w:sz w:val="28"/>
          <w:szCs w:val="28"/>
        </w:rPr>
        <w:t xml:space="preserve"> на</w:t>
      </w:r>
      <w:r w:rsidR="00C30A45" w:rsidRPr="00ED69E8">
        <w:rPr>
          <w:sz w:val="28"/>
          <w:szCs w:val="28"/>
        </w:rPr>
        <w:t xml:space="preserve"> </w:t>
      </w:r>
      <w:r w:rsidRPr="00ED69E8">
        <w:rPr>
          <w:sz w:val="28"/>
          <w:szCs w:val="28"/>
        </w:rPr>
        <w:t xml:space="preserve">суммы, </w:t>
      </w:r>
      <w:r w:rsidR="00C30A45" w:rsidRPr="00ED69E8">
        <w:rPr>
          <w:sz w:val="28"/>
          <w:szCs w:val="28"/>
        </w:rPr>
        <w:t>по которым предъявлены расчетные документы.</w:t>
      </w:r>
    </w:p>
    <w:p w:rsidR="009157C1" w:rsidRPr="00ED69E8" w:rsidRDefault="00C30A4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Кредитуется счет 62 в корреспонденции со счетами учета денежных средств, расчетов на суммы поступивших платежей (включая суммы полученных авансов) и т.п. </w:t>
      </w:r>
      <w:r w:rsidR="00E1385B" w:rsidRPr="00ED69E8">
        <w:rPr>
          <w:sz w:val="28"/>
          <w:szCs w:val="28"/>
        </w:rPr>
        <w:t>При этом суммы полученных авансов и предварительной оплаты учитываются обособленно.</w:t>
      </w:r>
      <w:r w:rsidR="0054094B" w:rsidRPr="00ED69E8">
        <w:rPr>
          <w:sz w:val="28"/>
          <w:szCs w:val="28"/>
        </w:rPr>
        <w:t xml:space="preserve"> С полученных сумм аванса организация начисляет НДС, который подлежит взносу в бюджет (дебет счет 62 , кредит счета 68 «Расчеты по налогам и сборам»)</w:t>
      </w:r>
      <w:r w:rsidR="00D86358" w:rsidRPr="00ED69E8">
        <w:rPr>
          <w:sz w:val="28"/>
          <w:szCs w:val="28"/>
        </w:rPr>
        <w:t>. По завершении и сдаче заказчикам работ, а также при отгрузке продукции покупателям полученные суммы</w:t>
      </w:r>
      <w:r w:rsidR="004C1EA5" w:rsidRPr="00ED69E8">
        <w:rPr>
          <w:sz w:val="28"/>
          <w:szCs w:val="28"/>
        </w:rPr>
        <w:t xml:space="preserve"> аванса засчитывают в уменьшении задолженности покупателей и заказчиков</w:t>
      </w:r>
      <w:r w:rsidR="00C3164D" w:rsidRPr="00ED69E8">
        <w:rPr>
          <w:sz w:val="28"/>
          <w:szCs w:val="28"/>
        </w:rPr>
        <w:t>. При этом на сумму НДС, ранее начисленную по полученным авансам, делают восстановительную запись (дебет счета 68, кредит счета 62).</w:t>
      </w:r>
      <w:r w:rsidR="0057396A" w:rsidRPr="00ED69E8">
        <w:rPr>
          <w:sz w:val="28"/>
          <w:szCs w:val="28"/>
        </w:rPr>
        <w:t xml:space="preserve"> Невостребованные авансы списываются с дебета счета 62 в кредит счета 91.</w:t>
      </w:r>
    </w:p>
    <w:p w:rsidR="006C6ECB" w:rsidRPr="00ED69E8" w:rsidRDefault="00C30BC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При продаже</w:t>
      </w:r>
      <w:r w:rsidR="006C6ECB" w:rsidRPr="00ED69E8">
        <w:rPr>
          <w:sz w:val="28"/>
          <w:szCs w:val="28"/>
        </w:rPr>
        <w:t xml:space="preserve"> готовой продукции (работ, услуг), товаров и других активов</w:t>
      </w:r>
      <w:r w:rsidR="00131A4B" w:rsidRPr="00ED69E8">
        <w:rPr>
          <w:sz w:val="28"/>
          <w:szCs w:val="28"/>
        </w:rPr>
        <w:t xml:space="preserve"> величина поступлений может определяться с учетом суммы разницы, возникающей в случае, когда оплата производится в рублях в сумме, эквивалентной сумме в иностранной валюте</w:t>
      </w:r>
      <w:r w:rsidR="00A17E8A" w:rsidRPr="00ED69E8">
        <w:rPr>
          <w:sz w:val="28"/>
          <w:szCs w:val="28"/>
        </w:rPr>
        <w:t xml:space="preserve"> (условных денежных единицах)</w:t>
      </w:r>
      <w:r w:rsidR="00131A4B" w:rsidRPr="00ED69E8">
        <w:rPr>
          <w:sz w:val="28"/>
          <w:szCs w:val="28"/>
        </w:rPr>
        <w:t>.</w:t>
      </w:r>
      <w:r w:rsidR="00A17E8A" w:rsidRPr="00ED69E8">
        <w:rPr>
          <w:sz w:val="28"/>
          <w:szCs w:val="28"/>
        </w:rPr>
        <w:t xml:space="preserve"> При продаже активов под суммовой разницей понимается разница</w:t>
      </w:r>
      <w:r w:rsidR="001F1275" w:rsidRPr="00ED69E8">
        <w:rPr>
          <w:sz w:val="28"/>
          <w:szCs w:val="28"/>
        </w:rPr>
        <w:t xml:space="preserve"> между рублевой оценкой фактически поступившего</w:t>
      </w:r>
      <w:r w:rsidR="009A6508" w:rsidRPr="00ED69E8">
        <w:rPr>
          <w:sz w:val="28"/>
          <w:szCs w:val="28"/>
        </w:rPr>
        <w:t xml:space="preserve"> в качестве выручки актива, выраженного в иностранной валюте (условных денежных единицах), исчисленной по официальному или иному согласованному</w:t>
      </w:r>
      <w:r w:rsidR="00514152" w:rsidRPr="00ED69E8">
        <w:rPr>
          <w:sz w:val="28"/>
          <w:szCs w:val="28"/>
        </w:rPr>
        <w:t xml:space="preserve"> курсу на дату принятия к бухгалтерскому учету, и рублевой оценкой этого актива, исчисленной по официальному или иному согласованному курсу на дату признания</w:t>
      </w:r>
      <w:r w:rsidRPr="00ED69E8">
        <w:rPr>
          <w:sz w:val="28"/>
          <w:szCs w:val="28"/>
        </w:rPr>
        <w:t xml:space="preserve"> выручки в бухгалтерском учете.</w:t>
      </w:r>
      <w:r w:rsidR="006F2FAC" w:rsidRPr="00ED69E8">
        <w:rPr>
          <w:sz w:val="28"/>
          <w:szCs w:val="28"/>
        </w:rPr>
        <w:t xml:space="preserve"> Суммовые разницы,</w:t>
      </w:r>
      <w:r w:rsidR="00F0391C" w:rsidRPr="00ED69E8">
        <w:rPr>
          <w:sz w:val="28"/>
          <w:szCs w:val="28"/>
        </w:rPr>
        <w:t xml:space="preserve"> возникающие при продаже актива, учитывают по дебету счета 62 «Расчеты с покупателями и заказчиками» или счета 76</w:t>
      </w:r>
      <w:r w:rsidR="00ED69E8">
        <w:rPr>
          <w:sz w:val="28"/>
          <w:szCs w:val="28"/>
        </w:rPr>
        <w:t xml:space="preserve"> </w:t>
      </w:r>
      <w:r w:rsidR="00F0391C" w:rsidRPr="00ED69E8">
        <w:rPr>
          <w:sz w:val="28"/>
          <w:szCs w:val="28"/>
        </w:rPr>
        <w:t>«Расчеты с разными дебиторами и кредиторами» и кредиту 90 «Продажи» или счета 91 «</w:t>
      </w:r>
      <w:r w:rsidR="007C6F3C" w:rsidRPr="00ED69E8">
        <w:rPr>
          <w:sz w:val="28"/>
          <w:szCs w:val="28"/>
        </w:rPr>
        <w:t>Прочие доходы и расходы».</w:t>
      </w:r>
    </w:p>
    <w:p w:rsidR="00410B1B" w:rsidRPr="00ED69E8" w:rsidRDefault="001B232A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Организации, получившие векселя от покупателей, учитывают полученные векселя на счете 62, субсчет «Векселя полученные»</w:t>
      </w:r>
      <w:r w:rsidR="00BC13E8" w:rsidRPr="00ED69E8">
        <w:rPr>
          <w:sz w:val="28"/>
          <w:szCs w:val="28"/>
        </w:rPr>
        <w:t xml:space="preserve">. Счет 62 дебетуется на указанные в векселях суммы с кредита счетов учета продажи готовой продукции (90) или другого вида имущества (91). </w:t>
      </w:r>
      <w:r w:rsidR="00947046" w:rsidRPr="00ED69E8">
        <w:rPr>
          <w:sz w:val="28"/>
          <w:szCs w:val="28"/>
        </w:rPr>
        <w:t>Оплаченные векселя отражаются по дебету счетов учета денежных средств</w:t>
      </w:r>
      <w:r w:rsidR="003302D7" w:rsidRPr="00ED69E8">
        <w:rPr>
          <w:sz w:val="28"/>
          <w:szCs w:val="28"/>
        </w:rPr>
        <w:t xml:space="preserve"> и кредиту счета 62. Сумма </w:t>
      </w:r>
      <w:r w:rsidR="00806A50" w:rsidRPr="00ED69E8">
        <w:rPr>
          <w:sz w:val="28"/>
          <w:szCs w:val="28"/>
        </w:rPr>
        <w:t>процентов по векселю должна отражаться в составе выручки от про</w:t>
      </w:r>
      <w:r w:rsidR="00B1501E" w:rsidRPr="00ED69E8">
        <w:rPr>
          <w:sz w:val="28"/>
          <w:szCs w:val="28"/>
        </w:rPr>
        <w:t>дажи</w:t>
      </w:r>
      <w:r w:rsidR="00ED69E8">
        <w:rPr>
          <w:sz w:val="28"/>
          <w:szCs w:val="28"/>
        </w:rPr>
        <w:t xml:space="preserve"> </w:t>
      </w:r>
      <w:r w:rsidR="00B1501E" w:rsidRPr="00ED69E8">
        <w:rPr>
          <w:sz w:val="28"/>
          <w:szCs w:val="28"/>
        </w:rPr>
        <w:t>продукции (работ, услуг) и учитываться на счете 91. При погашении задолженности по векселю</w:t>
      </w:r>
      <w:r w:rsidR="008F5ED0" w:rsidRPr="00ED69E8">
        <w:rPr>
          <w:sz w:val="28"/>
          <w:szCs w:val="28"/>
        </w:rPr>
        <w:t xml:space="preserve"> на общую сумму задолженности</w:t>
      </w:r>
      <w:r w:rsidR="00ED69E8">
        <w:rPr>
          <w:sz w:val="28"/>
          <w:szCs w:val="28"/>
        </w:rPr>
        <w:t xml:space="preserve"> </w:t>
      </w:r>
      <w:r w:rsidR="008F5ED0" w:rsidRPr="00ED69E8">
        <w:rPr>
          <w:sz w:val="28"/>
          <w:szCs w:val="28"/>
        </w:rPr>
        <w:t>рекомендовано дебетировать счета учета денежных средств (51, 52 и др.) и кредитовать счет</w:t>
      </w:r>
      <w:r w:rsidR="00706358" w:rsidRPr="00ED69E8">
        <w:rPr>
          <w:sz w:val="28"/>
          <w:szCs w:val="28"/>
        </w:rPr>
        <w:t xml:space="preserve"> 62 и счет 91. Не оплаченные в срок счета считаются отказными.</w:t>
      </w:r>
      <w:r w:rsidR="00F37413" w:rsidRPr="00ED69E8">
        <w:rPr>
          <w:sz w:val="28"/>
          <w:szCs w:val="28"/>
        </w:rPr>
        <w:t xml:space="preserve"> Для официального удовлетворения</w:t>
      </w:r>
      <w:r w:rsidR="000E0585" w:rsidRPr="00ED69E8">
        <w:rPr>
          <w:sz w:val="28"/>
          <w:szCs w:val="28"/>
        </w:rPr>
        <w:t xml:space="preserve"> неполученных платежей по векселю в установленный срок вексель опротестовывают в нотариальной конторе</w:t>
      </w:r>
      <w:r w:rsidR="00304711" w:rsidRPr="00ED69E8">
        <w:rPr>
          <w:sz w:val="28"/>
          <w:szCs w:val="28"/>
        </w:rPr>
        <w:t xml:space="preserve"> по месту нахождения плательщика до 12 часов дня, наступающего через день после наступления срока платежа. Номинальную сумму отказного векселя списывают со счета</w:t>
      </w:r>
      <w:r w:rsidR="00B8339A" w:rsidRPr="00ED69E8">
        <w:rPr>
          <w:sz w:val="28"/>
          <w:szCs w:val="28"/>
        </w:rPr>
        <w:t xml:space="preserve"> 62, субсчет «Векселя полученные», в дебет счета 76 «Расчеты с разными дебиторами и кредиторами», субсчет 2 «Расчеты по претензиям».</w:t>
      </w:r>
      <w:r w:rsidR="00F81585" w:rsidRPr="00ED69E8">
        <w:rPr>
          <w:sz w:val="28"/>
          <w:szCs w:val="28"/>
        </w:rPr>
        <w:t xml:space="preserve"> До наступления срока оплаты по векселю организация – векселедержатель может получить в банках суды под вексель. </w:t>
      </w:r>
      <w:r w:rsidR="00B5030C" w:rsidRPr="00ED69E8">
        <w:rPr>
          <w:sz w:val="28"/>
          <w:szCs w:val="28"/>
        </w:rPr>
        <w:t xml:space="preserve">Полученные кредиты отражают по кредиту счетов 66 «Расчеты </w:t>
      </w:r>
      <w:r w:rsidR="004703AB" w:rsidRPr="00ED69E8">
        <w:rPr>
          <w:sz w:val="28"/>
          <w:szCs w:val="28"/>
        </w:rPr>
        <w:t>п</w:t>
      </w:r>
      <w:r w:rsidR="00B5030C" w:rsidRPr="00ED69E8">
        <w:rPr>
          <w:sz w:val="28"/>
          <w:szCs w:val="28"/>
        </w:rPr>
        <w:t>о крат</w:t>
      </w:r>
      <w:r w:rsidR="004703AB" w:rsidRPr="00ED69E8">
        <w:rPr>
          <w:sz w:val="28"/>
          <w:szCs w:val="28"/>
        </w:rPr>
        <w:t>к</w:t>
      </w:r>
      <w:r w:rsidR="00B5030C" w:rsidRPr="00ED69E8">
        <w:rPr>
          <w:sz w:val="28"/>
          <w:szCs w:val="28"/>
        </w:rPr>
        <w:t xml:space="preserve">осрочным кредитам и займам» </w:t>
      </w:r>
      <w:r w:rsidR="004703AB" w:rsidRPr="00ED69E8">
        <w:rPr>
          <w:sz w:val="28"/>
          <w:szCs w:val="28"/>
        </w:rPr>
        <w:t>или 67 «Расчеты по долгосрочным кредитам и займам» и дебету счетов учета денежных средств (50, 51, 52 и др.) в фактически полученных суммах. При этом задолженность по расчетом с покупателями</w:t>
      </w:r>
      <w:r w:rsidR="00505AFD" w:rsidRPr="00ED69E8">
        <w:rPr>
          <w:sz w:val="28"/>
          <w:szCs w:val="28"/>
        </w:rPr>
        <w:t>, обеспеченная векселями, продолжает учитываться по счетам дебиторской задолженности (62 и др.).</w:t>
      </w:r>
      <w:r w:rsidR="004A71C9" w:rsidRPr="00ED69E8">
        <w:rPr>
          <w:sz w:val="28"/>
          <w:szCs w:val="28"/>
        </w:rPr>
        <w:t xml:space="preserve"> </w:t>
      </w:r>
      <w:r w:rsidR="00CF4EAA" w:rsidRPr="00ED69E8">
        <w:rPr>
          <w:sz w:val="28"/>
          <w:szCs w:val="28"/>
        </w:rPr>
        <w:t>При невыполнении векселе</w:t>
      </w:r>
      <w:r w:rsidR="004A71C9" w:rsidRPr="00ED69E8">
        <w:rPr>
          <w:sz w:val="28"/>
          <w:szCs w:val="28"/>
        </w:rPr>
        <w:t>дателем или другим плательщиком долговых обязательств организация-векселедержатель</w:t>
      </w:r>
      <w:r w:rsidR="00D439A6" w:rsidRPr="00ED69E8">
        <w:rPr>
          <w:sz w:val="28"/>
          <w:szCs w:val="28"/>
        </w:rPr>
        <w:t xml:space="preserve"> обязана возвратить полученные в результате дисконтирования векселей денежные средства банкам. Перечисленные средства списываются с кредита денежных счетов</w:t>
      </w:r>
      <w:r w:rsidR="007F0939" w:rsidRPr="00ED69E8">
        <w:rPr>
          <w:sz w:val="28"/>
          <w:szCs w:val="28"/>
        </w:rPr>
        <w:t xml:space="preserve"> в дебет счета 66 или 67. Просроченные обязательства по векселям</w:t>
      </w:r>
      <w:r w:rsidR="00C1122C" w:rsidRPr="00ED69E8">
        <w:rPr>
          <w:sz w:val="28"/>
          <w:szCs w:val="28"/>
        </w:rPr>
        <w:t xml:space="preserve"> остаются на счетах учета дебиторской задолженности.</w:t>
      </w:r>
    </w:p>
    <w:p w:rsidR="00E1385B" w:rsidRPr="00ED69E8" w:rsidRDefault="00E1385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Аналитический</w:t>
      </w:r>
      <w:r w:rsidR="004D0375" w:rsidRPr="00ED69E8">
        <w:rPr>
          <w:sz w:val="28"/>
          <w:szCs w:val="28"/>
        </w:rPr>
        <w:t xml:space="preserve"> учет по счету 62 ведется по каждому покупателю (заказчику) и по каждому предъявленному счету.</w:t>
      </w:r>
      <w:r w:rsidR="002C7963" w:rsidRPr="00ED69E8">
        <w:rPr>
          <w:sz w:val="28"/>
          <w:szCs w:val="28"/>
        </w:rPr>
        <w:t xml:space="preserve"> При этом построение аналитического учета должно обеспечивать</w:t>
      </w:r>
      <w:r w:rsidR="00514C4C" w:rsidRPr="00ED69E8">
        <w:rPr>
          <w:sz w:val="28"/>
          <w:szCs w:val="28"/>
        </w:rPr>
        <w:t xml:space="preserve"> возможность получения необходимых данных:</w:t>
      </w:r>
    </w:p>
    <w:p w:rsidR="00514C4C" w:rsidRPr="00ED69E8" w:rsidRDefault="007D591A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 расчетным документам, срок оплаты которых не наступил;</w:t>
      </w:r>
    </w:p>
    <w:p w:rsidR="007D591A" w:rsidRPr="00ED69E8" w:rsidRDefault="007D591A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Не оплаченным в срок расчетным документам;</w:t>
      </w:r>
    </w:p>
    <w:p w:rsidR="007D591A" w:rsidRPr="00ED69E8" w:rsidRDefault="007D591A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Полученным авансам;</w:t>
      </w:r>
    </w:p>
    <w:p w:rsidR="007D591A" w:rsidRPr="00ED69E8" w:rsidRDefault="00CD4F26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Векселям, срок поступления денег по которым не наступил;</w:t>
      </w:r>
    </w:p>
    <w:p w:rsidR="00CD4F26" w:rsidRPr="00ED69E8" w:rsidRDefault="00CD4F26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Векселям, дисконтированным (учтенным) в банке;</w:t>
      </w:r>
    </w:p>
    <w:p w:rsidR="00947306" w:rsidRPr="00ED69E8" w:rsidRDefault="00CD4F26" w:rsidP="0077437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Векселям, по которым денежные средства не поступили в срок.</w:t>
      </w:r>
    </w:p>
    <w:p w:rsidR="00ED1C57" w:rsidRPr="00ED69E8" w:rsidRDefault="00ED1C57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В настоящее время организации могут создавать резервы сомнительных долгов по расчетам с другими организациями и гражданами за продукцию, товары, работы, услуги с отнесением сумм резервов на финансовые результаты организации. </w:t>
      </w:r>
      <w:r w:rsidRPr="00ED69E8">
        <w:rPr>
          <w:i/>
          <w:iCs/>
          <w:sz w:val="28"/>
          <w:szCs w:val="28"/>
        </w:rPr>
        <w:t xml:space="preserve">Сомнительным долгом </w:t>
      </w:r>
      <w:r w:rsidRPr="00ED69E8">
        <w:rPr>
          <w:sz w:val="28"/>
          <w:szCs w:val="28"/>
        </w:rPr>
        <w:t>признается дебиторская задолженность организации, не погашенная в установленные договором сроки и не обеспеченная соответствующими гарантиями. Резервы сомнительных долгов создаются на основе проведенной инвентаризации дебиторской задолженности. Величина резерва определяется по каждому сомнительному долгу в зависимости от финансового состояния организации – должника и оценки вероятности погашения ею долга.</w:t>
      </w:r>
    </w:p>
    <w:p w:rsidR="00ED1C57" w:rsidRPr="00ED69E8" w:rsidRDefault="00ED1C57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сумму создаваемых резервов сомнительных долгов дебетуют счет 91 «Прочие доходы</w:t>
      </w:r>
      <w:r w:rsidR="00ED69E8">
        <w:rPr>
          <w:sz w:val="28"/>
          <w:szCs w:val="28"/>
        </w:rPr>
        <w:t xml:space="preserve"> </w:t>
      </w:r>
      <w:r w:rsidRPr="00ED69E8">
        <w:rPr>
          <w:sz w:val="28"/>
          <w:szCs w:val="28"/>
        </w:rPr>
        <w:t>и расходы» и кредитуют счет 63 «Резервы по сомнительным долгам». Списание невостребованных долгов, признанных сомнительными, отражают по дебету счета 63 с кредита счетов 62 «Расчеты с покупателями и заказчиками» и 76 «Расчеты с разными дебиторами и кредиторами». Списанные долги должны учитываться в течение 5 лет на забалансовом счете 007 «Списанная в убыток задолженность неплатежеспособных дебиторов».</w:t>
      </w:r>
      <w:r w:rsidR="00ED69E8">
        <w:rPr>
          <w:sz w:val="28"/>
          <w:szCs w:val="28"/>
        </w:rPr>
        <w:t xml:space="preserve"> </w:t>
      </w:r>
      <w:r w:rsidRPr="00ED69E8">
        <w:rPr>
          <w:sz w:val="28"/>
          <w:szCs w:val="28"/>
        </w:rPr>
        <w:t>По окончании отчетного года суммы резервов сомнительных долгов, созданные в предыдущем отчетном году и не использованные в отчетном периоде, присоединяются к прибыли отчетного года и записываются в дебет счета 63 с кредита счета 91.</w:t>
      </w:r>
    </w:p>
    <w:p w:rsidR="00CD4F26" w:rsidRPr="00ED69E8" w:rsidRDefault="00D5697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Основные хозяйственные операции, отражающие расчетные операции с покупателями и заказчиками, приведены в табл.</w:t>
      </w:r>
      <w:r w:rsidR="00ED4B55" w:rsidRPr="00ED69E8">
        <w:rPr>
          <w:sz w:val="28"/>
          <w:szCs w:val="28"/>
        </w:rPr>
        <w:t>4.</w:t>
      </w:r>
    </w:p>
    <w:p w:rsidR="00ED4B55" w:rsidRP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55" w:rsidRPr="00ED69E8">
        <w:rPr>
          <w:sz w:val="28"/>
          <w:szCs w:val="28"/>
        </w:rPr>
        <w:t>Табл. 4</w:t>
      </w: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3"/>
        <w:gridCol w:w="4543"/>
        <w:gridCol w:w="1357"/>
        <w:gridCol w:w="1410"/>
        <w:gridCol w:w="1554"/>
      </w:tblGrid>
      <w:tr w:rsidR="00C74B5E" w:rsidRPr="00ED69E8">
        <w:trPr>
          <w:trHeight w:val="34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Корреспондирующие счета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74B5E" w:rsidRPr="00ED69E8">
        <w:trPr>
          <w:trHeight w:val="34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 xml:space="preserve">Дебет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4B5E" w:rsidRPr="00ED69E8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Признана выручка от продажи товаров, выполнения работ, оказания услуг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62 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90 - 1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D69E8">
              <w:rPr>
                <w:sz w:val="20"/>
                <w:szCs w:val="20"/>
                <w:lang w:val="en-US"/>
              </w:rPr>
              <w:t>G</w:t>
            </w:r>
            <w:r w:rsidRPr="00ED69E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ED69E8">
              <w:rPr>
                <w:sz w:val="20"/>
                <w:szCs w:val="20"/>
              </w:rPr>
              <w:t> </w:t>
            </w:r>
          </w:p>
        </w:tc>
      </w:tr>
      <w:tr w:rsidR="00C74B5E" w:rsidRPr="00ED69E8">
        <w:trPr>
          <w:trHeight w:val="38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Начислен НДС с суммы выручки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  <w:lang w:val="en-US"/>
              </w:rPr>
            </w:pPr>
            <w:r w:rsidRPr="00ED69E8">
              <w:rPr>
                <w:sz w:val="20"/>
                <w:szCs w:val="20"/>
              </w:rPr>
              <w:t> </w:t>
            </w:r>
            <w:r w:rsidRPr="00ED69E8">
              <w:rPr>
                <w:sz w:val="20"/>
                <w:szCs w:val="20"/>
                <w:lang w:val="en-US"/>
              </w:rPr>
              <w:t>90 - 3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57D10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  <w:lang w:val="en-US"/>
              </w:rPr>
              <w:t>68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A2" w:rsidRPr="00ED69E8" w:rsidRDefault="008457A2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D69E8">
              <w:rPr>
                <w:sz w:val="20"/>
                <w:szCs w:val="20"/>
              </w:rPr>
              <w:t>(</w:t>
            </w:r>
            <w:r w:rsidR="00C57D10" w:rsidRPr="00ED69E8">
              <w:rPr>
                <w:sz w:val="20"/>
                <w:szCs w:val="20"/>
              </w:rPr>
              <w:t>α/</w:t>
            </w:r>
            <w:r w:rsidRPr="00ED69E8">
              <w:rPr>
                <w:sz w:val="20"/>
                <w:szCs w:val="20"/>
              </w:rPr>
              <w:t>(1+α))</w:t>
            </w:r>
            <w:r w:rsidRPr="00ED69E8">
              <w:rPr>
                <w:sz w:val="20"/>
                <w:szCs w:val="20"/>
                <w:lang w:val="en-US"/>
              </w:rPr>
              <w:t>G</w:t>
            </w:r>
            <w:r w:rsidRPr="00ED69E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C74B5E" w:rsidRPr="00ED69E8">
        <w:trPr>
          <w:trHeight w:val="77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Поступила выручка от покупателя (заказчика)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877EBF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50,51,</w:t>
            </w:r>
            <w:r w:rsidRPr="00ED69E8">
              <w:rPr>
                <w:sz w:val="20"/>
                <w:szCs w:val="20"/>
                <w:lang w:val="en-US"/>
              </w:rPr>
              <w:t>52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877EBF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62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877EBF" w:rsidRPr="00ED69E8">
              <w:rPr>
                <w:sz w:val="20"/>
                <w:szCs w:val="20"/>
                <w:lang w:val="en-US"/>
              </w:rPr>
              <w:t>G</w:t>
            </w:r>
            <w:r w:rsidR="00877EBF" w:rsidRPr="00ED69E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877EBF" w:rsidRPr="00ED69E8">
              <w:rPr>
                <w:sz w:val="20"/>
                <w:szCs w:val="20"/>
              </w:rPr>
              <w:t> </w:t>
            </w:r>
          </w:p>
        </w:tc>
      </w:tr>
      <w:tr w:rsidR="00C74B5E" w:rsidRPr="00ED69E8">
        <w:trPr>
          <w:trHeight w:val="8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 xml:space="preserve">Признана выручка от продажи ненужных основных средств и материалов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877EBF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62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877EBF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91 - 1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877EBF" w:rsidRPr="00ED69E8">
              <w:rPr>
                <w:sz w:val="20"/>
                <w:szCs w:val="20"/>
                <w:lang w:val="en-US"/>
              </w:rPr>
              <w:t>G</w:t>
            </w:r>
            <w:r w:rsidR="001404A8" w:rsidRPr="00ED69E8">
              <w:rPr>
                <w:sz w:val="20"/>
                <w:szCs w:val="20"/>
                <w:vertAlign w:val="subscript"/>
              </w:rPr>
              <w:t>2</w:t>
            </w:r>
            <w:r w:rsidR="00877EBF" w:rsidRPr="00ED69E8">
              <w:rPr>
                <w:sz w:val="20"/>
                <w:szCs w:val="20"/>
              </w:rPr>
              <w:t> </w:t>
            </w:r>
          </w:p>
        </w:tc>
      </w:tr>
      <w:tr w:rsidR="00C74B5E" w:rsidRPr="00ED69E8">
        <w:trPr>
          <w:trHeight w:val="35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Начислен НДС с суммы выручки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1404A8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91 - 2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1404A8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68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1404A8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  <w:vertAlign w:val="subscript"/>
              </w:rPr>
            </w:pPr>
            <w:r w:rsidRPr="00ED69E8">
              <w:rPr>
                <w:sz w:val="20"/>
                <w:szCs w:val="20"/>
              </w:rPr>
              <w:t>(α/(1+α))</w:t>
            </w:r>
            <w:r w:rsidR="00877EBF" w:rsidRPr="00ED69E8">
              <w:rPr>
                <w:sz w:val="20"/>
                <w:szCs w:val="20"/>
                <w:lang w:val="en-US"/>
              </w:rPr>
              <w:t>G</w:t>
            </w:r>
            <w:r w:rsidRPr="00ED69E8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C74B5E" w:rsidRPr="00ED69E8">
        <w:trPr>
          <w:trHeight w:val="93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B5E" w:rsidRPr="00ED69E8" w:rsidRDefault="00C74B5E" w:rsidP="00774373">
            <w:pPr>
              <w:spacing w:line="360" w:lineRule="auto"/>
              <w:ind w:left="-693" w:firstLine="709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B5E" w:rsidRPr="00ED69E8" w:rsidRDefault="00C74B5E" w:rsidP="00460265">
            <w:pPr>
              <w:spacing w:line="360" w:lineRule="auto"/>
              <w:ind w:left="-71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 xml:space="preserve">Поступила выручка от продажи ненужных основных средств и материалов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1404A8" w:rsidRPr="00ED69E8">
              <w:rPr>
                <w:sz w:val="20"/>
                <w:szCs w:val="20"/>
              </w:rPr>
              <w:t>51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C74B5E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 </w:t>
            </w:r>
            <w:r w:rsidR="001404A8" w:rsidRPr="00ED69E8">
              <w:rPr>
                <w:sz w:val="20"/>
                <w:szCs w:val="20"/>
              </w:rPr>
              <w:t>62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B5E" w:rsidRPr="00ED69E8" w:rsidRDefault="00877EBF" w:rsidP="00460265">
            <w:pPr>
              <w:spacing w:line="360" w:lineRule="auto"/>
              <w:ind w:left="-14" w:firstLine="14"/>
              <w:jc w:val="both"/>
              <w:rPr>
                <w:sz w:val="20"/>
                <w:szCs w:val="20"/>
                <w:vertAlign w:val="subscript"/>
              </w:rPr>
            </w:pPr>
            <w:r w:rsidRPr="00ED69E8">
              <w:rPr>
                <w:sz w:val="20"/>
                <w:szCs w:val="20"/>
                <w:lang w:val="en-US"/>
              </w:rPr>
              <w:t>G</w:t>
            </w:r>
            <w:r w:rsidR="001404A8" w:rsidRPr="00ED69E8">
              <w:rPr>
                <w:sz w:val="20"/>
                <w:szCs w:val="20"/>
                <w:vertAlign w:val="subscript"/>
              </w:rPr>
              <w:t>2</w:t>
            </w:r>
            <w:r w:rsidR="00C74B5E" w:rsidRPr="00ED69E8">
              <w:rPr>
                <w:sz w:val="20"/>
                <w:szCs w:val="20"/>
              </w:rPr>
              <w:t> </w:t>
            </w:r>
          </w:p>
        </w:tc>
      </w:tr>
    </w:tbl>
    <w:p w:rsidR="00D5697C" w:rsidRPr="00ED69E8" w:rsidRDefault="00D5697C" w:rsidP="00774373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404A8" w:rsidRPr="00ED69E8" w:rsidRDefault="00D83F78" w:rsidP="00774373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 xml:space="preserve">2.3 </w:t>
      </w:r>
      <w:r w:rsidR="00EE51F8" w:rsidRPr="00ED69E8">
        <w:rPr>
          <w:b/>
          <w:bCs/>
          <w:sz w:val="28"/>
          <w:szCs w:val="28"/>
        </w:rPr>
        <w:t>Учет расчетов с разными дебиторами и кредиторами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EE51F8" w:rsidRPr="00ED69E8" w:rsidRDefault="00EE51F8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Во всех случаях, когда стороны</w:t>
      </w:r>
      <w:r w:rsidR="004C65A2" w:rsidRPr="00ED69E8">
        <w:rPr>
          <w:sz w:val="28"/>
          <w:szCs w:val="28"/>
        </w:rPr>
        <w:t xml:space="preserve"> не являются поставщиками (подрядчиками) и покупателями (заказчиками), для отражения расчетов между ними используется счет 76 «Прочие дебиторы и кредиторы»</w:t>
      </w:r>
    </w:p>
    <w:p w:rsidR="007E74BC" w:rsidRPr="00ED69E8" w:rsidRDefault="003D227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Например, на субсчете 76 – 1 «расчеты по имущественному и личному страхованию»</w:t>
      </w:r>
      <w:r w:rsidR="007E74BC" w:rsidRPr="00ED69E8">
        <w:rPr>
          <w:sz w:val="28"/>
          <w:szCs w:val="28"/>
        </w:rPr>
        <w:t xml:space="preserve"> м</w:t>
      </w:r>
      <w:r w:rsidRPr="00ED69E8">
        <w:rPr>
          <w:sz w:val="28"/>
          <w:szCs w:val="28"/>
        </w:rPr>
        <w:t xml:space="preserve">огут отражаться </w:t>
      </w:r>
      <w:r w:rsidR="007E74BC" w:rsidRPr="00ED69E8">
        <w:rPr>
          <w:sz w:val="28"/>
          <w:szCs w:val="28"/>
        </w:rPr>
        <w:t>расчеты по страхованию имущества и персонала (кроме расчетов по социальному страхованию). Исчисленные суммы страховых платежей</w:t>
      </w:r>
      <w:r w:rsidR="001338AC" w:rsidRPr="00ED69E8">
        <w:rPr>
          <w:sz w:val="28"/>
          <w:szCs w:val="28"/>
        </w:rPr>
        <w:t xml:space="preserve"> в этом случае отражаются по кредиту субсчета 76 – 1 в корреспонденции со счетами учета затрат на производс</w:t>
      </w:r>
      <w:r w:rsidR="00E24401" w:rsidRPr="00ED69E8">
        <w:rPr>
          <w:sz w:val="28"/>
          <w:szCs w:val="28"/>
        </w:rPr>
        <w:t>тв</w:t>
      </w:r>
      <w:r w:rsidR="001338AC" w:rsidRPr="00ED69E8">
        <w:rPr>
          <w:sz w:val="28"/>
          <w:szCs w:val="28"/>
        </w:rPr>
        <w:t>о (расходов на продажу) или других источников страховых платежей</w:t>
      </w:r>
      <w:r w:rsidR="00E24401" w:rsidRPr="00ED69E8">
        <w:rPr>
          <w:sz w:val="28"/>
          <w:szCs w:val="28"/>
        </w:rPr>
        <w:t>. Перечисление сумм страховых платежей страховым организациям отражается по дебету</w:t>
      </w:r>
      <w:r w:rsidR="008766EF" w:rsidRPr="00ED69E8">
        <w:rPr>
          <w:sz w:val="28"/>
          <w:szCs w:val="28"/>
        </w:rPr>
        <w:t xml:space="preserve"> субсчета 76 – 1 в корреспонденции со счетами учета денежных средств. </w:t>
      </w:r>
      <w:r w:rsidR="00116B3E" w:rsidRPr="00ED69E8">
        <w:rPr>
          <w:sz w:val="28"/>
          <w:szCs w:val="28"/>
        </w:rPr>
        <w:t>В дебе</w:t>
      </w:r>
      <w:r w:rsidR="008766EF" w:rsidRPr="00ED69E8">
        <w:rPr>
          <w:sz w:val="28"/>
          <w:szCs w:val="28"/>
        </w:rPr>
        <w:t xml:space="preserve">т субсчета 76 – 1 списываются потери по страховым случаям </w:t>
      </w:r>
      <w:r w:rsidR="00D63916" w:rsidRPr="00ED69E8">
        <w:rPr>
          <w:sz w:val="28"/>
          <w:szCs w:val="28"/>
        </w:rPr>
        <w:t>(уничтожение и порча производственных запасов, готовых изделий и других материальных ценностей и т.п.) с кредита счетов учета производственных запасов, основных средств и др. Суммы страховых возмещ</w:t>
      </w:r>
      <w:r w:rsidR="00803389" w:rsidRPr="00ED69E8">
        <w:rPr>
          <w:sz w:val="28"/>
          <w:szCs w:val="28"/>
        </w:rPr>
        <w:t>е</w:t>
      </w:r>
      <w:r w:rsidR="00D63916" w:rsidRPr="00ED69E8">
        <w:rPr>
          <w:sz w:val="28"/>
          <w:szCs w:val="28"/>
        </w:rPr>
        <w:t>ний</w:t>
      </w:r>
      <w:r w:rsidR="00333DD3" w:rsidRPr="00ED69E8">
        <w:rPr>
          <w:sz w:val="28"/>
          <w:szCs w:val="28"/>
        </w:rPr>
        <w:t>, полученных организацией</w:t>
      </w:r>
      <w:r w:rsidR="00803389" w:rsidRPr="00ED69E8">
        <w:rPr>
          <w:sz w:val="28"/>
          <w:szCs w:val="28"/>
        </w:rPr>
        <w:t xml:space="preserve"> от страховых организаций в соответствии с договорами страхования, отражаются по дебету счета 51</w:t>
      </w:r>
      <w:r w:rsidR="00280B14" w:rsidRPr="00ED69E8">
        <w:rPr>
          <w:sz w:val="28"/>
          <w:szCs w:val="28"/>
        </w:rPr>
        <w:t xml:space="preserve"> «расчетные счета»</w:t>
      </w:r>
      <w:r w:rsidR="00803389" w:rsidRPr="00ED69E8">
        <w:rPr>
          <w:sz w:val="28"/>
          <w:szCs w:val="28"/>
        </w:rPr>
        <w:t xml:space="preserve"> или 52</w:t>
      </w:r>
      <w:r w:rsidR="00280B14" w:rsidRPr="00ED69E8">
        <w:rPr>
          <w:sz w:val="28"/>
          <w:szCs w:val="28"/>
        </w:rPr>
        <w:t xml:space="preserve"> «валютные счета»</w:t>
      </w:r>
      <w:r w:rsidR="00803389" w:rsidRPr="00ED69E8">
        <w:rPr>
          <w:sz w:val="28"/>
          <w:szCs w:val="28"/>
        </w:rPr>
        <w:t xml:space="preserve"> и кредиту субсчета 76 –</w:t>
      </w:r>
      <w:r w:rsidR="0031601B" w:rsidRPr="00ED69E8">
        <w:rPr>
          <w:sz w:val="28"/>
          <w:szCs w:val="28"/>
        </w:rPr>
        <w:t xml:space="preserve"> 1. Не компенсируемые страховыми возмещениями потери от страховых случаев списываются с кредита</w:t>
      </w:r>
      <w:r w:rsidR="002B6732" w:rsidRPr="00ED69E8">
        <w:rPr>
          <w:sz w:val="28"/>
          <w:szCs w:val="28"/>
        </w:rPr>
        <w:t xml:space="preserve"> счета 76 – 1 на счет 99</w:t>
      </w:r>
      <w:r w:rsidR="00280B14" w:rsidRPr="00ED69E8">
        <w:rPr>
          <w:sz w:val="28"/>
          <w:szCs w:val="28"/>
        </w:rPr>
        <w:t xml:space="preserve"> «прибыли и убытки»</w:t>
      </w:r>
      <w:r w:rsidR="002B6732" w:rsidRPr="00ED69E8">
        <w:rPr>
          <w:sz w:val="28"/>
          <w:szCs w:val="28"/>
        </w:rPr>
        <w:t>. Аналитический учет по субсчету 76 – 1 «Расчеты по имущественному и личному страхованию» ведется по страховщикам и отдельным договорам страхования.</w:t>
      </w:r>
    </w:p>
    <w:p w:rsidR="00A80153" w:rsidRPr="00ED69E8" w:rsidRDefault="0033230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субсчете 76 – 2 «Расчеты по претензиям» отражаются расчеты по претензиям, предъявленным поставщикам, подрядчикам, транспортным и другим организациям</w:t>
      </w:r>
      <w:r w:rsidR="00116B3E" w:rsidRPr="00ED69E8">
        <w:rPr>
          <w:sz w:val="28"/>
          <w:szCs w:val="28"/>
        </w:rPr>
        <w:t>, а также по предъявленным и признанным (или присужденным) штрафам</w:t>
      </w:r>
      <w:r w:rsidR="00A80153" w:rsidRPr="00ED69E8">
        <w:rPr>
          <w:sz w:val="28"/>
          <w:szCs w:val="28"/>
        </w:rPr>
        <w:t>, пеням и неустойкам.</w:t>
      </w:r>
      <w:r w:rsidR="00B14427" w:rsidRPr="00ED69E8">
        <w:rPr>
          <w:sz w:val="28"/>
          <w:szCs w:val="28"/>
        </w:rPr>
        <w:t xml:space="preserve"> Кредитуется субсчет 76 – 2 на суммы поступивших платежей в корреспонденции со счетами учета денежных средств. Суммы, не подлежащие взысканию, относятся, как правило, </w:t>
      </w:r>
      <w:r w:rsidR="001A2926" w:rsidRPr="00ED69E8">
        <w:rPr>
          <w:sz w:val="28"/>
          <w:szCs w:val="28"/>
        </w:rPr>
        <w:t xml:space="preserve">на те счета, с которых были приняты на учет по дебету субсчета 76 – 2. Аналитический учет по субсчету 76 – 2 </w:t>
      </w:r>
      <w:r w:rsidR="00BE0751" w:rsidRPr="00ED69E8">
        <w:rPr>
          <w:sz w:val="28"/>
          <w:szCs w:val="28"/>
        </w:rPr>
        <w:t xml:space="preserve">ведется по каждому дебитору и отдельным претензиям. Некоторые из операций, связанные с расчетами по претензиям, были представлены в табл.2. </w:t>
      </w:r>
    </w:p>
    <w:p w:rsidR="00A14910" w:rsidRPr="00ED69E8" w:rsidRDefault="00A065B9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К счету 76 может быть открыт субсчет 76 </w:t>
      </w:r>
      <w:r w:rsidR="00A72269" w:rsidRPr="00ED69E8">
        <w:rPr>
          <w:sz w:val="28"/>
          <w:szCs w:val="28"/>
        </w:rPr>
        <w:t>–</w:t>
      </w:r>
      <w:r w:rsidRPr="00ED69E8">
        <w:rPr>
          <w:sz w:val="28"/>
          <w:szCs w:val="28"/>
        </w:rPr>
        <w:t xml:space="preserve"> 3</w:t>
      </w:r>
      <w:r w:rsidR="00A72269" w:rsidRPr="00ED69E8">
        <w:rPr>
          <w:sz w:val="28"/>
          <w:szCs w:val="28"/>
        </w:rPr>
        <w:t xml:space="preserve"> «Расчеты по причитающимся дивидендам и другим доходам», на котором, в частности, учитываются расчеты по прибыли, убыткам и другим результатам согласно договору простого товарищества.</w:t>
      </w:r>
    </w:p>
    <w:p w:rsidR="004B4269" w:rsidRPr="00ED69E8" w:rsidRDefault="006D4B22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 табл.5</w:t>
      </w:r>
      <w:r w:rsidR="004B4269" w:rsidRPr="00ED69E8">
        <w:rPr>
          <w:sz w:val="28"/>
          <w:szCs w:val="28"/>
        </w:rPr>
        <w:t xml:space="preserve"> представлены некоторые хозяйственные операции, в которых используется вышеупомянутые субсчета. К счету 76 могут быть открыты и другие субсчета для отражения необходимых расчетов с прочими дебиторами и кредиторами.</w:t>
      </w:r>
    </w:p>
    <w:p w:rsidR="006D4B22" w:rsidRP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D4B22" w:rsidRPr="00ED69E8">
        <w:rPr>
          <w:sz w:val="28"/>
          <w:szCs w:val="28"/>
        </w:rPr>
        <w:t>Табл. 5</w:t>
      </w:r>
    </w:p>
    <w:tbl>
      <w:tblPr>
        <w:tblW w:w="922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5"/>
        <w:gridCol w:w="3356"/>
        <w:gridCol w:w="3296"/>
        <w:gridCol w:w="1081"/>
        <w:gridCol w:w="1047"/>
      </w:tblGrid>
      <w:tr w:rsidR="00C40F4D" w:rsidRPr="00ED69E8">
        <w:trPr>
          <w:trHeight w:val="58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9233F7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Корреспонди</w:t>
            </w:r>
            <w:r w:rsidR="004B2C4C" w:rsidRPr="00ED69E8">
              <w:rPr>
                <w:b/>
                <w:bCs/>
                <w:sz w:val="20"/>
                <w:szCs w:val="20"/>
              </w:rPr>
              <w:t>-</w:t>
            </w:r>
            <w:r w:rsidRPr="00ED69E8">
              <w:rPr>
                <w:b/>
                <w:bCs/>
                <w:sz w:val="20"/>
                <w:szCs w:val="20"/>
              </w:rPr>
              <w:t>рующие</w:t>
            </w:r>
            <w:r w:rsidR="00C40F4D" w:rsidRPr="00ED69E8">
              <w:rPr>
                <w:b/>
                <w:bCs/>
                <w:sz w:val="20"/>
                <w:szCs w:val="20"/>
              </w:rPr>
              <w:t xml:space="preserve"> счета</w:t>
            </w:r>
          </w:p>
        </w:tc>
      </w:tr>
      <w:tr w:rsidR="004B2C4C" w:rsidRPr="00ED69E8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4D" w:rsidRPr="00ED69E8" w:rsidRDefault="00C40F4D" w:rsidP="004602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Кредит</w:t>
            </w:r>
          </w:p>
        </w:tc>
      </w:tr>
      <w:tr w:rsidR="004B2C4C" w:rsidRPr="00ED69E8">
        <w:trPr>
          <w:trHeight w:val="15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 xml:space="preserve">Сумма страховых платежей по договору </w:t>
            </w:r>
            <w:r w:rsidR="009233F7" w:rsidRPr="00ED69E8">
              <w:rPr>
                <w:sz w:val="20"/>
                <w:szCs w:val="20"/>
              </w:rPr>
              <w:t xml:space="preserve">страхования отражена в составе </w:t>
            </w:r>
            <w:r w:rsidRPr="00ED69E8">
              <w:rPr>
                <w:sz w:val="20"/>
                <w:szCs w:val="20"/>
              </w:rPr>
              <w:t>р</w:t>
            </w:r>
            <w:r w:rsidR="009233F7" w:rsidRPr="00ED69E8">
              <w:rPr>
                <w:sz w:val="20"/>
                <w:szCs w:val="20"/>
              </w:rPr>
              <w:t>а</w:t>
            </w:r>
            <w:r w:rsidRPr="00ED69E8">
              <w:rPr>
                <w:sz w:val="20"/>
                <w:szCs w:val="20"/>
              </w:rPr>
              <w:t>сх</w:t>
            </w:r>
            <w:r w:rsidR="009233F7" w:rsidRPr="00ED69E8">
              <w:rPr>
                <w:sz w:val="20"/>
                <w:szCs w:val="20"/>
              </w:rPr>
              <w:t>о</w:t>
            </w:r>
            <w:r w:rsidRPr="00ED69E8">
              <w:rPr>
                <w:sz w:val="20"/>
                <w:szCs w:val="20"/>
              </w:rPr>
              <w:t>дов будущих периодов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Договор страхования,</w:t>
            </w:r>
            <w:r w:rsidR="009233F7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бухгалтерская справка - расчет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76 - 1</w:t>
            </w:r>
          </w:p>
        </w:tc>
      </w:tr>
      <w:tr w:rsidR="004B2C4C" w:rsidRPr="00ED69E8">
        <w:trPr>
          <w:trHeight w:val="150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Расходы по страхованию, относящиеся к текущему месяцу, включены в состав общехозяйственных расходов.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Бухгалтерская справка - расчет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97</w:t>
            </w:r>
          </w:p>
        </w:tc>
      </w:tr>
      <w:tr w:rsidR="004B2C4C" w:rsidRPr="00ED69E8">
        <w:trPr>
          <w:trHeight w:val="112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9233F7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Перечисле</w:t>
            </w:r>
            <w:r w:rsidR="00C40F4D" w:rsidRPr="00ED69E8">
              <w:rPr>
                <w:sz w:val="20"/>
                <w:szCs w:val="20"/>
              </w:rPr>
              <w:t>на сумма страховых платежей организации - страховщику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Выписка банка, платежное поручение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</w:tr>
      <w:tr w:rsidR="004B2C4C" w:rsidRPr="00ED69E8">
        <w:trPr>
          <w:trHeight w:val="12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Отражена прибыль по договору простого товарищества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Соглашение о распределении прибылей и убытков, бухгалтерская спра</w:t>
            </w:r>
            <w:r w:rsidR="009233F7" w:rsidRPr="00ED69E8">
              <w:rPr>
                <w:sz w:val="20"/>
                <w:szCs w:val="20"/>
              </w:rPr>
              <w:t>в</w:t>
            </w:r>
            <w:r w:rsidRPr="00ED69E8">
              <w:rPr>
                <w:sz w:val="20"/>
                <w:szCs w:val="20"/>
              </w:rPr>
              <w:t>ка - расчет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91 - 2</w:t>
            </w:r>
          </w:p>
        </w:tc>
      </w:tr>
      <w:tr w:rsidR="004B2C4C" w:rsidRPr="00ED69E8">
        <w:trPr>
          <w:trHeight w:val="89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Поступила доля прибыли</w:t>
            </w:r>
            <w:r w:rsidR="00520494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в соответствии с соглашением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Выписка банка, платежное поручение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76 - 3</w:t>
            </w:r>
          </w:p>
        </w:tc>
      </w:tr>
      <w:tr w:rsidR="004B2C4C" w:rsidRPr="00ED69E8">
        <w:trPr>
          <w:trHeight w:val="1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Отражен убыток по договору простого товарищества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Соглашение о распределении прибылей и убытков, бухгалтерская спра</w:t>
            </w:r>
            <w:r w:rsidR="009233F7" w:rsidRPr="00ED69E8">
              <w:rPr>
                <w:sz w:val="20"/>
                <w:szCs w:val="20"/>
              </w:rPr>
              <w:t>в</w:t>
            </w:r>
            <w:r w:rsidRPr="00ED69E8">
              <w:rPr>
                <w:sz w:val="20"/>
                <w:szCs w:val="20"/>
              </w:rPr>
              <w:t>ка - расчет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91 - 1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76 - 3</w:t>
            </w:r>
          </w:p>
        </w:tc>
      </w:tr>
      <w:tr w:rsidR="004B2C4C" w:rsidRPr="00ED69E8">
        <w:trPr>
          <w:trHeight w:val="7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ind w:left="-608" w:firstLine="709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ind w:left="-53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Перечислено в счет возмещения убытков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Выписка банка, платежное поручение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76 - 3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F4D" w:rsidRPr="00ED69E8" w:rsidRDefault="00C40F4D" w:rsidP="00460265">
            <w:pPr>
              <w:spacing w:line="360" w:lineRule="auto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</w:tr>
    </w:tbl>
    <w:p w:rsidR="004747A4" w:rsidRPr="00ED69E8" w:rsidRDefault="004747A4" w:rsidP="00774373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4B2C4C" w:rsidRPr="00ED69E8" w:rsidRDefault="00D83F7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b/>
          <w:bCs/>
          <w:sz w:val="28"/>
          <w:szCs w:val="28"/>
        </w:rPr>
        <w:t>2.</w:t>
      </w:r>
      <w:r w:rsidR="00650EFC" w:rsidRPr="00ED69E8">
        <w:rPr>
          <w:b/>
          <w:bCs/>
          <w:sz w:val="28"/>
          <w:szCs w:val="28"/>
        </w:rPr>
        <w:t>4</w:t>
      </w:r>
      <w:r w:rsidRPr="00ED69E8">
        <w:rPr>
          <w:b/>
          <w:bCs/>
          <w:sz w:val="28"/>
          <w:szCs w:val="28"/>
        </w:rPr>
        <w:t xml:space="preserve"> </w:t>
      </w:r>
      <w:r w:rsidR="004B2C4C" w:rsidRPr="00ED69E8">
        <w:rPr>
          <w:b/>
          <w:bCs/>
          <w:sz w:val="28"/>
          <w:szCs w:val="28"/>
        </w:rPr>
        <w:t>Учет внутрихозяйственных расчетов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4B2C4C" w:rsidRPr="00ED69E8" w:rsidRDefault="003B314C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Для обобщения информации о всех видах расчетов с филиалами организации, выделенными на отдельные балансы. Предназначен счет 79 «Внутрихозяйственные расчеты». На этом счете, в частности отражаются расчеты по выделенному имуществу</w:t>
      </w:r>
      <w:r w:rsidR="00705F55" w:rsidRPr="00ED69E8">
        <w:rPr>
          <w:sz w:val="28"/>
          <w:szCs w:val="28"/>
        </w:rPr>
        <w:t>, по взаимному отпуску материальных ценностей, по продажи продукции, работ, услуг, по передачи расходов по общеуправленческой деятельности, по оплате труда</w:t>
      </w:r>
      <w:r w:rsidR="007E6B38" w:rsidRPr="00ED69E8">
        <w:rPr>
          <w:sz w:val="28"/>
          <w:szCs w:val="28"/>
        </w:rPr>
        <w:t xml:space="preserve"> работникам подразделений и т.п. С этой целью к счету 79 могут быть откры</w:t>
      </w:r>
      <w:r w:rsidR="00C02BAC" w:rsidRPr="00ED69E8">
        <w:rPr>
          <w:sz w:val="28"/>
          <w:szCs w:val="28"/>
        </w:rPr>
        <w:t>ты субсчета 79–1, 79–2 и 79</w:t>
      </w:r>
      <w:r w:rsidR="007E6B38" w:rsidRPr="00ED69E8">
        <w:rPr>
          <w:sz w:val="28"/>
          <w:szCs w:val="28"/>
        </w:rPr>
        <w:t>–3.</w:t>
      </w:r>
    </w:p>
    <w:p w:rsidR="007E6B38" w:rsidRPr="00ED69E8" w:rsidRDefault="007E6B38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субсчету 79 – 1 «Расчеты по выделенному имуществу»</w:t>
      </w:r>
      <w:r w:rsidR="00F103B0" w:rsidRPr="00ED69E8">
        <w:rPr>
          <w:sz w:val="28"/>
          <w:szCs w:val="28"/>
        </w:rPr>
        <w:t xml:space="preserve"> учитывается состояние расчетов с филиалами, представительствами, отделениями и другими обособленными подразделениями организации по переданным</w:t>
      </w:r>
      <w:r w:rsidR="00653495" w:rsidRPr="00ED69E8">
        <w:rPr>
          <w:sz w:val="28"/>
          <w:szCs w:val="28"/>
        </w:rPr>
        <w:t xml:space="preserve"> им в</w:t>
      </w:r>
      <w:r w:rsidR="00774373">
        <w:rPr>
          <w:sz w:val="28"/>
          <w:szCs w:val="28"/>
        </w:rPr>
        <w:t>необоротным и оборотным активам.</w:t>
      </w:r>
    </w:p>
    <w:p w:rsidR="00653495" w:rsidRPr="00ED69E8" w:rsidRDefault="00653495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На субсчете 79 – 2 «Расчеты по текущим операциям</w:t>
      </w:r>
      <w:r w:rsidR="008C3F6E" w:rsidRPr="00ED69E8">
        <w:rPr>
          <w:sz w:val="28"/>
          <w:szCs w:val="28"/>
        </w:rPr>
        <w:t>» учитывается состояние расчетов с филиалами, представительствами, отделениями и другими обособленными подразделениями.</w:t>
      </w:r>
    </w:p>
    <w:p w:rsidR="008C3F6E" w:rsidRPr="00ED69E8" w:rsidRDefault="008C3F6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На </w:t>
      </w:r>
      <w:r w:rsidR="00E52812" w:rsidRPr="00ED69E8">
        <w:rPr>
          <w:sz w:val="28"/>
          <w:szCs w:val="28"/>
        </w:rPr>
        <w:t>субсчете 79 – 3 «Расчеты по договору доверительного управлении имуществом» учитывается состояние расчетов</w:t>
      </w:r>
      <w:r w:rsidR="00A946C1" w:rsidRPr="00ED69E8">
        <w:rPr>
          <w:sz w:val="28"/>
          <w:szCs w:val="28"/>
        </w:rPr>
        <w:t>, связанное с исполнением указанных договоров. Этот субсчет используется для учета расчетов у учредителя управления</w:t>
      </w:r>
      <w:r w:rsidR="001A2171" w:rsidRPr="00ED69E8">
        <w:rPr>
          <w:sz w:val="28"/>
          <w:szCs w:val="28"/>
        </w:rPr>
        <w:t>, доверительного управляющего, а также расчетов по имуществу, передан</w:t>
      </w:r>
      <w:r w:rsidR="00D67794">
        <w:rPr>
          <w:sz w:val="28"/>
          <w:szCs w:val="28"/>
        </w:rPr>
        <w:t>ному в доверительное управление.</w:t>
      </w:r>
    </w:p>
    <w:p w:rsidR="001A2171" w:rsidRPr="00ED69E8" w:rsidRDefault="00517284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Основные хозяйственные операции, отражающие внутрихозяйстве</w:t>
      </w:r>
      <w:r w:rsidR="006D4B22" w:rsidRPr="00ED69E8">
        <w:rPr>
          <w:sz w:val="28"/>
          <w:szCs w:val="28"/>
        </w:rPr>
        <w:t>нные расчеты, приведены в табл.6</w:t>
      </w:r>
      <w:r w:rsidRPr="00ED69E8">
        <w:rPr>
          <w:sz w:val="28"/>
          <w:szCs w:val="28"/>
        </w:rPr>
        <w:t>.</w:t>
      </w:r>
    </w:p>
    <w:p w:rsidR="002A10ED" w:rsidRPr="00ED69E8" w:rsidRDefault="002A10ED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4B22" w:rsidRPr="00ED69E8" w:rsidRDefault="00D165A3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Табл. 6</w:t>
      </w:r>
    </w:p>
    <w:tbl>
      <w:tblPr>
        <w:tblW w:w="9220" w:type="dxa"/>
        <w:tblInd w:w="95" w:type="dxa"/>
        <w:tblLook w:val="0000" w:firstRow="0" w:lastRow="0" w:firstColumn="0" w:lastColumn="0" w:noHBand="0" w:noVBand="0"/>
      </w:tblPr>
      <w:tblGrid>
        <w:gridCol w:w="503"/>
        <w:gridCol w:w="3905"/>
        <w:gridCol w:w="2660"/>
        <w:gridCol w:w="985"/>
        <w:gridCol w:w="1167"/>
      </w:tblGrid>
      <w:tr w:rsidR="00063017" w:rsidRPr="00ED69E8">
        <w:trPr>
          <w:trHeight w:val="33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Корреспондирующие счета</w:t>
            </w:r>
          </w:p>
        </w:tc>
      </w:tr>
      <w:tr w:rsidR="00063017" w:rsidRPr="00ED69E8">
        <w:trPr>
          <w:trHeight w:val="66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b/>
                <w:bCs/>
                <w:sz w:val="20"/>
                <w:szCs w:val="20"/>
              </w:rPr>
            </w:pPr>
            <w:r w:rsidRPr="00ED69E8">
              <w:rPr>
                <w:b/>
                <w:bCs/>
                <w:sz w:val="20"/>
                <w:szCs w:val="20"/>
              </w:rPr>
              <w:t>Кредит</w:t>
            </w:r>
          </w:p>
        </w:tc>
      </w:tr>
      <w:tr w:rsidR="00063017" w:rsidRPr="00ED69E8">
        <w:trPr>
          <w:trHeight w:val="1196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Переданы организацией своему обособленному подразделению основные средства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Накладная на внутреннее перемещение основных средств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1</w:t>
            </w:r>
          </w:p>
        </w:tc>
      </w:tr>
      <w:tr w:rsidR="00063017" w:rsidRPr="00ED69E8">
        <w:trPr>
          <w:trHeight w:val="13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Отражена сумма амортизации, начисленная головной организацией на передаваемый объект основных средств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Копия инвентарной карточки учета объекта основных средств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79 - 1</w:t>
            </w:r>
          </w:p>
        </w:tc>
      </w:tr>
      <w:tr w:rsidR="00063017" w:rsidRPr="00ED69E8">
        <w:trPr>
          <w:trHeight w:val="8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Переданы обособленному подразделению расходы по доставке основных средств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Авизо, бухгалтерская справка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23</w:t>
            </w:r>
          </w:p>
        </w:tc>
      </w:tr>
      <w:tr w:rsidR="00063017" w:rsidRPr="00ED69E8">
        <w:trPr>
          <w:trHeight w:val="13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Основные средства переданы в доверительное управление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Договор доверительного управления, акт приемки-передачи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1</w:t>
            </w:r>
          </w:p>
        </w:tc>
      </w:tr>
      <w:tr w:rsidR="00063017" w:rsidRPr="00ED69E8">
        <w:trPr>
          <w:trHeight w:val="1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Списана начисленная амортизация по основным средствам, переданным в доверительное управление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Договор доверительного управления, акт приемки-передачи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</w:tr>
      <w:tr w:rsidR="00063017" w:rsidRPr="00ED69E8">
        <w:trPr>
          <w:trHeight w:val="124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Получены денежные средства в качестве прибыли от передачи имущества в доверительное управление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Выписка</w:t>
            </w:r>
            <w:r w:rsidR="00FF4368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банка, платежное поручение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</w:tr>
      <w:tr w:rsidR="00063017" w:rsidRPr="00ED69E8">
        <w:trPr>
          <w:trHeight w:val="124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Имущество</w:t>
            </w:r>
            <w:r w:rsidR="00FF4368" w:rsidRPr="00ED69E8">
              <w:rPr>
                <w:sz w:val="20"/>
                <w:szCs w:val="20"/>
              </w:rPr>
              <w:t>,</w:t>
            </w:r>
            <w:r w:rsidRPr="00ED69E8">
              <w:rPr>
                <w:sz w:val="20"/>
                <w:szCs w:val="20"/>
              </w:rPr>
              <w:t xml:space="preserve"> полученное в доверительное управление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Договор доверительного управления, акт приемки-передачи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 xml:space="preserve">1, </w:t>
            </w: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4, 10 и др.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</w:tr>
      <w:tr w:rsidR="00063017" w:rsidRPr="00ED69E8">
        <w:trPr>
          <w:trHeight w:val="121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Отражена начисленная амортизация по основным средствам, полученным в доверительное управление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Договор доверительного управления, акт приемки-передачи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FF4368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0</w:t>
            </w:r>
            <w:r w:rsidR="00063017" w:rsidRPr="00ED69E8">
              <w:rPr>
                <w:sz w:val="20"/>
                <w:szCs w:val="20"/>
              </w:rPr>
              <w:t>2</w:t>
            </w:r>
          </w:p>
        </w:tc>
      </w:tr>
      <w:tr w:rsidR="00063017" w:rsidRPr="00ED69E8">
        <w:trPr>
          <w:trHeight w:val="100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Перечислены денежные средства за</w:t>
            </w:r>
            <w:r w:rsidR="00FF4368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имущество в доверительном управлении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Выписка</w:t>
            </w:r>
            <w:r w:rsidR="00FF4368" w:rsidRPr="00ED69E8">
              <w:rPr>
                <w:sz w:val="20"/>
                <w:szCs w:val="20"/>
              </w:rPr>
              <w:t xml:space="preserve"> </w:t>
            </w:r>
            <w:r w:rsidRPr="00ED69E8">
              <w:rPr>
                <w:sz w:val="20"/>
                <w:szCs w:val="20"/>
              </w:rPr>
              <w:t>банка, платежное поручение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79 - 3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017" w:rsidRPr="00ED69E8" w:rsidRDefault="00063017" w:rsidP="00774373">
            <w:pPr>
              <w:spacing w:line="360" w:lineRule="auto"/>
              <w:ind w:firstLine="7"/>
              <w:rPr>
                <w:sz w:val="20"/>
                <w:szCs w:val="20"/>
              </w:rPr>
            </w:pPr>
            <w:r w:rsidRPr="00ED69E8">
              <w:rPr>
                <w:sz w:val="20"/>
                <w:szCs w:val="20"/>
              </w:rPr>
              <w:t>51</w:t>
            </w:r>
          </w:p>
        </w:tc>
      </w:tr>
    </w:tbl>
    <w:p w:rsidR="00D165A3" w:rsidRPr="00ED69E8" w:rsidRDefault="00D165A3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1A551A" w:rsidRPr="00ED69E8" w:rsidRDefault="001A551A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9E8">
        <w:rPr>
          <w:sz w:val="28"/>
          <w:szCs w:val="28"/>
        </w:rPr>
        <w:t>При прекращении договора доверительного управления имуществом и возврате имущества учредителю управления делаются обратные записи.</w:t>
      </w:r>
    </w:p>
    <w:p w:rsidR="007C5DDE" w:rsidRPr="00ED69E8" w:rsidRDefault="00CE2CD6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Аналитический учет по счету 79 ведется по каждому филиалу</w:t>
      </w:r>
      <w:r w:rsidR="00E6156B" w:rsidRPr="00ED69E8">
        <w:rPr>
          <w:sz w:val="28"/>
          <w:szCs w:val="28"/>
        </w:rPr>
        <w:t>, представительству, отделению или другому обособленному подразделению организации, выделенном</w:t>
      </w:r>
      <w:r w:rsidR="003D1720" w:rsidRPr="00ED69E8">
        <w:rPr>
          <w:sz w:val="28"/>
          <w:szCs w:val="28"/>
        </w:rPr>
        <w:t>у на отдельный баланс, а учет расчетов</w:t>
      </w:r>
      <w:r w:rsidR="00E6156B" w:rsidRPr="00ED69E8">
        <w:rPr>
          <w:sz w:val="28"/>
          <w:szCs w:val="28"/>
        </w:rPr>
        <w:t xml:space="preserve"> по договорам доверительного управления имуществом – по каждому договору.</w:t>
      </w:r>
    </w:p>
    <w:p w:rsidR="005F5DBF" w:rsidRP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F5DBF" w:rsidRPr="00ED69E8">
        <w:rPr>
          <w:b/>
          <w:bCs/>
          <w:sz w:val="28"/>
          <w:szCs w:val="28"/>
        </w:rPr>
        <w:t>Заключение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90457E" w:rsidRPr="00ED69E8" w:rsidRDefault="0090457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Современное общество не возможно без взаимодействия между индивидуумами и (или) их объединениями. Эти взаимоотношения основаны на процессе передачи из рук в руки на тех или иных условиях того или иного ресурса</w:t>
      </w:r>
      <w:r w:rsidR="005C386E" w:rsidRPr="00ED69E8">
        <w:rPr>
          <w:sz w:val="28"/>
          <w:szCs w:val="28"/>
        </w:rPr>
        <w:t>. В ходе этого процесса</w:t>
      </w:r>
      <w:r w:rsidR="002D354A" w:rsidRPr="00ED69E8">
        <w:rPr>
          <w:sz w:val="28"/>
          <w:szCs w:val="28"/>
        </w:rPr>
        <w:t xml:space="preserve"> между </w:t>
      </w:r>
      <w:r w:rsidR="00F01631" w:rsidRPr="00ED69E8">
        <w:rPr>
          <w:sz w:val="28"/>
          <w:szCs w:val="28"/>
        </w:rPr>
        <w:t>сторонами</w:t>
      </w:r>
      <w:r w:rsidR="002D354A" w:rsidRPr="00ED69E8">
        <w:rPr>
          <w:sz w:val="28"/>
          <w:szCs w:val="28"/>
        </w:rPr>
        <w:t xml:space="preserve"> возникают обязательства</w:t>
      </w:r>
      <w:r w:rsidR="005C386E" w:rsidRPr="00ED69E8">
        <w:rPr>
          <w:sz w:val="28"/>
          <w:szCs w:val="28"/>
        </w:rPr>
        <w:t xml:space="preserve">, на основании которых </w:t>
      </w:r>
      <w:r w:rsidR="00F01631" w:rsidRPr="00ED69E8">
        <w:rPr>
          <w:sz w:val="28"/>
          <w:szCs w:val="28"/>
        </w:rPr>
        <w:t>организации осуществляют</w:t>
      </w:r>
      <w:r w:rsidR="00AD74FA" w:rsidRPr="00ED69E8">
        <w:rPr>
          <w:sz w:val="28"/>
          <w:szCs w:val="28"/>
        </w:rPr>
        <w:t xml:space="preserve"> расчеты.</w:t>
      </w:r>
    </w:p>
    <w:p w:rsidR="004128DF" w:rsidRPr="00ED69E8" w:rsidRDefault="00A2277E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В разной литературе даются</w:t>
      </w:r>
      <w:r w:rsidR="00F50E88" w:rsidRPr="00ED69E8">
        <w:rPr>
          <w:sz w:val="28"/>
          <w:szCs w:val="28"/>
        </w:rPr>
        <w:t xml:space="preserve"> различные оп</w:t>
      </w:r>
      <w:r w:rsidR="0026294B" w:rsidRPr="00ED69E8">
        <w:rPr>
          <w:sz w:val="28"/>
          <w:szCs w:val="28"/>
        </w:rPr>
        <w:t>исания</w:t>
      </w:r>
      <w:r w:rsidR="00F50E88" w:rsidRPr="00ED69E8">
        <w:rPr>
          <w:sz w:val="28"/>
          <w:szCs w:val="28"/>
        </w:rPr>
        <w:t xml:space="preserve"> </w:t>
      </w:r>
      <w:r w:rsidRPr="00ED69E8">
        <w:rPr>
          <w:sz w:val="28"/>
          <w:szCs w:val="28"/>
        </w:rPr>
        <w:t>понятию</w:t>
      </w:r>
      <w:r w:rsidR="007163FE" w:rsidRPr="00ED69E8">
        <w:rPr>
          <w:sz w:val="28"/>
          <w:szCs w:val="28"/>
        </w:rPr>
        <w:t xml:space="preserve"> «</w:t>
      </w:r>
      <w:r w:rsidR="00F50E88" w:rsidRPr="00ED69E8">
        <w:rPr>
          <w:sz w:val="28"/>
          <w:szCs w:val="28"/>
        </w:rPr>
        <w:t>расчет</w:t>
      </w:r>
      <w:r w:rsidR="006348BE" w:rsidRPr="00ED69E8">
        <w:rPr>
          <w:sz w:val="28"/>
          <w:szCs w:val="28"/>
        </w:rPr>
        <w:t>ы</w:t>
      </w:r>
      <w:r w:rsidR="007163FE" w:rsidRPr="00ED69E8">
        <w:rPr>
          <w:sz w:val="28"/>
          <w:szCs w:val="28"/>
        </w:rPr>
        <w:t>»</w:t>
      </w:r>
      <w:r w:rsidR="006348BE" w:rsidRPr="00ED69E8">
        <w:rPr>
          <w:sz w:val="28"/>
          <w:szCs w:val="28"/>
        </w:rPr>
        <w:t>. С</w:t>
      </w:r>
      <w:r w:rsidR="00B50CAB" w:rsidRPr="00ED69E8">
        <w:rPr>
          <w:sz w:val="28"/>
          <w:szCs w:val="28"/>
        </w:rPr>
        <w:t xml:space="preserve"> позиции бухгалтерского учета, характерной особенностью расчетов является одновременные с их осуществлением изменения в структуре имущества (дебиторская задолженность) или обязательствах (кредиторской задолженности) организации.</w:t>
      </w:r>
    </w:p>
    <w:p w:rsidR="00BB1A6B" w:rsidRPr="00ED69E8" w:rsidRDefault="0073510A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Помимо простого осуществления расчетных операций</w:t>
      </w:r>
      <w:r w:rsidR="004C64A8" w:rsidRPr="00ED69E8">
        <w:rPr>
          <w:sz w:val="28"/>
          <w:szCs w:val="28"/>
        </w:rPr>
        <w:t xml:space="preserve">, для организации важно вести </w:t>
      </w:r>
      <w:r w:rsidR="00547CA8" w:rsidRPr="00ED69E8">
        <w:rPr>
          <w:sz w:val="28"/>
          <w:szCs w:val="28"/>
        </w:rPr>
        <w:t xml:space="preserve">полный </w:t>
      </w:r>
      <w:r w:rsidR="004C64A8" w:rsidRPr="00ED69E8">
        <w:rPr>
          <w:sz w:val="28"/>
          <w:szCs w:val="28"/>
        </w:rPr>
        <w:t xml:space="preserve">учет </w:t>
      </w:r>
      <w:r w:rsidR="00547CA8" w:rsidRPr="00ED69E8">
        <w:rPr>
          <w:sz w:val="28"/>
          <w:szCs w:val="28"/>
        </w:rPr>
        <w:t xml:space="preserve">своих расчетов с контрагентами. </w:t>
      </w:r>
      <w:r w:rsidR="005D066F" w:rsidRPr="00ED69E8">
        <w:rPr>
          <w:sz w:val="28"/>
          <w:szCs w:val="28"/>
        </w:rPr>
        <w:t xml:space="preserve">Учет необходим для того, чтобы организация </w:t>
      </w:r>
      <w:r w:rsidR="002C00A9" w:rsidRPr="00ED69E8">
        <w:rPr>
          <w:sz w:val="28"/>
          <w:szCs w:val="28"/>
        </w:rPr>
        <w:t>могла управлять своей дебиторской и кредиторской задолженностью и решать проблемы взаимных расчетов в досудебном порядке</w:t>
      </w:r>
      <w:r w:rsidR="00230249" w:rsidRPr="00ED69E8">
        <w:rPr>
          <w:sz w:val="28"/>
          <w:szCs w:val="28"/>
        </w:rPr>
        <w:t xml:space="preserve">, а также поддерживать репутацию организации </w:t>
      </w:r>
      <w:r w:rsidR="00C928D4" w:rsidRPr="00ED69E8">
        <w:rPr>
          <w:sz w:val="28"/>
          <w:szCs w:val="28"/>
        </w:rPr>
        <w:t>как кредитоспособного и надежного партнера.</w:t>
      </w:r>
    </w:p>
    <w:p w:rsidR="0085373F" w:rsidRPr="00ED69E8" w:rsidRDefault="0085373F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Основной целью учета </w:t>
      </w:r>
      <w:r w:rsidR="001739AA" w:rsidRPr="00ED69E8">
        <w:rPr>
          <w:sz w:val="28"/>
          <w:szCs w:val="28"/>
        </w:rPr>
        <w:t xml:space="preserve">расчетов с контрагентами </w:t>
      </w:r>
      <w:r w:rsidRPr="00ED69E8">
        <w:rPr>
          <w:sz w:val="28"/>
          <w:szCs w:val="28"/>
        </w:rPr>
        <w:t xml:space="preserve">является соответствие совершаемых расчетных операций действующему </w:t>
      </w:r>
      <w:r w:rsidR="001739AA" w:rsidRPr="00ED69E8">
        <w:rPr>
          <w:sz w:val="28"/>
          <w:szCs w:val="28"/>
        </w:rPr>
        <w:t xml:space="preserve">гражданскому, бухгалтерскому и налоговому </w:t>
      </w:r>
      <w:r w:rsidRPr="00ED69E8">
        <w:rPr>
          <w:sz w:val="28"/>
          <w:szCs w:val="28"/>
        </w:rPr>
        <w:t>законодательству</w:t>
      </w:r>
      <w:r w:rsidR="001739AA" w:rsidRPr="00ED69E8">
        <w:rPr>
          <w:sz w:val="28"/>
          <w:szCs w:val="28"/>
        </w:rPr>
        <w:t>, интересам предприятия</w:t>
      </w:r>
      <w:r w:rsidR="00497611" w:rsidRPr="00ED69E8">
        <w:rPr>
          <w:sz w:val="28"/>
          <w:szCs w:val="28"/>
        </w:rPr>
        <w:t>, их полное и своевременное отражение в бухгалтерском учете предприятия, а также выявление</w:t>
      </w:r>
      <w:r w:rsidR="0051788A" w:rsidRPr="00ED69E8">
        <w:rPr>
          <w:sz w:val="28"/>
          <w:szCs w:val="28"/>
        </w:rPr>
        <w:t xml:space="preserve"> и</w:t>
      </w:r>
      <w:r w:rsidR="00497611" w:rsidRPr="00ED69E8">
        <w:rPr>
          <w:sz w:val="28"/>
          <w:szCs w:val="28"/>
        </w:rPr>
        <w:t xml:space="preserve"> пресечение негативных тенденций и финансовых потерь</w:t>
      </w:r>
      <w:r w:rsidR="003C6633" w:rsidRPr="00ED69E8">
        <w:rPr>
          <w:sz w:val="28"/>
          <w:szCs w:val="28"/>
        </w:rPr>
        <w:t>, вызванных организацией расчетов.</w:t>
      </w:r>
    </w:p>
    <w:p w:rsidR="00BB1A6B" w:rsidRPr="00ED69E8" w:rsidRDefault="006D2CBB" w:rsidP="00774373">
      <w:pPr>
        <w:spacing w:line="360" w:lineRule="auto"/>
        <w:ind w:firstLine="709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Существующи</w:t>
      </w:r>
      <w:r w:rsidR="004F38EA" w:rsidRPr="00ED69E8">
        <w:rPr>
          <w:sz w:val="28"/>
          <w:szCs w:val="28"/>
        </w:rPr>
        <w:t>х</w:t>
      </w:r>
      <w:r w:rsidRPr="00ED69E8">
        <w:rPr>
          <w:sz w:val="28"/>
          <w:szCs w:val="28"/>
        </w:rPr>
        <w:t xml:space="preserve"> </w:t>
      </w:r>
      <w:r w:rsidR="004F38EA" w:rsidRPr="00ED69E8">
        <w:rPr>
          <w:sz w:val="28"/>
          <w:szCs w:val="28"/>
        </w:rPr>
        <w:t>в настоящее время</w:t>
      </w:r>
      <w:r w:rsidRPr="00ED69E8">
        <w:rPr>
          <w:sz w:val="28"/>
          <w:szCs w:val="28"/>
        </w:rPr>
        <w:t xml:space="preserve"> </w:t>
      </w:r>
      <w:r w:rsidR="00F47368" w:rsidRPr="00ED69E8">
        <w:rPr>
          <w:sz w:val="28"/>
          <w:szCs w:val="28"/>
        </w:rPr>
        <w:t>нормативных документов</w:t>
      </w:r>
      <w:r w:rsidR="00430BE4" w:rsidRPr="00ED69E8">
        <w:rPr>
          <w:sz w:val="28"/>
          <w:szCs w:val="28"/>
        </w:rPr>
        <w:t xml:space="preserve"> </w:t>
      </w:r>
      <w:r w:rsidR="00E13DB6" w:rsidRPr="00ED69E8">
        <w:rPr>
          <w:sz w:val="28"/>
          <w:szCs w:val="28"/>
        </w:rPr>
        <w:t>по организации и учету</w:t>
      </w:r>
      <w:r w:rsidRPr="00ED69E8">
        <w:rPr>
          <w:sz w:val="28"/>
          <w:szCs w:val="28"/>
        </w:rPr>
        <w:t xml:space="preserve"> расчетных операций</w:t>
      </w:r>
      <w:r w:rsidR="004F38EA" w:rsidRPr="00ED69E8">
        <w:rPr>
          <w:sz w:val="28"/>
          <w:szCs w:val="28"/>
        </w:rPr>
        <w:t xml:space="preserve"> </w:t>
      </w:r>
      <w:r w:rsidR="00E13DB6" w:rsidRPr="00ED69E8">
        <w:rPr>
          <w:sz w:val="28"/>
          <w:szCs w:val="28"/>
        </w:rPr>
        <w:t>на предприятиях</w:t>
      </w:r>
      <w:r w:rsidR="00F47368" w:rsidRPr="00ED69E8">
        <w:rPr>
          <w:sz w:val="28"/>
          <w:szCs w:val="28"/>
        </w:rPr>
        <w:t>, на мой взгляд,</w:t>
      </w:r>
      <w:r w:rsidR="0051788A" w:rsidRPr="00ED69E8">
        <w:rPr>
          <w:sz w:val="28"/>
          <w:szCs w:val="28"/>
        </w:rPr>
        <w:t xml:space="preserve"> </w:t>
      </w:r>
      <w:r w:rsidR="00430BE4" w:rsidRPr="00ED69E8">
        <w:rPr>
          <w:sz w:val="28"/>
          <w:szCs w:val="28"/>
        </w:rPr>
        <w:t xml:space="preserve">достаточно. </w:t>
      </w:r>
      <w:r w:rsidR="0051788A" w:rsidRPr="00ED69E8">
        <w:rPr>
          <w:sz w:val="28"/>
          <w:szCs w:val="28"/>
        </w:rPr>
        <w:t xml:space="preserve">В плане счетов отражены </w:t>
      </w:r>
      <w:r w:rsidR="002F7B51" w:rsidRPr="00ED69E8">
        <w:rPr>
          <w:sz w:val="28"/>
          <w:szCs w:val="28"/>
        </w:rPr>
        <w:t>все возможные</w:t>
      </w:r>
      <w:r w:rsidR="00CB5544" w:rsidRPr="00ED69E8">
        <w:rPr>
          <w:sz w:val="28"/>
          <w:szCs w:val="28"/>
        </w:rPr>
        <w:t xml:space="preserve"> варианты </w:t>
      </w:r>
      <w:r w:rsidR="00AA435E" w:rsidRPr="00ED69E8">
        <w:rPr>
          <w:sz w:val="28"/>
          <w:szCs w:val="28"/>
        </w:rPr>
        <w:t>учета</w:t>
      </w:r>
      <w:r w:rsidR="00CB5544" w:rsidRPr="00ED69E8">
        <w:rPr>
          <w:sz w:val="28"/>
          <w:szCs w:val="28"/>
        </w:rPr>
        <w:t xml:space="preserve"> хозяйственных операций</w:t>
      </w:r>
      <w:r w:rsidR="00C35316" w:rsidRPr="00ED69E8">
        <w:rPr>
          <w:sz w:val="28"/>
          <w:szCs w:val="28"/>
        </w:rPr>
        <w:t xml:space="preserve"> на предприятии</w:t>
      </w:r>
      <w:r w:rsidR="00CB5544" w:rsidRPr="00ED69E8">
        <w:rPr>
          <w:sz w:val="28"/>
          <w:szCs w:val="28"/>
        </w:rPr>
        <w:t xml:space="preserve">, а в </w:t>
      </w:r>
      <w:r w:rsidR="00A3373A" w:rsidRPr="00ED69E8">
        <w:rPr>
          <w:sz w:val="28"/>
          <w:szCs w:val="28"/>
        </w:rPr>
        <w:t xml:space="preserve">федеральных законах, </w:t>
      </w:r>
      <w:r w:rsidR="00CB5544" w:rsidRPr="00ED69E8">
        <w:rPr>
          <w:sz w:val="28"/>
          <w:szCs w:val="28"/>
        </w:rPr>
        <w:t>положениях и приказах Министерства финансов даны</w:t>
      </w:r>
      <w:r w:rsidR="00C35316" w:rsidRPr="00ED69E8">
        <w:rPr>
          <w:sz w:val="28"/>
          <w:szCs w:val="28"/>
        </w:rPr>
        <w:t xml:space="preserve"> максимально полные</w:t>
      </w:r>
      <w:r w:rsidR="00ED69E8">
        <w:rPr>
          <w:sz w:val="28"/>
          <w:szCs w:val="28"/>
        </w:rPr>
        <w:t xml:space="preserve"> </w:t>
      </w:r>
      <w:r w:rsidR="00CB5544" w:rsidRPr="00ED69E8">
        <w:rPr>
          <w:sz w:val="28"/>
          <w:szCs w:val="28"/>
        </w:rPr>
        <w:t>раз</w:t>
      </w:r>
      <w:r w:rsidR="00C35316" w:rsidRPr="00ED69E8">
        <w:rPr>
          <w:sz w:val="28"/>
          <w:szCs w:val="28"/>
        </w:rPr>
        <w:t>ъ</w:t>
      </w:r>
      <w:r w:rsidR="00CB5544" w:rsidRPr="00ED69E8">
        <w:rPr>
          <w:sz w:val="28"/>
          <w:szCs w:val="28"/>
        </w:rPr>
        <w:t>яснения</w:t>
      </w:r>
      <w:r w:rsidR="00C35316" w:rsidRPr="00ED69E8">
        <w:rPr>
          <w:sz w:val="28"/>
          <w:szCs w:val="28"/>
        </w:rPr>
        <w:t xml:space="preserve"> по </w:t>
      </w:r>
      <w:r w:rsidR="000164C7" w:rsidRPr="00ED69E8">
        <w:rPr>
          <w:sz w:val="28"/>
          <w:szCs w:val="28"/>
        </w:rPr>
        <w:t xml:space="preserve">его применению </w:t>
      </w:r>
      <w:r w:rsidR="00A6628E" w:rsidRPr="00ED69E8">
        <w:rPr>
          <w:sz w:val="28"/>
          <w:szCs w:val="28"/>
        </w:rPr>
        <w:t xml:space="preserve">с учетом той или иной специфики деятельности </w:t>
      </w:r>
      <w:r w:rsidR="002F7B51" w:rsidRPr="00ED69E8">
        <w:rPr>
          <w:sz w:val="28"/>
          <w:szCs w:val="28"/>
        </w:rPr>
        <w:t>организации</w:t>
      </w:r>
      <w:r w:rsidR="000164C7" w:rsidRPr="00ED69E8">
        <w:rPr>
          <w:sz w:val="28"/>
          <w:szCs w:val="28"/>
        </w:rPr>
        <w:t>.</w:t>
      </w:r>
    </w:p>
    <w:p w:rsidR="00BB1A6B" w:rsidRPr="00ED69E8" w:rsidRDefault="00ED69E8" w:rsidP="007743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B1A6B" w:rsidRPr="00ED69E8">
        <w:rPr>
          <w:b/>
          <w:bCs/>
          <w:sz w:val="28"/>
          <w:szCs w:val="28"/>
        </w:rPr>
        <w:t>Литература</w:t>
      </w:r>
    </w:p>
    <w:p w:rsidR="00ED69E8" w:rsidRDefault="00ED69E8" w:rsidP="00774373">
      <w:pPr>
        <w:spacing w:line="360" w:lineRule="auto"/>
        <w:ind w:firstLine="709"/>
        <w:jc w:val="both"/>
        <w:rPr>
          <w:sz w:val="28"/>
          <w:szCs w:val="28"/>
        </w:rPr>
      </w:pPr>
    </w:p>
    <w:p w:rsidR="009669F3" w:rsidRPr="00ED69E8" w:rsidRDefault="009669F3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1. </w:t>
      </w:r>
      <w:r w:rsidRPr="004672C0">
        <w:rPr>
          <w:sz w:val="28"/>
          <w:szCs w:val="28"/>
        </w:rPr>
        <w:t>"ГРАЖДАНСКИЙ КОДЕКС РОССИЙСКОЙ ФЕДЕРАЦИИ (ЧАСТЬ ВТОРАЯ)" от 26.01.1996 № 14-ФЗ (принят ГД ФС РФ 22.12.1995) (ред. от 26.01.2007)</w:t>
      </w:r>
      <w:r w:rsidR="00ED69E8" w:rsidRPr="004672C0">
        <w:rPr>
          <w:sz w:val="28"/>
          <w:szCs w:val="28"/>
        </w:rPr>
        <w:t>.</w:t>
      </w:r>
      <w:r w:rsidRPr="004672C0">
        <w:rPr>
          <w:sz w:val="28"/>
          <w:szCs w:val="28"/>
        </w:rPr>
        <w:t xml:space="preserve"> </w:t>
      </w:r>
    </w:p>
    <w:p w:rsidR="00E9111F" w:rsidRPr="00ED69E8" w:rsidRDefault="00E9111F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2. </w:t>
      </w:r>
      <w:r w:rsidRPr="004672C0">
        <w:rPr>
          <w:sz w:val="28"/>
          <w:szCs w:val="28"/>
        </w:rPr>
        <w:t>ФЕДЕРАЛЬНЫЙ ЗАКОН от 21.11.1996 N 129-ФЗ (ред. от 03.11.2006) "О БУХГАЛТЕРСКОМ УЧЕТЕ" (принят ГД ФС РФ 23.02.1996)</w:t>
      </w:r>
      <w:r w:rsidR="00ED69E8" w:rsidRPr="004672C0">
        <w:rPr>
          <w:sz w:val="28"/>
          <w:szCs w:val="28"/>
        </w:rPr>
        <w:t>.</w:t>
      </w:r>
      <w:r w:rsidRPr="004672C0">
        <w:rPr>
          <w:sz w:val="28"/>
          <w:szCs w:val="28"/>
        </w:rPr>
        <w:t xml:space="preserve"> </w:t>
      </w:r>
    </w:p>
    <w:p w:rsidR="00E9111F" w:rsidRPr="00ED69E8" w:rsidRDefault="00E9111F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3. </w:t>
      </w:r>
      <w:r w:rsidRPr="004672C0">
        <w:rPr>
          <w:sz w:val="28"/>
          <w:szCs w:val="28"/>
        </w:rPr>
        <w:t>ПРИКАЗ Минфина РФ от 29.07.1998 N 34н (ред. от 18.09.2006) "ОБ УТВЕРЖДЕНИИ ПОЛОЖЕНИЯ ПО ВЕДЕНИЮ БУХГАЛТЕРСКОГО УЧЕТА И БУХГАЛТЕРСКОЙ ОТЧЕТНОСТИ В РОССИЙСКОЙ ФЕДЕРАЦИИ" (Зарегистрировано в Минюсте РФ 27.08.1998 N 1598)</w:t>
      </w:r>
      <w:r w:rsidR="00ED69E8" w:rsidRPr="004672C0">
        <w:rPr>
          <w:sz w:val="28"/>
          <w:szCs w:val="28"/>
        </w:rPr>
        <w:t>.</w:t>
      </w:r>
      <w:r w:rsidRPr="004672C0">
        <w:rPr>
          <w:sz w:val="28"/>
          <w:szCs w:val="28"/>
        </w:rPr>
        <w:t xml:space="preserve"> </w:t>
      </w:r>
    </w:p>
    <w:p w:rsidR="00E9111F" w:rsidRPr="00ED69E8" w:rsidRDefault="00E9111F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4. </w:t>
      </w:r>
      <w:r w:rsidRPr="004672C0">
        <w:rPr>
          <w:sz w:val="28"/>
          <w:szCs w:val="28"/>
        </w:rPr>
        <w:t>ПРИКАЗ Минфина РФ от 27.11.2006 N 154н "ОБ УТВЕРЖДЕНИИ ПОЛОЖЕНИЯ ПО БУХГАЛТЕРСКОМУ УЧЕТУ "УЧЕТ АКТИВОВ И ОБЯЗАТЕЛЬСТВ, СТОИМОСТЬ КОТОРЫХ ВЫРАЖЕНА В ИНОСТРАННОЙ ВАЛЮТЕ" (ПБУ 3/2006)"</w:t>
      </w:r>
      <w:r w:rsidR="00ED69E8" w:rsidRPr="004672C0">
        <w:rPr>
          <w:sz w:val="28"/>
          <w:szCs w:val="28"/>
        </w:rPr>
        <w:t>.</w:t>
      </w:r>
      <w:r w:rsidRPr="004672C0">
        <w:rPr>
          <w:sz w:val="28"/>
          <w:szCs w:val="28"/>
        </w:rPr>
        <w:t xml:space="preserve"> </w:t>
      </w:r>
    </w:p>
    <w:p w:rsidR="009669F3" w:rsidRPr="00ED69E8" w:rsidRDefault="00E9111F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 xml:space="preserve">5. </w:t>
      </w:r>
      <w:r w:rsidRPr="004672C0">
        <w:rPr>
          <w:sz w:val="28"/>
          <w:szCs w:val="28"/>
        </w:rPr>
        <w:t>ПРИКАЗ Минфина РФ от 28.12.2001 № 119н (ред. от 23.04.2002) "ОБ УТВЕРЖДЕНИИ МЕТОДИЧЕСКИХ УКАЗАНИЙ ПО БУХГАЛТЕРСКОМУ УЧЕТУ МАТЕРИАЛЬНО - ПРОИЗВОДСТВЕННЫХ ЗАПАСОВ" (Зарегистрировано в Минюсте РФ 13.02.2002 № 3245)</w:t>
      </w:r>
      <w:r w:rsidR="00ED69E8" w:rsidRPr="004672C0">
        <w:rPr>
          <w:sz w:val="28"/>
          <w:szCs w:val="28"/>
        </w:rPr>
        <w:t>.</w:t>
      </w:r>
      <w:r w:rsidRPr="004672C0">
        <w:rPr>
          <w:sz w:val="28"/>
          <w:szCs w:val="28"/>
        </w:rPr>
        <w:t xml:space="preserve"> 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6. Бухгалтерский учет: учебник, под ред. Ю.А. Бабаева. М.: ТК Велби, издательство Проспект, 2006. – 392с.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7. Каморджанова Н., Каташова И. Бухгалтерский финансовый учет: учебное пособие, 2-е изд., - СПб.: Питер, 2006. – 480с.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8. Керимов В.Э., Бухгалтерский управленческий учет: учебник, - 5-е изд.</w:t>
      </w:r>
      <w:r w:rsidR="00D67794">
        <w:rPr>
          <w:sz w:val="28"/>
          <w:szCs w:val="28"/>
        </w:rPr>
        <w:t>, изм. и доп. – М.: Издательско–</w:t>
      </w:r>
      <w:r w:rsidRPr="00ED69E8">
        <w:rPr>
          <w:sz w:val="28"/>
          <w:szCs w:val="28"/>
        </w:rPr>
        <w:t>торговая корпорация «Дашков и Ко», 2007. – 460 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9. Кондраков Н.П., Самоучитель по бухгалтерскому учету, - 4-е изд., перераб. И доп. – М.: ТК Велби, издательство Проспект, 2006. – 560 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10. Макальская М.Л., Денисов А.Ю., Самоучитель по бухгалтерскому учету: учебное пособие. – 17-е изд., перераб. и доп. – М.: «Издательство «Дело и Севис», 2007. – 384с.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11. Макальская М.Л., Фельдман И.А., Бухгалтерский учет: учебник. – М.: Высшее образование, 2007. – 443 с. – (Основы наук).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12. Медведев М.Ю. Бухгалтерский учет для начинающих: учебно – практические пособие. – М.: ТК Велби, издательство Проспект, 2006. – 452с.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13. Мельник М.В., Ревизия и контроль: учебное пособие, 3-е изд., стер. – М: КНОРУС, 2007. – 528с.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14. Пошерстник Н.В. Бухгалтерский учет на современном предприятии: учебно – практические пособие. – М.: ТК Велби, издательство Проспект, 2007. – 552с.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15. Пошерстник Н.В. Бухгалтерский учет по плану счетов: учебно – практические пособие. – СПб.: Питер, 2007. – 382с.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16. Тихомиров Е.Ф. Финансовый менеджмент: Управление финансами предприятия: учебник для студентов вузов. – М.: Издательский центр «Академия», 2006. – 384с.</w:t>
      </w:r>
    </w:p>
    <w:p w:rsidR="0071691A" w:rsidRPr="00ED69E8" w:rsidRDefault="0071691A" w:rsidP="00774373">
      <w:pPr>
        <w:spacing w:line="360" w:lineRule="auto"/>
        <w:jc w:val="both"/>
        <w:rPr>
          <w:sz w:val="28"/>
          <w:szCs w:val="28"/>
        </w:rPr>
      </w:pPr>
      <w:r w:rsidRPr="00ED69E8">
        <w:rPr>
          <w:sz w:val="28"/>
          <w:szCs w:val="28"/>
        </w:rPr>
        <w:t>17. Тумасян Р.З. Бухгалтерский учет: учебник для студентов вузов. – М.: Издательский центр «Академия», 2006. – 474с.</w:t>
      </w:r>
      <w:bookmarkStart w:id="0" w:name="_GoBack"/>
      <w:bookmarkEnd w:id="0"/>
    </w:p>
    <w:sectPr w:rsidR="0071691A" w:rsidRPr="00ED69E8" w:rsidSect="00085D31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01" w:rsidRDefault="00C73201">
      <w:r>
        <w:separator/>
      </w:r>
    </w:p>
  </w:endnote>
  <w:endnote w:type="continuationSeparator" w:id="0">
    <w:p w:rsidR="00C73201" w:rsidRDefault="00C7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01" w:rsidRDefault="00C73201">
      <w:r>
        <w:separator/>
      </w:r>
    </w:p>
  </w:footnote>
  <w:footnote w:type="continuationSeparator" w:id="0">
    <w:p w:rsidR="00C73201" w:rsidRDefault="00C7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62" w:rsidRDefault="004672C0" w:rsidP="00DB2162">
    <w:pPr>
      <w:pStyle w:val="a3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B72C62" w:rsidRDefault="00B72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60083"/>
    <w:multiLevelType w:val="hybridMultilevel"/>
    <w:tmpl w:val="C17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DA106D"/>
    <w:multiLevelType w:val="hybridMultilevel"/>
    <w:tmpl w:val="D5D4B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64B07860"/>
    <w:multiLevelType w:val="hybridMultilevel"/>
    <w:tmpl w:val="B32A0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BC8"/>
    <w:rsid w:val="00002669"/>
    <w:rsid w:val="00002F9B"/>
    <w:rsid w:val="00014F0D"/>
    <w:rsid w:val="000164C7"/>
    <w:rsid w:val="00017251"/>
    <w:rsid w:val="00017839"/>
    <w:rsid w:val="00017F6A"/>
    <w:rsid w:val="00045026"/>
    <w:rsid w:val="00045F1A"/>
    <w:rsid w:val="00053303"/>
    <w:rsid w:val="00055151"/>
    <w:rsid w:val="0005529E"/>
    <w:rsid w:val="00057EE9"/>
    <w:rsid w:val="00063017"/>
    <w:rsid w:val="00080D09"/>
    <w:rsid w:val="00085D31"/>
    <w:rsid w:val="00092B32"/>
    <w:rsid w:val="0009573C"/>
    <w:rsid w:val="000B283B"/>
    <w:rsid w:val="000B34A7"/>
    <w:rsid w:val="000C40BE"/>
    <w:rsid w:val="000C6D40"/>
    <w:rsid w:val="000C74EB"/>
    <w:rsid w:val="000C794F"/>
    <w:rsid w:val="000D05B3"/>
    <w:rsid w:val="000D2044"/>
    <w:rsid w:val="000E0585"/>
    <w:rsid w:val="000F451C"/>
    <w:rsid w:val="000F4CC2"/>
    <w:rsid w:val="001110B8"/>
    <w:rsid w:val="00111BC5"/>
    <w:rsid w:val="00116B3E"/>
    <w:rsid w:val="00125CA1"/>
    <w:rsid w:val="00127562"/>
    <w:rsid w:val="00130E80"/>
    <w:rsid w:val="00131A4B"/>
    <w:rsid w:val="001338AC"/>
    <w:rsid w:val="001404A8"/>
    <w:rsid w:val="001423A5"/>
    <w:rsid w:val="00143FEF"/>
    <w:rsid w:val="0015273E"/>
    <w:rsid w:val="001739AA"/>
    <w:rsid w:val="00180271"/>
    <w:rsid w:val="00181050"/>
    <w:rsid w:val="00181FB5"/>
    <w:rsid w:val="00182175"/>
    <w:rsid w:val="00187B3C"/>
    <w:rsid w:val="001A2171"/>
    <w:rsid w:val="001A21E2"/>
    <w:rsid w:val="001A2926"/>
    <w:rsid w:val="001A4094"/>
    <w:rsid w:val="001A551A"/>
    <w:rsid w:val="001B232A"/>
    <w:rsid w:val="001C1F6B"/>
    <w:rsid w:val="001C3FC6"/>
    <w:rsid w:val="001D0CD6"/>
    <w:rsid w:val="001E4157"/>
    <w:rsid w:val="001F1275"/>
    <w:rsid w:val="00207159"/>
    <w:rsid w:val="00212729"/>
    <w:rsid w:val="00214C71"/>
    <w:rsid w:val="002170DF"/>
    <w:rsid w:val="00230249"/>
    <w:rsid w:val="00243E54"/>
    <w:rsid w:val="0024619F"/>
    <w:rsid w:val="00254252"/>
    <w:rsid w:val="00261078"/>
    <w:rsid w:val="00261D3C"/>
    <w:rsid w:val="0026294B"/>
    <w:rsid w:val="00263AC3"/>
    <w:rsid w:val="00265861"/>
    <w:rsid w:val="0027701A"/>
    <w:rsid w:val="00280B14"/>
    <w:rsid w:val="0029144D"/>
    <w:rsid w:val="002A10ED"/>
    <w:rsid w:val="002A2DA7"/>
    <w:rsid w:val="002A5464"/>
    <w:rsid w:val="002A7A8B"/>
    <w:rsid w:val="002B6732"/>
    <w:rsid w:val="002B7926"/>
    <w:rsid w:val="002C00A9"/>
    <w:rsid w:val="002C1BC0"/>
    <w:rsid w:val="002C1CFF"/>
    <w:rsid w:val="002C53F3"/>
    <w:rsid w:val="002C7963"/>
    <w:rsid w:val="002D1494"/>
    <w:rsid w:val="002D354A"/>
    <w:rsid w:val="002D3A81"/>
    <w:rsid w:val="002E1397"/>
    <w:rsid w:val="002F2933"/>
    <w:rsid w:val="002F327B"/>
    <w:rsid w:val="002F7B51"/>
    <w:rsid w:val="003044F2"/>
    <w:rsid w:val="00304711"/>
    <w:rsid w:val="00306AEF"/>
    <w:rsid w:val="003128DA"/>
    <w:rsid w:val="00313972"/>
    <w:rsid w:val="0031601B"/>
    <w:rsid w:val="0032031C"/>
    <w:rsid w:val="003216A5"/>
    <w:rsid w:val="003302D7"/>
    <w:rsid w:val="0033230C"/>
    <w:rsid w:val="00333DD3"/>
    <w:rsid w:val="00342608"/>
    <w:rsid w:val="00343843"/>
    <w:rsid w:val="00354B3B"/>
    <w:rsid w:val="00365747"/>
    <w:rsid w:val="00366EE8"/>
    <w:rsid w:val="00367655"/>
    <w:rsid w:val="0037361B"/>
    <w:rsid w:val="003937BC"/>
    <w:rsid w:val="00397950"/>
    <w:rsid w:val="003A30FB"/>
    <w:rsid w:val="003A6644"/>
    <w:rsid w:val="003A7374"/>
    <w:rsid w:val="003B0FCC"/>
    <w:rsid w:val="003B1FD1"/>
    <w:rsid w:val="003B314C"/>
    <w:rsid w:val="003C1644"/>
    <w:rsid w:val="003C6633"/>
    <w:rsid w:val="003D0023"/>
    <w:rsid w:val="003D0985"/>
    <w:rsid w:val="003D1720"/>
    <w:rsid w:val="003D227E"/>
    <w:rsid w:val="003E38E3"/>
    <w:rsid w:val="003E576A"/>
    <w:rsid w:val="003F1673"/>
    <w:rsid w:val="003F2995"/>
    <w:rsid w:val="003F4333"/>
    <w:rsid w:val="003F4B4A"/>
    <w:rsid w:val="004012FA"/>
    <w:rsid w:val="00410B1B"/>
    <w:rsid w:val="004128DF"/>
    <w:rsid w:val="004133F1"/>
    <w:rsid w:val="00413A75"/>
    <w:rsid w:val="004201A5"/>
    <w:rsid w:val="00421697"/>
    <w:rsid w:val="00422D7C"/>
    <w:rsid w:val="0042409B"/>
    <w:rsid w:val="00430BE4"/>
    <w:rsid w:val="00443E04"/>
    <w:rsid w:val="004442B4"/>
    <w:rsid w:val="00454408"/>
    <w:rsid w:val="004546C3"/>
    <w:rsid w:val="00460265"/>
    <w:rsid w:val="004603E4"/>
    <w:rsid w:val="00462CE9"/>
    <w:rsid w:val="004672C0"/>
    <w:rsid w:val="004703AB"/>
    <w:rsid w:val="004747A4"/>
    <w:rsid w:val="00477FC2"/>
    <w:rsid w:val="0048389A"/>
    <w:rsid w:val="0048481E"/>
    <w:rsid w:val="00497611"/>
    <w:rsid w:val="004A71C9"/>
    <w:rsid w:val="004B1643"/>
    <w:rsid w:val="004B1742"/>
    <w:rsid w:val="004B2C4C"/>
    <w:rsid w:val="004B4269"/>
    <w:rsid w:val="004C13AD"/>
    <w:rsid w:val="004C1EA5"/>
    <w:rsid w:val="004C5E3A"/>
    <w:rsid w:val="004C64A8"/>
    <w:rsid w:val="004C65A2"/>
    <w:rsid w:val="004D0375"/>
    <w:rsid w:val="004D2FB1"/>
    <w:rsid w:val="004D6180"/>
    <w:rsid w:val="004E09B5"/>
    <w:rsid w:val="004E351A"/>
    <w:rsid w:val="004F38EA"/>
    <w:rsid w:val="004F4D1B"/>
    <w:rsid w:val="004F6F08"/>
    <w:rsid w:val="004F7E0D"/>
    <w:rsid w:val="004F7F17"/>
    <w:rsid w:val="005034EF"/>
    <w:rsid w:val="00505AFD"/>
    <w:rsid w:val="00514152"/>
    <w:rsid w:val="00514808"/>
    <w:rsid w:val="00514C4C"/>
    <w:rsid w:val="00517284"/>
    <w:rsid w:val="0051788A"/>
    <w:rsid w:val="00520494"/>
    <w:rsid w:val="00520648"/>
    <w:rsid w:val="005254F8"/>
    <w:rsid w:val="00532498"/>
    <w:rsid w:val="00532A9C"/>
    <w:rsid w:val="00533791"/>
    <w:rsid w:val="0054094B"/>
    <w:rsid w:val="00540EAE"/>
    <w:rsid w:val="00543BE7"/>
    <w:rsid w:val="00544D88"/>
    <w:rsid w:val="00547CA8"/>
    <w:rsid w:val="005700D9"/>
    <w:rsid w:val="00570E03"/>
    <w:rsid w:val="00573877"/>
    <w:rsid w:val="0057396A"/>
    <w:rsid w:val="005746A9"/>
    <w:rsid w:val="005865A9"/>
    <w:rsid w:val="00587584"/>
    <w:rsid w:val="00595412"/>
    <w:rsid w:val="005A12C9"/>
    <w:rsid w:val="005A2A87"/>
    <w:rsid w:val="005A36D7"/>
    <w:rsid w:val="005A6E3A"/>
    <w:rsid w:val="005A71E1"/>
    <w:rsid w:val="005B3712"/>
    <w:rsid w:val="005B4306"/>
    <w:rsid w:val="005B4775"/>
    <w:rsid w:val="005C386E"/>
    <w:rsid w:val="005C454E"/>
    <w:rsid w:val="005C5E27"/>
    <w:rsid w:val="005C6240"/>
    <w:rsid w:val="005D02BC"/>
    <w:rsid w:val="005D066F"/>
    <w:rsid w:val="005D35F7"/>
    <w:rsid w:val="005D6EF7"/>
    <w:rsid w:val="005F57EB"/>
    <w:rsid w:val="005F5DBF"/>
    <w:rsid w:val="006129C9"/>
    <w:rsid w:val="0062305B"/>
    <w:rsid w:val="00623C14"/>
    <w:rsid w:val="006348BE"/>
    <w:rsid w:val="00634B9E"/>
    <w:rsid w:val="00641E0E"/>
    <w:rsid w:val="00645C3D"/>
    <w:rsid w:val="006509B3"/>
    <w:rsid w:val="00650EFC"/>
    <w:rsid w:val="00653495"/>
    <w:rsid w:val="00661542"/>
    <w:rsid w:val="00666467"/>
    <w:rsid w:val="00674A38"/>
    <w:rsid w:val="00674BCE"/>
    <w:rsid w:val="006763BC"/>
    <w:rsid w:val="006859E4"/>
    <w:rsid w:val="00691EDA"/>
    <w:rsid w:val="00693DB2"/>
    <w:rsid w:val="006A5B01"/>
    <w:rsid w:val="006A63F6"/>
    <w:rsid w:val="006A7C4C"/>
    <w:rsid w:val="006B15E5"/>
    <w:rsid w:val="006B4782"/>
    <w:rsid w:val="006C3D3F"/>
    <w:rsid w:val="006C6ECB"/>
    <w:rsid w:val="006D0ACD"/>
    <w:rsid w:val="006D2CBB"/>
    <w:rsid w:val="006D4B22"/>
    <w:rsid w:val="006E2F39"/>
    <w:rsid w:val="006F2FAC"/>
    <w:rsid w:val="006F4788"/>
    <w:rsid w:val="00700C94"/>
    <w:rsid w:val="00705F55"/>
    <w:rsid w:val="00706358"/>
    <w:rsid w:val="007163FE"/>
    <w:rsid w:val="0071691A"/>
    <w:rsid w:val="00733F8A"/>
    <w:rsid w:val="0073510A"/>
    <w:rsid w:val="00737049"/>
    <w:rsid w:val="007404A0"/>
    <w:rsid w:val="007509CD"/>
    <w:rsid w:val="00751D96"/>
    <w:rsid w:val="007536D7"/>
    <w:rsid w:val="007545FB"/>
    <w:rsid w:val="0075657E"/>
    <w:rsid w:val="007576F6"/>
    <w:rsid w:val="007608CA"/>
    <w:rsid w:val="007718EF"/>
    <w:rsid w:val="00774373"/>
    <w:rsid w:val="00785DA5"/>
    <w:rsid w:val="00787CF2"/>
    <w:rsid w:val="007B3315"/>
    <w:rsid w:val="007B4734"/>
    <w:rsid w:val="007C5DDE"/>
    <w:rsid w:val="007C6F3C"/>
    <w:rsid w:val="007D2BDB"/>
    <w:rsid w:val="007D591A"/>
    <w:rsid w:val="007D77FB"/>
    <w:rsid w:val="007E23B6"/>
    <w:rsid w:val="007E6B38"/>
    <w:rsid w:val="007E74BC"/>
    <w:rsid w:val="007F0939"/>
    <w:rsid w:val="007F2B3B"/>
    <w:rsid w:val="00803389"/>
    <w:rsid w:val="00806A50"/>
    <w:rsid w:val="00811E7F"/>
    <w:rsid w:val="00813397"/>
    <w:rsid w:val="008235C6"/>
    <w:rsid w:val="00824707"/>
    <w:rsid w:val="008259AA"/>
    <w:rsid w:val="008457A2"/>
    <w:rsid w:val="00851C78"/>
    <w:rsid w:val="0085373F"/>
    <w:rsid w:val="00855B7F"/>
    <w:rsid w:val="008758BE"/>
    <w:rsid w:val="008766EF"/>
    <w:rsid w:val="00876EA8"/>
    <w:rsid w:val="00877866"/>
    <w:rsid w:val="00877EBF"/>
    <w:rsid w:val="008856EF"/>
    <w:rsid w:val="00890117"/>
    <w:rsid w:val="008913A1"/>
    <w:rsid w:val="008978A9"/>
    <w:rsid w:val="008B7B13"/>
    <w:rsid w:val="008C1CA0"/>
    <w:rsid w:val="008C3F6E"/>
    <w:rsid w:val="008D0BDF"/>
    <w:rsid w:val="008D4F7C"/>
    <w:rsid w:val="008D7C9E"/>
    <w:rsid w:val="008E1A7D"/>
    <w:rsid w:val="008F5ED0"/>
    <w:rsid w:val="0090457E"/>
    <w:rsid w:val="00906066"/>
    <w:rsid w:val="0091349D"/>
    <w:rsid w:val="00913589"/>
    <w:rsid w:val="009157C1"/>
    <w:rsid w:val="009233F7"/>
    <w:rsid w:val="009277C9"/>
    <w:rsid w:val="00927C5D"/>
    <w:rsid w:val="00932E3A"/>
    <w:rsid w:val="00947046"/>
    <w:rsid w:val="00947306"/>
    <w:rsid w:val="0095154C"/>
    <w:rsid w:val="00955A06"/>
    <w:rsid w:val="00965A47"/>
    <w:rsid w:val="009669F3"/>
    <w:rsid w:val="009733AB"/>
    <w:rsid w:val="00975036"/>
    <w:rsid w:val="0098379D"/>
    <w:rsid w:val="009949B8"/>
    <w:rsid w:val="009950A2"/>
    <w:rsid w:val="009A1269"/>
    <w:rsid w:val="009A19A8"/>
    <w:rsid w:val="009A6508"/>
    <w:rsid w:val="009C0BF7"/>
    <w:rsid w:val="009D5274"/>
    <w:rsid w:val="009E7594"/>
    <w:rsid w:val="009F7305"/>
    <w:rsid w:val="00A021BF"/>
    <w:rsid w:val="00A065B9"/>
    <w:rsid w:val="00A14910"/>
    <w:rsid w:val="00A16C64"/>
    <w:rsid w:val="00A17E8A"/>
    <w:rsid w:val="00A21D61"/>
    <w:rsid w:val="00A2277E"/>
    <w:rsid w:val="00A25D9A"/>
    <w:rsid w:val="00A279DE"/>
    <w:rsid w:val="00A3373A"/>
    <w:rsid w:val="00A34E0F"/>
    <w:rsid w:val="00A36F20"/>
    <w:rsid w:val="00A40175"/>
    <w:rsid w:val="00A43914"/>
    <w:rsid w:val="00A5657C"/>
    <w:rsid w:val="00A60309"/>
    <w:rsid w:val="00A65CD5"/>
    <w:rsid w:val="00A6628E"/>
    <w:rsid w:val="00A67A93"/>
    <w:rsid w:val="00A72269"/>
    <w:rsid w:val="00A7624A"/>
    <w:rsid w:val="00A80153"/>
    <w:rsid w:val="00A917D4"/>
    <w:rsid w:val="00A946C1"/>
    <w:rsid w:val="00A96064"/>
    <w:rsid w:val="00AA318C"/>
    <w:rsid w:val="00AA435E"/>
    <w:rsid w:val="00AB6B21"/>
    <w:rsid w:val="00AD1801"/>
    <w:rsid w:val="00AD4B83"/>
    <w:rsid w:val="00AD5C8F"/>
    <w:rsid w:val="00AD74FA"/>
    <w:rsid w:val="00AE1E57"/>
    <w:rsid w:val="00AE726A"/>
    <w:rsid w:val="00AF4382"/>
    <w:rsid w:val="00B02A86"/>
    <w:rsid w:val="00B05CA0"/>
    <w:rsid w:val="00B12724"/>
    <w:rsid w:val="00B12D93"/>
    <w:rsid w:val="00B1349F"/>
    <w:rsid w:val="00B14427"/>
    <w:rsid w:val="00B1501E"/>
    <w:rsid w:val="00B41C79"/>
    <w:rsid w:val="00B5030C"/>
    <w:rsid w:val="00B50CAB"/>
    <w:rsid w:val="00B52749"/>
    <w:rsid w:val="00B53391"/>
    <w:rsid w:val="00B54503"/>
    <w:rsid w:val="00B548C8"/>
    <w:rsid w:val="00B57D6F"/>
    <w:rsid w:val="00B65CAB"/>
    <w:rsid w:val="00B67DD7"/>
    <w:rsid w:val="00B72C62"/>
    <w:rsid w:val="00B81C51"/>
    <w:rsid w:val="00B8339A"/>
    <w:rsid w:val="00B840A1"/>
    <w:rsid w:val="00B907A6"/>
    <w:rsid w:val="00BA4320"/>
    <w:rsid w:val="00BA5733"/>
    <w:rsid w:val="00BB1244"/>
    <w:rsid w:val="00BB1A6B"/>
    <w:rsid w:val="00BC13E8"/>
    <w:rsid w:val="00BC1C6D"/>
    <w:rsid w:val="00BD0272"/>
    <w:rsid w:val="00BD1FC1"/>
    <w:rsid w:val="00BD49C8"/>
    <w:rsid w:val="00BD4CE5"/>
    <w:rsid w:val="00BD572C"/>
    <w:rsid w:val="00BE0751"/>
    <w:rsid w:val="00BE351B"/>
    <w:rsid w:val="00BF1279"/>
    <w:rsid w:val="00BF6BFC"/>
    <w:rsid w:val="00C02BAC"/>
    <w:rsid w:val="00C1122C"/>
    <w:rsid w:val="00C25FD9"/>
    <w:rsid w:val="00C30457"/>
    <w:rsid w:val="00C305A2"/>
    <w:rsid w:val="00C30A45"/>
    <w:rsid w:val="00C30BCB"/>
    <w:rsid w:val="00C3164D"/>
    <w:rsid w:val="00C35316"/>
    <w:rsid w:val="00C40F4D"/>
    <w:rsid w:val="00C410F4"/>
    <w:rsid w:val="00C57205"/>
    <w:rsid w:val="00C57D10"/>
    <w:rsid w:val="00C71006"/>
    <w:rsid w:val="00C73201"/>
    <w:rsid w:val="00C74B5E"/>
    <w:rsid w:val="00C9224D"/>
    <w:rsid w:val="00C928D4"/>
    <w:rsid w:val="00C940B2"/>
    <w:rsid w:val="00C97F5B"/>
    <w:rsid w:val="00CA7ABA"/>
    <w:rsid w:val="00CB4F6B"/>
    <w:rsid w:val="00CB5544"/>
    <w:rsid w:val="00CD2779"/>
    <w:rsid w:val="00CD4F26"/>
    <w:rsid w:val="00CD6F76"/>
    <w:rsid w:val="00CE2CD6"/>
    <w:rsid w:val="00CE3278"/>
    <w:rsid w:val="00CE61E1"/>
    <w:rsid w:val="00CF1749"/>
    <w:rsid w:val="00CF4EAA"/>
    <w:rsid w:val="00D11EBC"/>
    <w:rsid w:val="00D165A3"/>
    <w:rsid w:val="00D17D25"/>
    <w:rsid w:val="00D17FF4"/>
    <w:rsid w:val="00D21756"/>
    <w:rsid w:val="00D27B5D"/>
    <w:rsid w:val="00D355AC"/>
    <w:rsid w:val="00D360D8"/>
    <w:rsid w:val="00D41579"/>
    <w:rsid w:val="00D439A6"/>
    <w:rsid w:val="00D5235B"/>
    <w:rsid w:val="00D528C3"/>
    <w:rsid w:val="00D5697C"/>
    <w:rsid w:val="00D62B25"/>
    <w:rsid w:val="00D63916"/>
    <w:rsid w:val="00D6674B"/>
    <w:rsid w:val="00D67794"/>
    <w:rsid w:val="00D7100F"/>
    <w:rsid w:val="00D83F78"/>
    <w:rsid w:val="00D84D93"/>
    <w:rsid w:val="00D86358"/>
    <w:rsid w:val="00D918E3"/>
    <w:rsid w:val="00D943A0"/>
    <w:rsid w:val="00D953AC"/>
    <w:rsid w:val="00D97E80"/>
    <w:rsid w:val="00DA7E09"/>
    <w:rsid w:val="00DB2162"/>
    <w:rsid w:val="00DB3CCE"/>
    <w:rsid w:val="00DB532B"/>
    <w:rsid w:val="00DB5B2E"/>
    <w:rsid w:val="00DC2AC8"/>
    <w:rsid w:val="00DC48C7"/>
    <w:rsid w:val="00DC6E79"/>
    <w:rsid w:val="00DD4509"/>
    <w:rsid w:val="00DE10C5"/>
    <w:rsid w:val="00DE37EF"/>
    <w:rsid w:val="00DF162E"/>
    <w:rsid w:val="00DF7D1E"/>
    <w:rsid w:val="00E00A67"/>
    <w:rsid w:val="00E1385B"/>
    <w:rsid w:val="00E13DB6"/>
    <w:rsid w:val="00E141EE"/>
    <w:rsid w:val="00E24401"/>
    <w:rsid w:val="00E26E29"/>
    <w:rsid w:val="00E34BC8"/>
    <w:rsid w:val="00E35D97"/>
    <w:rsid w:val="00E4459B"/>
    <w:rsid w:val="00E50F1C"/>
    <w:rsid w:val="00E52812"/>
    <w:rsid w:val="00E52C08"/>
    <w:rsid w:val="00E56FD9"/>
    <w:rsid w:val="00E6156B"/>
    <w:rsid w:val="00E61AF8"/>
    <w:rsid w:val="00E64F56"/>
    <w:rsid w:val="00E66B08"/>
    <w:rsid w:val="00E70D46"/>
    <w:rsid w:val="00E83389"/>
    <w:rsid w:val="00E9111F"/>
    <w:rsid w:val="00EA477B"/>
    <w:rsid w:val="00EA7EBE"/>
    <w:rsid w:val="00EB3AA3"/>
    <w:rsid w:val="00EB41A9"/>
    <w:rsid w:val="00EB5B4A"/>
    <w:rsid w:val="00EC658A"/>
    <w:rsid w:val="00ED1C57"/>
    <w:rsid w:val="00ED4B55"/>
    <w:rsid w:val="00ED69E8"/>
    <w:rsid w:val="00EE3873"/>
    <w:rsid w:val="00EE51F8"/>
    <w:rsid w:val="00EE5B22"/>
    <w:rsid w:val="00EF2ED5"/>
    <w:rsid w:val="00F01631"/>
    <w:rsid w:val="00F0391C"/>
    <w:rsid w:val="00F103B0"/>
    <w:rsid w:val="00F10675"/>
    <w:rsid w:val="00F134A2"/>
    <w:rsid w:val="00F15166"/>
    <w:rsid w:val="00F158B8"/>
    <w:rsid w:val="00F34EA8"/>
    <w:rsid w:val="00F34FA5"/>
    <w:rsid w:val="00F35AD3"/>
    <w:rsid w:val="00F37413"/>
    <w:rsid w:val="00F44ABC"/>
    <w:rsid w:val="00F47368"/>
    <w:rsid w:val="00F50E88"/>
    <w:rsid w:val="00F57B0C"/>
    <w:rsid w:val="00F7152A"/>
    <w:rsid w:val="00F7700C"/>
    <w:rsid w:val="00F81585"/>
    <w:rsid w:val="00F83AAE"/>
    <w:rsid w:val="00F860CB"/>
    <w:rsid w:val="00F86EA6"/>
    <w:rsid w:val="00F8795C"/>
    <w:rsid w:val="00F92E3A"/>
    <w:rsid w:val="00FA0266"/>
    <w:rsid w:val="00FA30FE"/>
    <w:rsid w:val="00FB187A"/>
    <w:rsid w:val="00FB3CCF"/>
    <w:rsid w:val="00FC4346"/>
    <w:rsid w:val="00FE1CF7"/>
    <w:rsid w:val="00FF22D2"/>
    <w:rsid w:val="00FF436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1EEB2-F212-4A0D-AF07-94BA390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30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72C62"/>
  </w:style>
  <w:style w:type="character" w:styleId="a8">
    <w:name w:val="Hyperlink"/>
    <w:uiPriority w:val="99"/>
    <w:rsid w:val="009A19A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внешних расчетых  обязательств</vt:lpstr>
    </vt:vector>
  </TitlesOfParts>
  <Company>Ep</Company>
  <LinksUpToDate>false</LinksUpToDate>
  <CharactersWithSpaces>38462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внешних расчетых  обязательств</dc:title>
  <dc:subject/>
  <dc:creator>User</dc:creator>
  <cp:keywords/>
  <dc:description/>
  <cp:lastModifiedBy>admin</cp:lastModifiedBy>
  <cp:revision>2</cp:revision>
  <cp:lastPrinted>2007-11-08T22:21:00Z</cp:lastPrinted>
  <dcterms:created xsi:type="dcterms:W3CDTF">2014-03-03T22:29:00Z</dcterms:created>
  <dcterms:modified xsi:type="dcterms:W3CDTF">2014-03-03T22:29:00Z</dcterms:modified>
</cp:coreProperties>
</file>