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3AB" w:rsidRPr="00A60536" w:rsidRDefault="007B03AB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</w:rPr>
      </w:pPr>
      <w:bookmarkStart w:id="0" w:name="sub_21218"/>
      <w:r w:rsidRPr="00A60536">
        <w:rPr>
          <w:rFonts w:ascii="Times New Roman" w:hAnsi="Times New Roman" w:cs="Times New Roman"/>
          <w:noProof/>
          <w:color w:val="000000"/>
          <w:sz w:val="28"/>
        </w:rPr>
        <w:t>Федеральное агентство по образованию</w:t>
      </w:r>
    </w:p>
    <w:p w:rsidR="00EE45FD" w:rsidRPr="00A60536" w:rsidRDefault="007B03AB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Филиал Санкт-Петербургского государственного инженерно-экономического университета в г. Череповце</w:t>
      </w: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Кафедра «Финансы и кредит»</w:t>
      </w: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634E20" w:rsidRPr="00A60536" w:rsidRDefault="00634E20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Контрольная работа</w:t>
      </w:r>
    </w:p>
    <w:p w:rsidR="00EE45FD" w:rsidRPr="00A60536" w:rsidRDefault="00634E20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п</w:t>
      </w:r>
      <w:r w:rsidR="00EE45FD"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о дисциплине «Жилищное право и жилищная политика»</w:t>
      </w:r>
    </w:p>
    <w:p w:rsidR="00634E20" w:rsidRPr="00A60536" w:rsidRDefault="00634E20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Тема</w:t>
      </w: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b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«Основные модели и этапы ипотечного</w:t>
      </w:r>
      <w:r w:rsidR="007B03AB" w:rsidRPr="00A60536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 xml:space="preserve"> </w:t>
      </w:r>
      <w:r w:rsidRPr="00A60536">
        <w:rPr>
          <w:rFonts w:ascii="Times New Roman" w:hAnsi="Times New Roman" w:cs="Times New Roman"/>
          <w:b/>
          <w:noProof/>
          <w:color w:val="000000"/>
          <w:sz w:val="28"/>
          <w:szCs w:val="28"/>
        </w:rPr>
        <w:t>кредитования»</w:t>
      </w: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B03AB" w:rsidRPr="00A60536" w:rsidRDefault="00EE45FD" w:rsidP="00634E20">
      <w:pPr>
        <w:spacing w:line="360" w:lineRule="auto"/>
        <w:ind w:firstLine="6096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Студентки 5 курса</w:t>
      </w:r>
    </w:p>
    <w:p w:rsidR="00EE45FD" w:rsidRPr="00A60536" w:rsidRDefault="00EE45FD" w:rsidP="00634E20">
      <w:pPr>
        <w:spacing w:line="360" w:lineRule="auto"/>
        <w:ind w:firstLine="6096"/>
        <w:jc w:val="left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Валигура Т.В.</w:t>
      </w: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E45FD" w:rsidRPr="00A60536" w:rsidRDefault="00EE45FD" w:rsidP="00634E20">
      <w:pPr>
        <w:tabs>
          <w:tab w:val="left" w:pos="2130"/>
        </w:tabs>
        <w:spacing w:line="360" w:lineRule="auto"/>
        <w:ind w:firstLine="0"/>
        <w:jc w:val="center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Череповец, 2009</w:t>
      </w:r>
    </w:p>
    <w:p w:rsidR="00326B08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326B08" w:rsidRPr="00A60536">
        <w:rPr>
          <w:rFonts w:ascii="Times New Roman" w:hAnsi="Times New Roman" w:cs="Times New Roman"/>
          <w:noProof/>
          <w:color w:val="000000"/>
          <w:sz w:val="28"/>
        </w:rPr>
        <w:t>Введение</w:t>
      </w:r>
    </w:p>
    <w:p w:rsidR="00326B08" w:rsidRPr="00A60536" w:rsidRDefault="00326B08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7B03AB" w:rsidRPr="00A60536" w:rsidRDefault="00145E71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Ипотека является одним из подвигов залога без передачи заложенного имущества залогодержателю. Ипотека (от греч. hypotheka – залог, заклад) представляет собой залог недвижимости для обеспечения денежного требования кредитора- залогодержателя к должнику (залогодержателю). В России порядок осуществления ипотеки регулируется Гражданским кодексом РФ, Федеральным законом от 16 июля 1998 г. № 102-Ф3 «Об ипотеке (залоге недвижимости) « и другими принимаемыми в соответствии с ними нормативными правовыми актами. Ипотекой признается залог земельных участков, предприятий, зданий, сооружений, квартир и другого недвижимого имущества.</w:t>
      </w:r>
    </w:p>
    <w:p w:rsidR="007B03AB" w:rsidRPr="00A60536" w:rsidRDefault="00145E71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В силу залога кредитор по обеспеченному залогом обязательству имеет право в случае неисполнения должником этого обязательства получить удовлетворение из стоимости заложенного имущества преимущественно перед другими кредиторами.</w:t>
      </w:r>
    </w:p>
    <w:p w:rsidR="007B03AB" w:rsidRPr="00A60536" w:rsidRDefault="00145E71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Таким образом, залог является одним из способов обеспечения надлежащего исполнения обязательств. По сравнения с другими способами обеспечения исполнения обязательств: неустойкой, задатком, поручительством, удержанием имущества должника, банковской гарантией, залог является боле привлекательным именно с той точки зрения, что с его использование проще произвести принудительное взыскание. Залог предполагает наличие у должника имущества, на которое может быть наложено взыскание, однако имущество, на которое установлена ипотека, остается у залогодателя в его владении и пользовании.</w:t>
      </w:r>
    </w:p>
    <w:p w:rsidR="00326B08" w:rsidRPr="00A60536" w:rsidRDefault="00145E71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Цель этой работы</w:t>
      </w:r>
      <w:r w:rsidR="00CA02DC" w:rsidRPr="00A60536">
        <w:rPr>
          <w:rFonts w:ascii="Times New Roman" w:hAnsi="Times New Roman" w:cs="Times New Roman"/>
          <w:noProof/>
          <w:color w:val="000000"/>
          <w:sz w:val="28"/>
        </w:rPr>
        <w:t>,</w:t>
      </w:r>
      <w:r w:rsidRPr="00A60536">
        <w:rPr>
          <w:rFonts w:ascii="Times New Roman" w:hAnsi="Times New Roman" w:cs="Times New Roman"/>
          <w:noProof/>
          <w:color w:val="000000"/>
          <w:sz w:val="28"/>
        </w:rPr>
        <w:t xml:space="preserve"> рассмотреть какие модели жилищного кредитования бывают. И что представляют собой этапы жи</w:t>
      </w:r>
      <w:r w:rsidR="005571FD" w:rsidRPr="00A60536">
        <w:rPr>
          <w:rFonts w:ascii="Times New Roman" w:hAnsi="Times New Roman" w:cs="Times New Roman"/>
          <w:noProof/>
          <w:color w:val="000000"/>
          <w:sz w:val="28"/>
        </w:rPr>
        <w:t>лищного кредитования</w:t>
      </w:r>
      <w:r w:rsidR="00CA02DC" w:rsidRPr="00A60536">
        <w:rPr>
          <w:rFonts w:ascii="Times New Roman" w:hAnsi="Times New Roman" w:cs="Times New Roman"/>
          <w:noProof/>
          <w:color w:val="000000"/>
          <w:sz w:val="28"/>
        </w:rPr>
        <w:t>?</w:t>
      </w:r>
    </w:p>
    <w:p w:rsidR="00326B08" w:rsidRPr="00A60536" w:rsidRDefault="00326B08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EE45FD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EE45FD" w:rsidRPr="00A60536">
        <w:rPr>
          <w:rFonts w:ascii="Times New Roman" w:hAnsi="Times New Roman" w:cs="Times New Roman"/>
          <w:noProof/>
          <w:color w:val="000000"/>
          <w:sz w:val="28"/>
        </w:rPr>
        <w:t>1. Основные модели ипотечного жилищного кредитования</w:t>
      </w:r>
    </w:p>
    <w:bookmarkEnd w:id="0"/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Выделяется две модели (схемы) ипотечного кредитования.</w:t>
      </w: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1. Двухуровневая ("американская модель"), опирающаяся на вторичный рынок закладных. Сущность модели заключается в следующем. Банк выдает ипотечный кредит заемщику в обмен на обязательство в течение определенного срока ежемесячно переводить в банк фиксированную сумму. Это обязательство заемщика обеспечено залогом приобретаемого жилья. Банк продает кредит одному из агентств ипотечного кредитования, передавая при этом и обязательства по обеспечению. Агентства немедленно возмещают банку выплаченные заемщику средства и взамен просят переводить получаемые от него ежемесячные выплаты за вычетом прибыли (маржи) банка в агентство. Величину ежемесячных выплат, т.е. ставку, по которой агентство обязуется покупать ипотечные кредиты, устанавливает агентство на основании требований, предъявляемых инвесторами к доходности финансовых инструментов. Ипотечные агентства, купив некоторое количество ипотечных кредитов у коммерческих банков, собирают их в пулы и создают на основе каждого новую ценную бумагу, источником выплат по которой являются платежи заемщиков. Эти выплаты гарантированы не залогом недвижимости, а агентством как юридическим лицом. Агентства реализуют ипотечные ценные бумаги на фондовом рынке и затем тоже выступают как посредники, передавая инвестору, купившему ценную бумагу, выплаты агентству от банка за вычетом своей маржи.</w:t>
      </w: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 xml:space="preserve">В США ставки по ипотечным ценным бумагам лишь немного выше ставок по государственным ценным бумагам, что объясняется уверенностью инвесторов в том, что в случае массового дефолта заемщиков государство окажет необходимую финансовую помощь ипотечным агентствам для погашения ими своих обязательств. Поддержка государства дет возможность рассматривать ценные бумаги ипотечных агентств как почти безрисковые и позволяет вкладываться в них самым консервативным инвесторам, таким, как пенсионные фонды, а следовательно, обеспечивает </w:t>
      </w:r>
      <w:r w:rsidR="00E56067" w:rsidRPr="00A60536">
        <w:rPr>
          <w:rFonts w:ascii="Times New Roman" w:hAnsi="Times New Roman" w:cs="Times New Roman"/>
          <w:noProof/>
          <w:color w:val="000000"/>
          <w:sz w:val="28"/>
        </w:rPr>
        <w:t>перетек</w:t>
      </w:r>
      <w:r w:rsidRPr="00A60536">
        <w:rPr>
          <w:rFonts w:ascii="Times New Roman" w:hAnsi="Times New Roman" w:cs="Times New Roman"/>
          <w:noProof/>
          <w:color w:val="000000"/>
          <w:sz w:val="28"/>
        </w:rPr>
        <w:t xml:space="preserve"> в ипотечные кредиты самых дешевых на рынке ресурсов.</w:t>
      </w: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2. Одноуровневая ("немецкая модель"). Это автономная сбалансированная модель ипотеки, базирующаяся на сберегательно</w:t>
      </w:r>
      <w:r w:rsidR="00E56067" w:rsidRPr="00A60536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</w:rPr>
        <w:t>-</w:t>
      </w:r>
      <w:r w:rsidR="00E56067" w:rsidRPr="00A60536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</w:rPr>
        <w:t>ссудном принципе функционирования по типу немецких "частных стройсберкасс" - Bausparkasse, французских Livret Epargne Logement, американских Savings &amp; Loans. Здесь вкладчик получает возможность накопить необходимый взнос на покупку квартиры (например, в размере 50% ее стоимости) в течение длительного периода, а затем получить ипотечный кредит на покупку (строительство) заранее выбранной квартиры. Строительная сберегательная касса, будучи замкнутой финансовой структурой, начинает свою деятельность с формирования уставного капитала и имеет на его основе собственный источник средств (включая квартирный фонд) для выдачи кредитов. Все средства кассы (собственные и привлеченные) используются только для ведения уставной деятельности, т.е. идут на финансирование строительства жилья и выдачу ипотечных кредитов на покупку построенных квартир.</w:t>
      </w: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EE45FD" w:rsidRPr="00A60536" w:rsidRDefault="00076954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" w:name="sub_21219"/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2.</w:t>
      </w:r>
      <w:r w:rsidR="00EE45FD"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Основные этапы ипотечного жилищного кредитования</w:t>
      </w:r>
    </w:p>
    <w:bookmarkEnd w:id="1"/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Оформление, заключение и обслуживание кредитной сделки - длительный процесс, требующий тщательной проработки принимаемых решений. Для сокращения процедуры оформления кредита и получения кредитором исчерпывающей информации о клиенте кредитные учреждения разработали стандартные формы документов. Например, для кредитования жилья это заявление о предоставлении кредита, справки о вкладах и о наличии работы, калькуляция затрат на получение кредита и кредитная справка. Для доходной недвижимости перечень сведений должен быть существенно шире. Основное внимание здесь уделяется качеству управления недвижимостью, оценке способности объекта генерировать доход, необходимый для погашения кредита. Для этого, в частности, анализируется величина операционных расходов, их распределение между заемщиком и арендатором, изучается репутация и бизнес арендаторов, профессионализм управляющего недвижимостью, выясняется влияние налоговых и других последствий заемного финансирования на инвестиционный проект.</w:t>
      </w: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Выделяют следующие этапы ипотечного кредитования:</w:t>
      </w: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1) предварительный (разъяснение клиенту основных условий кредитования, передача списка документов для получения ссуды);</w:t>
      </w: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2) сбор и проверка информации о клиенте и о залоге;</w:t>
      </w: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3) оценка вероятности погашения кредита;</w:t>
      </w: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4) принятие решения по кредиту (сумма, срок, ставка процента, порядок погашения);</w:t>
      </w: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5) заключение кредитной сделки;</w:t>
      </w: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6) обслуживание кредитной сделки;</w:t>
      </w: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7) закрытие кредитной сделки.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Первый этап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На этапе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предварительной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квалификации клиентов проводится собеседование с потенциальным заёмщиком, в ходе которого решаются следующие задачи.</w:t>
      </w:r>
    </w:p>
    <w:p w:rsidR="00A5084D" w:rsidRPr="00A60536" w:rsidRDefault="00A5084D" w:rsidP="007B03AB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Определяется круг клиентов, которые с точки зрения банка могут быть квалифицированы как потенциальные заёмщики,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доходы которых позволяют им</w:t>
      </w:r>
      <w:r w:rsidR="007B03AB"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претендовать на жилищный ипотечный кредит и которые имеют намерения приобрести в собственность жильё.</w:t>
      </w:r>
    </w:p>
    <w:p w:rsidR="00A5084D" w:rsidRPr="00A60536" w:rsidRDefault="00A5084D" w:rsidP="007B03AB">
      <w:pPr>
        <w:widowControl/>
        <w:numPr>
          <w:ilvl w:val="0"/>
          <w:numId w:val="8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Клиенты получают необходимую информацию относительно порядка и условий предоставления банком жилищных ипотечных кредитов населению, включая:</w:t>
      </w:r>
    </w:p>
    <w:p w:rsidR="00A5084D" w:rsidRPr="00A60536" w:rsidRDefault="00A5084D" w:rsidP="007B03AB">
      <w:pPr>
        <w:widowControl/>
        <w:numPr>
          <w:ilvl w:val="0"/>
          <w:numId w:val="9"/>
        </w:numPr>
        <w:tabs>
          <w:tab w:val="left" w:pos="4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требования банка к платеже- и кредитоспособности заёмщика, к обеспечению кредита, к предмету залога, к оценке залогового имущества, к страхованию;</w:t>
      </w:r>
    </w:p>
    <w:p w:rsidR="00A5084D" w:rsidRPr="00A60536" w:rsidRDefault="00A5084D" w:rsidP="007B03AB">
      <w:pPr>
        <w:widowControl/>
        <w:numPr>
          <w:ilvl w:val="0"/>
          <w:numId w:val="9"/>
        </w:numPr>
        <w:tabs>
          <w:tab w:val="left" w:pos="4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список документов;</w:t>
      </w:r>
    </w:p>
    <w:p w:rsidR="00A5084D" w:rsidRPr="00A60536" w:rsidRDefault="00A5084D" w:rsidP="007B03AB">
      <w:pPr>
        <w:widowControl/>
        <w:numPr>
          <w:ilvl w:val="0"/>
          <w:numId w:val="9"/>
        </w:numPr>
        <w:tabs>
          <w:tab w:val="left" w:pos="4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порядок заключения кредитного договора и договора купли-продажи и ипотеки квартиры, в том числе порядок совершения всех действий, связанных с обязательной государственной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регистрацией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сделок по залогу недвижимости, необходимостью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нотариального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удостоверения отдельных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документов; порядок и сроки предоставления и погашения кредита, права и обязанности банка-кредитора и клиента-заёмщика и т.п.</w:t>
      </w:r>
    </w:p>
    <w:p w:rsidR="00A5084D" w:rsidRPr="00A60536" w:rsidRDefault="00A5084D" w:rsidP="007B03AB">
      <w:pPr>
        <w:widowControl/>
        <w:numPr>
          <w:ilvl w:val="0"/>
          <w:numId w:val="8"/>
        </w:numPr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Проводиться предварительный расчёт максимально допустимой суммы кредита, ежемесячных платежей клиента в счёт погашения кредита и процентов по нему, примерной суммы собственных денежных средств, которыми должен располагать заёмщик.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Предварительная квалификация не предполагает обязательного одобрения кредита.</w:t>
      </w:r>
    </w:p>
    <w:p w:rsidR="00A5084D" w:rsidRPr="00A60536" w:rsidRDefault="00A5084D" w:rsidP="007B03AB">
      <w:pPr>
        <w:tabs>
          <w:tab w:val="left" w:pos="420"/>
        </w:tabs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Второй этап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Клиент, прошедший процедуру предварительной квалификации, получает список документов, которые он должен представить в банк для подтверждения информации, необходимой для принятия решения о возможности выдачи ему кредита на условиях, приемлемых для банка. Для подтверждения полученной от клиента информации банк направляет:</w:t>
      </w:r>
    </w:p>
    <w:p w:rsidR="00A5084D" w:rsidRPr="00A60536" w:rsidRDefault="00A5084D" w:rsidP="007B03AB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Запрос по месту работы заёмщика для подтверждения информации о его доходах по месту работы;</w:t>
      </w:r>
    </w:p>
    <w:p w:rsidR="00A5084D" w:rsidRPr="00A60536" w:rsidRDefault="00A5084D" w:rsidP="007B03AB">
      <w:pPr>
        <w:widowControl/>
        <w:numPr>
          <w:ilvl w:val="0"/>
          <w:numId w:val="13"/>
        </w:numPr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Запрос в другие кредитные учреждения, указанные заёмщиком, для подтверждения информации о вкладах и об исполнении обязательств по полученным (возвращённым и текущим) кредитам.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Третий этап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ab/>
        <w:t>Основным считается этап проведения оценки вероятности погашения кредита потенциальным заёмщиком (андеррайтинг заёмщика). На этом этапе проводится анализ собранной и документально подтверждённой информации, который включает в себя:</w:t>
      </w:r>
    </w:p>
    <w:p w:rsidR="00A5084D" w:rsidRPr="00A60536" w:rsidRDefault="00A5084D" w:rsidP="007B03AB">
      <w:pPr>
        <w:widowControl/>
        <w:numPr>
          <w:ilvl w:val="0"/>
          <w:numId w:val="14"/>
        </w:numPr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Оценку платёжеспособности потенциального заёмщика (его готовность выполнять принимаемые финансовые обязательства на основе анализа его кредитной истории);</w:t>
      </w:r>
    </w:p>
    <w:p w:rsidR="00A5084D" w:rsidRPr="00A60536" w:rsidRDefault="00A5084D" w:rsidP="007B03AB">
      <w:pPr>
        <w:widowControl/>
        <w:numPr>
          <w:ilvl w:val="0"/>
          <w:numId w:val="14"/>
        </w:numPr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Оценку достаточности собственных денежных средств (и источника формирования), которыми располагает потенциальный заёмщик для выплаты первоначального взноса на покупку жилья</w:t>
      </w:r>
      <w:r w:rsidR="007B03AB"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и оплаты всех других необходимых расходов.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Критерии отбора заёмщиков в различных банках могут отличаться, но, как правило, при предоставлении ипотечного кредита на покупку жилья кредитор обращает внимание на следующие основные моменты. </w:t>
      </w:r>
    </w:p>
    <w:p w:rsidR="00A5084D" w:rsidRPr="00A60536" w:rsidRDefault="00A5084D" w:rsidP="007B03AB">
      <w:pPr>
        <w:widowControl/>
        <w:numPr>
          <w:ilvl w:val="0"/>
          <w:numId w:val="10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Уровень платёжеспособности потенциального заёмщика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Для этой цели рассчитываются следующие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квалификационные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соотношения. 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а) отношения ежемесячного (аннуите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тн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ого) платежа заёмщика по жилищному ипотечному кредиту к совокупному доходу не может превышать 40%: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</w:p>
    <w:p w:rsidR="00A5084D" w:rsidRPr="00A60536" w:rsidRDefault="00DA1339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25pt;height:51.75pt">
            <v:imagedata r:id="rId7" o:title=""/>
          </v:shape>
        </w:pict>
      </w:r>
      <w:r w:rsidR="00A5084D"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(1)</w: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П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Ежемесячный платёж в счёт погашения основного долга и процентов по ипотечному кредиту (аннуитетный платёж) заёмщика, $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Д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сумма ежемесячных совокупных доходов (чистый доход), $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В основном значение данного коэффициента не должно превышать 30-40%. В некоторых банках предельное значение коэффициента К/З</w:t>
      </w:r>
      <w:r w:rsidRPr="00A60536">
        <w:rPr>
          <w:rStyle w:val="ab"/>
          <w:rFonts w:ascii="Times New Roman" w:hAnsi="Times New Roman" w:cs="Times New Roman"/>
          <w:noProof/>
          <w:color w:val="000000"/>
          <w:sz w:val="28"/>
          <w:szCs w:val="28"/>
        </w:rPr>
        <w:footnoteReference w:id="1"/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и дохода заёмщика в следующих размерах:</w:t>
      </w:r>
    </w:p>
    <w:p w:rsidR="00A5084D" w:rsidRPr="00A60536" w:rsidRDefault="00A5084D" w:rsidP="007B03AB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если коэффициент К/З меньше или равен 50% (0,5) значение коэффициента П/Д составляет 50% (0,5);</w:t>
      </w:r>
    </w:p>
    <w:p w:rsidR="00A5084D" w:rsidRPr="00A60536" w:rsidRDefault="00A5084D" w:rsidP="007B03AB">
      <w:pPr>
        <w:widowControl/>
        <w:numPr>
          <w:ilvl w:val="0"/>
          <w:numId w:val="11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если величина коэффициента К/З больше 50% (0,5) применяется следующая таблица (табл. 1):</w: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bCs/>
          <w:noProof/>
          <w:color w:val="000000"/>
          <w:sz w:val="28"/>
          <w:szCs w:val="28"/>
        </w:rPr>
      </w:pP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 xml:space="preserve">Таблица 1. </w:t>
      </w:r>
      <w:r w:rsidRPr="00A60536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ar-SA"/>
        </w:rPr>
        <w:t>Предельное значение коэффициента П/Д</w:t>
      </w:r>
      <w:r w:rsidR="00634E20" w:rsidRPr="00A60536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ar-SA"/>
        </w:rPr>
        <w:t xml:space="preserve"> </w:t>
      </w:r>
      <w:r w:rsidRPr="00A60536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ar-SA"/>
        </w:rPr>
        <w:t>в зависимости от коэффициента К/З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5649"/>
        <w:gridCol w:w="3922"/>
      </w:tblGrid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Ежемесячный доход заёмщика, указанный в прожиточных минимумах (ПМ)</w:t>
            </w:r>
            <w:r w:rsidRPr="00E83020">
              <w:rPr>
                <w:rStyle w:val="ab"/>
                <w:noProof/>
                <w:color w:val="000000"/>
                <w:sz w:val="20"/>
              </w:rPr>
              <w:footnoteReference w:id="2"/>
            </w:r>
            <w:r w:rsidRPr="00E83020">
              <w:rPr>
                <w:noProof/>
                <w:color w:val="000000"/>
                <w:sz w:val="20"/>
              </w:rPr>
              <w:t xml:space="preserve"> в расчёте на 1-го члена семьи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Значение коэффициента П/Д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До 2,0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35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2,2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36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2,4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37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2,6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38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2,8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39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3,0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40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3,2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41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3,4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42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3,6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43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3,8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44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4,0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45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4,2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46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4,4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47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4,6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48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4,8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49</w:t>
            </w:r>
          </w:p>
        </w:tc>
      </w:tr>
      <w:tr w:rsidR="00A5084D" w:rsidRPr="00E83020" w:rsidTr="00E83020">
        <w:trPr>
          <w:trHeight w:val="23"/>
        </w:trPr>
        <w:tc>
          <w:tcPr>
            <w:tcW w:w="2951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5,0 и более</w:t>
            </w:r>
          </w:p>
        </w:tc>
        <w:tc>
          <w:tcPr>
            <w:tcW w:w="2049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50</w:t>
            </w:r>
          </w:p>
        </w:tc>
      </w:tr>
    </w:tbl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б) Отношение ежемесячных долгосрочных обязательств заёмщика (за вычетом страховых, налоговых и других платежей по приобретаемому имуществу) к совокупному доходу не может превышать 60%:</w: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Коэффициент </w:t>
      </w:r>
      <w:r w:rsidRPr="00A60536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О1/Д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=</w:t>
      </w:r>
      <w:r w:rsidR="00DA1339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6" type="#_x0000_t75" style="width:63pt;height:33pt">
            <v:imagedata r:id="rId8" o:title=""/>
          </v:shape>
        </w:pic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. (2)</w: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О1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Сумма обязательных ежемесячных платежей, в которую ежемесячные жилищные расходы входят только в части аннуитетного платежа по кредиту, $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Д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= сумма ежемесячных совокупных доходов (чистый доход),$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Для более точного анализа платёжеспособности заёмщика могут быть дополнительно рассчитаны справочные коэффициенты:</w: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Коэффициент Ж/Д=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A1339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7" type="#_x0000_t75" style="width:21.75pt;height:33pt">
            <v:imagedata r:id="rId9" o:title=""/>
          </v:shape>
        </w:pic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(3)</w: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i/>
          <w:noProof/>
          <w:color w:val="000000"/>
          <w:sz w:val="28"/>
          <w:szCs w:val="28"/>
        </w:rPr>
      </w:pP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>Ж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= ежемесячные расходы заёмщика по приобретённому имуществу (включая платежи по страхованию, налогам на имущество и др.),$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Д =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сумма ежемесячных совокупных доходов (чистый доход), $</w: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Коэффициент О2/Д=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DA1339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8" type="#_x0000_t75" style="width:1in;height:33pt">
            <v:imagedata r:id="rId10" o:title=""/>
          </v:shape>
        </w:pic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(4)</w: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О2 = Общая сумма обязательных ежемесячных</w:t>
      </w:r>
      <w:r w:rsidR="007B03AB"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платежей заёмщика, $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i/>
          <w:noProof/>
          <w:color w:val="000000"/>
          <w:sz w:val="28"/>
          <w:szCs w:val="28"/>
        </w:rPr>
        <w:t xml:space="preserve">Д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= Сумма ежемесячных совокупных доходов (чистый доход), $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Перечень доходов и расходов, учитываемых при расчёте платёжеспособности заёмщика, представлен в табл. 2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При расчёте платёжеспособности заёмщика учитывается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т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олько часть дохода от арендной платы, что видно из табл. 3.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Кроме того, если чистый доход от аренды (найма) составляет более 50% от чистого совокупного дохода заёмщика и в сумме превышает $500 в месяц, то для включения его в совокупный доход заёмщика необходимо соблюдать следующие формальности: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1) уровень дохода, получаемый от сдачи жилья в аренду объекта недвижимости, должен пройти независимую оценку лицензированным оценщиком, и в случае, если оценку лицензированным оценщиком, и в случае, если оценочное значение арендного дохода окажется менее документально подтверждённого, для всех последующих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расчетов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андеррайтеру следует руководствоваться оценочным значением.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2) заёмщику надлежит осуществить страхование:</w:t>
      </w:r>
    </w:p>
    <w:p w:rsidR="00A5084D" w:rsidRPr="00A60536" w:rsidRDefault="00A5084D" w:rsidP="007B03AB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от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риска, поврежде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н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и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я объекта недвиж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имости, сдаваемого в аренду на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сумму не ниже размера кредита,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увеличенного на 10%;</w:t>
      </w:r>
    </w:p>
    <w:p w:rsidR="00A5084D" w:rsidRPr="00A60536" w:rsidRDefault="00A5084D" w:rsidP="007B03AB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своей</w:t>
      </w:r>
      <w:r w:rsidR="007B03AB"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гражданской ответственности как собственника сдаваемой в аренду недвижимости.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3)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предоставить справку из Единого государственного реестра</w:t>
      </w:r>
      <w:r w:rsidR="007B03AB"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прав об отсутствии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обременения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сдаваемого в аренду объекта недвижимости. 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2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Доходы и расходы, учитываемые при расчёте платёжеспособности заёмщика</w:t>
      </w:r>
      <w:r w:rsidRPr="00A60536">
        <w:rPr>
          <w:rStyle w:val="ab"/>
          <w:rFonts w:ascii="Times New Roman" w:hAnsi="Times New Roman" w:cs="Times New Roman"/>
          <w:noProof/>
          <w:color w:val="000000"/>
          <w:sz w:val="28"/>
          <w:szCs w:val="28"/>
        </w:rPr>
        <w:footnoteReference w:id="3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703"/>
        <w:gridCol w:w="3522"/>
        <w:gridCol w:w="5346"/>
      </w:tblGrid>
      <w:tr w:rsidR="00A5084D" w:rsidRPr="00E83020" w:rsidTr="00E83020">
        <w:trPr>
          <w:trHeight w:val="23"/>
        </w:trPr>
        <w:tc>
          <w:tcPr>
            <w:tcW w:w="367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840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Название показателя</w:t>
            </w:r>
          </w:p>
        </w:tc>
        <w:tc>
          <w:tcPr>
            <w:tcW w:w="2792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Что в себя включает</w:t>
            </w:r>
          </w:p>
        </w:tc>
      </w:tr>
      <w:tr w:rsidR="00A5084D" w:rsidRPr="00E83020" w:rsidTr="00E83020">
        <w:trPr>
          <w:trHeight w:val="23"/>
        </w:trPr>
        <w:tc>
          <w:tcPr>
            <w:tcW w:w="367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П</w:t>
            </w:r>
          </w:p>
        </w:tc>
        <w:tc>
          <w:tcPr>
            <w:tcW w:w="1840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Ежемесячный платёж по жилищному ипотечному кредиту</w:t>
            </w:r>
          </w:p>
        </w:tc>
        <w:tc>
          <w:tcPr>
            <w:tcW w:w="2792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Платёж</w:t>
            </w:r>
            <w:r w:rsidR="007B03AB" w:rsidRPr="00E83020">
              <w:rPr>
                <w:noProof/>
                <w:color w:val="000000"/>
                <w:sz w:val="20"/>
              </w:rPr>
              <w:t xml:space="preserve"> </w:t>
            </w:r>
            <w:r w:rsidRPr="00E83020">
              <w:rPr>
                <w:noProof/>
                <w:color w:val="000000"/>
                <w:sz w:val="20"/>
              </w:rPr>
              <w:t>в счёт погашения основного долга и уплаты процентов</w:t>
            </w:r>
          </w:p>
        </w:tc>
      </w:tr>
      <w:tr w:rsidR="00A5084D" w:rsidRPr="00E83020" w:rsidTr="00E83020">
        <w:trPr>
          <w:trHeight w:val="23"/>
        </w:trPr>
        <w:tc>
          <w:tcPr>
            <w:tcW w:w="367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Ж</w:t>
            </w:r>
          </w:p>
        </w:tc>
        <w:tc>
          <w:tcPr>
            <w:tcW w:w="1840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Общий ежемесячный платёж по жилищному ипотечному кредиту</w:t>
            </w:r>
          </w:p>
        </w:tc>
        <w:tc>
          <w:tcPr>
            <w:tcW w:w="2792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П;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платёж по налогу на приобретаемое имущество;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ежемесячный платёж по страхованию жизни и трудоспособности заёмщика;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ежемесячный платёж по страхованию недвижимого имущества, находящегося в залоге;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ежемесячный платёж по страхованию утраты права собственности владельца квартиры;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платёж за услуги по техническому обслуживанию (регулярные обязательные взносы, связанные с эксплуатацией жилого помещения (оплата, газо-, ремонтом, уборкой и т.п.);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другие расходы по приобретаемому жилью, если они носят регулярный характер</w:t>
            </w:r>
          </w:p>
        </w:tc>
      </w:tr>
      <w:tr w:rsidR="00A5084D" w:rsidRPr="00E83020" w:rsidTr="00E83020">
        <w:trPr>
          <w:trHeight w:val="23"/>
        </w:trPr>
        <w:tc>
          <w:tcPr>
            <w:tcW w:w="367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О</w:t>
            </w:r>
          </w:p>
        </w:tc>
        <w:tc>
          <w:tcPr>
            <w:tcW w:w="1840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2792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Платежи по имеющимся кредитам;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обязательные платежи;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алименты уплачиваемые;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ежемесячные существующие расходы заёмщика, связанные с имеющимся в собственности заёмщика жильём (налоги на имущество, страхование недвижимого имущества, платежи за техническое обслуживание, другие возможные регулярные сборы и выплаты, связанные с эксплуатацией жилья);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ежемесячные (или пересчитанные в расчёте на месяц) расходы по выплате подоходных налогов, а также налоговых и страховых платежей, связанных с наличием другого движимого и недвижимого имущества; аренда жилья;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регулярные платежи, связанные с поддержанием жизнедеятельности заёмщика и его семьи (питание, образование, медицинское обслуживание);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расходы, связанные с отдыхом, развлечением, дорогостоящим хобби;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другие постоянные и обязательные расходы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заёмщика, проводимые ежемесячно либо с другой периодичностью в течение года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</w:tr>
      <w:tr w:rsidR="00A5084D" w:rsidRPr="00E83020" w:rsidTr="00E83020">
        <w:trPr>
          <w:trHeight w:val="23"/>
        </w:trPr>
        <w:tc>
          <w:tcPr>
            <w:tcW w:w="367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Д</w:t>
            </w:r>
          </w:p>
        </w:tc>
        <w:tc>
          <w:tcPr>
            <w:tcW w:w="1840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Общий доход заёмщика</w:t>
            </w:r>
          </w:p>
        </w:tc>
        <w:tc>
          <w:tcPr>
            <w:tcW w:w="2792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Заработная плата по основному месту работы, включая среднегодовой доход за сверхурочную работу и премии;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доход от работы неполный рабочий день и не по основному месту работы;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доход в виде дивидендов по облигациям, акциям, от участия в иных (не акционерных) хозяйственных обществах;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доход в виде процентов по вкладам и в виде постоянных стабильных страховых выплат;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пенсионные выплаты и стипендии;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алименты и пособия на детей;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государственные субсидии;</w:t>
            </w:r>
          </w:p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чистый доход в виде арендной платы</w:t>
            </w:r>
          </w:p>
        </w:tc>
      </w:tr>
    </w:tbl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Таблица 3.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3191"/>
        <w:gridCol w:w="3191"/>
        <w:gridCol w:w="3189"/>
      </w:tblGrid>
      <w:tr w:rsidR="00A5084D" w:rsidRPr="00E83020" w:rsidTr="00E83020">
        <w:trPr>
          <w:trHeight w:val="23"/>
        </w:trPr>
        <w:tc>
          <w:tcPr>
            <w:tcW w:w="1667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</w:p>
        </w:tc>
        <w:tc>
          <w:tcPr>
            <w:tcW w:w="1667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Чистый доход от аренды (найма) составляет не более 50% от чистого совокупного дохода заёмщика</w:t>
            </w:r>
          </w:p>
        </w:tc>
        <w:tc>
          <w:tcPr>
            <w:tcW w:w="1667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Чистый доход от аренды (найма) составляет более 50% от чистого совокупного дохода заёмщика</w:t>
            </w:r>
          </w:p>
        </w:tc>
      </w:tr>
      <w:tr w:rsidR="00A5084D" w:rsidRPr="00E83020" w:rsidTr="00E83020">
        <w:trPr>
          <w:trHeight w:val="23"/>
        </w:trPr>
        <w:tc>
          <w:tcPr>
            <w:tcW w:w="1667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Доля чистого арендного дохода, учитываемая при оценке платёжеспособности</w:t>
            </w:r>
          </w:p>
        </w:tc>
        <w:tc>
          <w:tcPr>
            <w:tcW w:w="1667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75%</w:t>
            </w:r>
          </w:p>
        </w:tc>
        <w:tc>
          <w:tcPr>
            <w:tcW w:w="1667" w:type="pct"/>
            <w:shd w:val="clear" w:color="auto" w:fill="auto"/>
          </w:tcPr>
          <w:p w:rsidR="00A5084D" w:rsidRPr="00E83020" w:rsidRDefault="00A5084D" w:rsidP="00E83020">
            <w:pPr>
              <w:pStyle w:val="a8"/>
              <w:spacing w:line="360" w:lineRule="auto"/>
              <w:jc w:val="both"/>
              <w:rPr>
                <w:noProof/>
                <w:color w:val="000000"/>
                <w:sz w:val="20"/>
              </w:rPr>
            </w:pPr>
            <w:r w:rsidRPr="00E83020">
              <w:rPr>
                <w:noProof/>
                <w:color w:val="000000"/>
                <w:sz w:val="20"/>
              </w:rPr>
              <w:t>50%</w:t>
            </w:r>
          </w:p>
        </w:tc>
      </w:tr>
    </w:tbl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ar-SA"/>
        </w:rPr>
      </w:pPr>
    </w:p>
    <w:p w:rsidR="00A5084D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ar-SA"/>
        </w:rPr>
        <w:br w:type="page"/>
      </w:r>
      <w:r w:rsidR="00A5084D" w:rsidRPr="00A60536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ar-SA"/>
        </w:rPr>
        <w:t xml:space="preserve">2. Уровень </w:t>
      </w:r>
      <w:r w:rsidR="00A5084D" w:rsidRPr="00A60536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кредитоспособности</w:t>
      </w:r>
      <w:r w:rsidR="00A5084D" w:rsidRPr="00A60536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ar-SA"/>
        </w:rPr>
        <w:t xml:space="preserve"> потенциального заёмщика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На основе изучения кредитной истории заёмщика определяется, насколько клиент банка является ответственным при выполнении принятых обязательств, а также устанавливаются сумма неуплаченного на данный момент остатка долга, срок и размер ежемесячных платежей в счёт его погашения.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ar-SA"/>
        </w:rPr>
        <w:t xml:space="preserve">3. Достаточность собственных денежных средств, которыми располагает потенциальный заёмщик для выплаты </w:t>
      </w:r>
      <w:r w:rsidRPr="00A60536">
        <w:rPr>
          <w:rFonts w:ascii="Times New Roman" w:hAnsi="Times New Roman" w:cs="Times New Roman"/>
          <w:bCs/>
          <w:noProof/>
          <w:color w:val="000000"/>
          <w:sz w:val="28"/>
          <w:szCs w:val="28"/>
        </w:rPr>
        <w:t>первоначального</w:t>
      </w:r>
      <w:r w:rsidRPr="00A60536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ar-SA"/>
        </w:rPr>
        <w:t xml:space="preserve"> взноса на покупку жилья.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Банк определяет основные требования к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финансовым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возможностям заёмщика. Сумма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первоначального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взноса при покупке жилья, как правило, должна составлять не менее 30% цены жилья. Кроме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того,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заёмщик должен обладать достаточной суммой собственных средств для покрытия расходов по кредитной сделке и покупке жилья, которые включают в себя:</w:t>
      </w:r>
    </w:p>
    <w:p w:rsidR="00A5084D" w:rsidRPr="00A60536" w:rsidRDefault="00A5084D" w:rsidP="007B03AB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комиссионные риелторской фирме (если необходимо);</w:t>
      </w:r>
    </w:p>
    <w:p w:rsidR="00A5084D" w:rsidRPr="00A60536" w:rsidRDefault="00A5084D" w:rsidP="007B03AB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плата за оценку стоимости предмета залога (квартиры);</w:t>
      </w:r>
    </w:p>
    <w:p w:rsidR="00A5084D" w:rsidRPr="00A60536" w:rsidRDefault="00A5084D" w:rsidP="007B03AB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сбор за предоставление необходимых справок на приобретаемую недвижимость (в том числе об отсутствии залога) (КМЖ) (Бюро технической инвентаризации, Московский городской комитет по государственной регистрации прав на недвижимое имущество и сделок с ним, московская областная регистрационная палата);</w:t>
      </w:r>
    </w:p>
    <w:p w:rsidR="00A5084D" w:rsidRPr="00A60536" w:rsidRDefault="00A5084D" w:rsidP="007B03AB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сбор за нотариальное удостоверение договора ипотеки (если банк потребует);</w:t>
      </w:r>
    </w:p>
    <w:p w:rsidR="00A5084D" w:rsidRPr="00A60536" w:rsidRDefault="00A5084D" w:rsidP="007B03AB">
      <w:pPr>
        <w:widowControl/>
        <w:numPr>
          <w:ilvl w:val="0"/>
          <w:numId w:val="12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сбор за государственную регистрацию договора ипотеки квартиры;</w:t>
      </w:r>
    </w:p>
    <w:p w:rsidR="00A5084D" w:rsidRPr="00A60536" w:rsidRDefault="00A5084D" w:rsidP="007B03AB">
      <w:pPr>
        <w:widowControl/>
        <w:numPr>
          <w:ilvl w:val="0"/>
          <w:numId w:val="5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-страховые сборы;</w:t>
      </w:r>
    </w:p>
    <w:p w:rsidR="00A5084D" w:rsidRPr="00A60536" w:rsidRDefault="00A5084D" w:rsidP="007B03AB">
      <w:pPr>
        <w:widowControl/>
        <w:numPr>
          <w:ilvl w:val="0"/>
          <w:numId w:val="5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-банковский сбор за подачу заявления в кредит;</w:t>
      </w:r>
    </w:p>
    <w:p w:rsidR="00A5084D" w:rsidRPr="00A60536" w:rsidRDefault="00A5084D" w:rsidP="007B03AB">
      <w:pPr>
        <w:widowControl/>
        <w:numPr>
          <w:ilvl w:val="0"/>
          <w:numId w:val="5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-плата за открытие ссудного счета;</w:t>
      </w:r>
    </w:p>
    <w:p w:rsidR="00A5084D" w:rsidRPr="00A60536" w:rsidRDefault="00A5084D" w:rsidP="007B03AB">
      <w:pPr>
        <w:widowControl/>
        <w:numPr>
          <w:ilvl w:val="0"/>
          <w:numId w:val="5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-плата за выдачу кредита наличными;</w:t>
      </w:r>
    </w:p>
    <w:p w:rsidR="007B03AB" w:rsidRPr="00A60536" w:rsidRDefault="00A5084D" w:rsidP="007B03AB">
      <w:pPr>
        <w:widowControl/>
        <w:numPr>
          <w:ilvl w:val="0"/>
          <w:numId w:val="5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-другие расходы.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Банк также оценивает источники средств. Приемлемыми источниками являются:</w:t>
      </w:r>
    </w:p>
    <w:p w:rsidR="00A5084D" w:rsidRPr="00A60536" w:rsidRDefault="00A5084D" w:rsidP="007B03AB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- сбережения заемщика;</w:t>
      </w:r>
    </w:p>
    <w:p w:rsidR="00A5084D" w:rsidRPr="00A60536" w:rsidRDefault="00A5084D" w:rsidP="007B03AB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-собственные средства заемщика, получаемые им от продажи принадлежащего ему имущества. Продажа должна быть произведена до получения кредита;</w:t>
      </w:r>
    </w:p>
    <w:p w:rsidR="00A5084D" w:rsidRPr="00A60536" w:rsidRDefault="00A5084D" w:rsidP="007B03AB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-подарки от членов семьи с письменным подтверждением того, что по ним не будет потребована оплата;</w:t>
      </w:r>
    </w:p>
    <w:p w:rsidR="00A5084D" w:rsidRPr="00A60536" w:rsidRDefault="00A5084D" w:rsidP="007B03AB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-подарки и гранты некоммерческих организаций с письменным подтверждением того, что по ним не будет потребована оплата;</w:t>
      </w:r>
    </w:p>
    <w:p w:rsidR="00A5084D" w:rsidRPr="00A60536" w:rsidRDefault="00A5084D" w:rsidP="007B03AB">
      <w:pPr>
        <w:widowControl/>
        <w:numPr>
          <w:ilvl w:val="0"/>
          <w:numId w:val="6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-подарки или гранты от работодателя, сделанные в рамках программы помощи сотрудникам, которые не должны быть возвращены или подлежат возврату после того,</w:t>
      </w:r>
      <w:r w:rsidR="007B03AB"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как будут исполнены обязательства по первой ипотеке.</w:t>
      </w: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4.Уровень обеспечения кредита </w:t>
      </w: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До принятия решения о возможности предоставления кредита на приобретение определенной квартиры банк должен убедиться, что приобретаемое за счет кредитных средств жилое помещение соответствует требованиям по обеспечению кредита.</w:t>
      </w: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Максимальный размер кредита, который может быть выдан заемщику исходя из стоимости предоставляемого обеспечения, определяется коэффициентом К3 (соотношение между суммой кредита и стоимостью залогового имущества).</w: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Коэффициент К3= </w:t>
      </w:r>
      <w:r w:rsidR="00DA1339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29" type="#_x0000_t75" style="width:96pt;height:69.75pt">
            <v:imagedata r:id="rId11" o:title=""/>
          </v:shape>
        </w:pic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(5)</w: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Данный коэффициент, как правило, составляет 70-80 % оценочной стоимости или продажной цены приобретаемого имущества в зависимости от того, какая величина меньше. Но может доходить и до 95 %.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Кроме стоимости недвижимого имущества банк проверяет:</w: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Таблица 4.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Основные компенсирующие факторы и факторы риска, влияющие на принятие решения о предоставлении кредита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5C0" w:firstRow="0" w:lastRow="1" w:firstColumn="1" w:lastColumn="1" w:noHBand="0" w:noVBand="1"/>
      </w:tblPr>
      <w:tblGrid>
        <w:gridCol w:w="4780"/>
        <w:gridCol w:w="4791"/>
      </w:tblGrid>
      <w:tr w:rsidR="00A5084D" w:rsidRPr="00E83020" w:rsidTr="00E83020">
        <w:trPr>
          <w:trHeight w:val="23"/>
        </w:trPr>
        <w:tc>
          <w:tcPr>
            <w:tcW w:w="2497" w:type="pct"/>
            <w:shd w:val="clear" w:color="auto" w:fill="auto"/>
          </w:tcPr>
          <w:p w:rsidR="00A5084D" w:rsidRPr="00E83020" w:rsidRDefault="00A5084D" w:rsidP="00E83020">
            <w:pPr>
              <w:snapToGrid w:val="0"/>
              <w:spacing w:line="360" w:lineRule="auto"/>
              <w:ind w:firstLine="0"/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  <w:t>Компенсирующие факторы</w:t>
            </w:r>
          </w:p>
        </w:tc>
        <w:tc>
          <w:tcPr>
            <w:tcW w:w="2503" w:type="pct"/>
            <w:shd w:val="clear" w:color="auto" w:fill="auto"/>
          </w:tcPr>
          <w:p w:rsidR="00A5084D" w:rsidRPr="00E83020" w:rsidRDefault="00A5084D" w:rsidP="00E83020">
            <w:pPr>
              <w:snapToGrid w:val="0"/>
              <w:spacing w:line="360" w:lineRule="auto"/>
              <w:ind w:firstLine="0"/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  <w:t>Факторы риска</w:t>
            </w:r>
          </w:p>
        </w:tc>
      </w:tr>
      <w:tr w:rsidR="00A5084D" w:rsidRPr="00E83020" w:rsidTr="00E83020">
        <w:trPr>
          <w:trHeight w:val="23"/>
        </w:trPr>
        <w:tc>
          <w:tcPr>
            <w:tcW w:w="2497" w:type="pct"/>
            <w:shd w:val="clear" w:color="auto" w:fill="auto"/>
          </w:tcPr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  <w:t xml:space="preserve">Большой размер первоначального взноса </w:t>
            </w:r>
          </w:p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  <w:t>Подтвержденная способность выделить значительную часть дохода на жилищные расходы</w:t>
            </w:r>
          </w:p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  <w:t>Перспективность и стабильность занимаемой должности, сферы деятельности, бизнеса</w:t>
            </w:r>
          </w:p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  <w:t>Возраст заемщика, профессия, уровень образования</w:t>
            </w:r>
            <w:r w:rsidR="007B03AB" w:rsidRPr="00E83020"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  <w:t xml:space="preserve"> </w:t>
            </w:r>
            <w:r w:rsidRPr="00E83020"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  <w:t xml:space="preserve">и квалификация, перспектива увеличения заработной платы и продвижения по службе </w:t>
            </w:r>
          </w:p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  <w:t>Большие активы заемщика (имущество, ценные бумаги и пр.)</w:t>
            </w:r>
          </w:p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  <w:t>Подтвержденная способность к накоплению денежных средств</w:t>
            </w:r>
          </w:p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2"/>
                <w:lang w:eastAsia="ar-SA"/>
              </w:rPr>
              <w:t>Отсутствие задолженности по ранее взятым кредитам</w:t>
            </w:r>
          </w:p>
        </w:tc>
        <w:tc>
          <w:tcPr>
            <w:tcW w:w="2503" w:type="pct"/>
            <w:shd w:val="clear" w:color="auto" w:fill="auto"/>
          </w:tcPr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napToGrid w:val="0"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  <w:t>Отсутствие стабильности в трудоустройстве (частая смена работы без увеличения дохода)</w:t>
            </w:r>
          </w:p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  <w:t xml:space="preserve">Соотношение величины обязательств в доходах заемщика превышают установленные банком критерии </w:t>
            </w:r>
          </w:p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  <w:t>Неблагоприятная кредитная история заемщика</w:t>
            </w:r>
          </w:p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  <w:t xml:space="preserve">Риски, связанные с характеристиками залогового имущества и соотношением его оценочной стоимости и суммой кредита </w:t>
            </w:r>
          </w:p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  <w:t>Специфика профессионального риска заемщика</w:t>
            </w:r>
          </w:p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  <w:t>Риск потери трудоспособности</w:t>
            </w:r>
          </w:p>
          <w:p w:rsidR="00A5084D" w:rsidRPr="00E83020" w:rsidRDefault="00A5084D" w:rsidP="00E83020">
            <w:pPr>
              <w:widowControl/>
              <w:numPr>
                <w:ilvl w:val="0"/>
                <w:numId w:val="4"/>
              </w:numPr>
              <w:tabs>
                <w:tab w:val="left" w:pos="720"/>
              </w:tabs>
              <w:suppressAutoHyphens/>
              <w:autoSpaceDE/>
              <w:autoSpaceDN/>
              <w:adjustRightInd/>
              <w:spacing w:line="360" w:lineRule="auto"/>
              <w:ind w:left="0" w:firstLine="0"/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</w:pPr>
            <w:r w:rsidRPr="00E83020"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  <w:t>Возраст заемщика</w:t>
            </w:r>
          </w:p>
          <w:p w:rsidR="00A5084D" w:rsidRPr="00E83020" w:rsidRDefault="00A5084D" w:rsidP="00E83020">
            <w:pPr>
              <w:spacing w:line="360" w:lineRule="auto"/>
              <w:ind w:firstLine="0"/>
              <w:rPr>
                <w:rFonts w:ascii="Times New Roman" w:hAnsi="Times New Roman" w:cs="Times New Roman"/>
                <w:noProof/>
                <w:color w:val="000000"/>
                <w:szCs w:val="24"/>
                <w:lang w:eastAsia="ar-SA"/>
              </w:rPr>
            </w:pPr>
          </w:p>
        </w:tc>
      </w:tr>
    </w:tbl>
    <w:p w:rsidR="00634E20" w:rsidRPr="00A60536" w:rsidRDefault="00634E20" w:rsidP="00634E20">
      <w:pPr>
        <w:widowControl/>
        <w:suppressAutoHyphens/>
        <w:autoSpaceDE/>
        <w:autoSpaceDN/>
        <w:adjustRightInd/>
        <w:spacing w:line="360" w:lineRule="auto"/>
        <w:ind w:left="360" w:firstLine="0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Только при выполнении всех условий может быть принято решение о предоставлении ипотечного кредита.</w:t>
      </w: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При решении вопроса о предоставлении ипотечного кредита во внимание принимаются так называемые компенсирующие факторы и факторы риска, основные из которых представлены в таблице 5.5. Компенсирующие факторы в целом носят субъективный характер и, следовательно, не подвергаются точной количественной оценке. Перед банком стоит задача установить: является ли компенсирующий фактор или комбинация компенсирующих факторов достаточно весомыми, чтобы скомпенсировать определенные аспекты заявления на ипотечный кредит.</w:t>
      </w: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Эксперт по андеррайтингу должен документировать свои рекомендации кредитному комитету по одобрению или отказу в выдаче ипотечного жилищного кредита.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При положительном решении рассчитывается максимально допустимая сумма кредита.</w: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Сумма кредита = </w:t>
      </w:r>
      <w:r w:rsidR="00DA1339"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 id="_x0000_i1030" type="#_x0000_t75" style="width:113.25pt;height:30.75pt">
            <v:imagedata r:id="rId12" o:title=""/>
          </v:shape>
        </w:pic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где </w:t>
      </w: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n- число платежных периодов </w:t>
      </w:r>
      <w:r w:rsidR="007B03AB"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(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месяцев при ежемесячном погашении)</w:t>
      </w:r>
      <w:r w:rsidR="007B03AB"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i- Процентная ставка за соответствующий период (в месяц)</w:t>
      </w:r>
      <w:r w:rsidR="007B03AB"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;</w:t>
      </w: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П- максимально допустимая сумма ежемесячного аннуитетного платежа по кредиту, включающего платежи по основному долгу и процентов.</w:t>
      </w: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Четвертый этап</w:t>
      </w: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Кредитный комитет изучает кредитное дело потенциального клиента, заключение юриста о приемлемости предмета залога, заключение специалиста по оценке вероятности погашения кредита, выносит решение: кредит выдать, выдать при условии, отказать.</w:t>
      </w:r>
    </w:p>
    <w:p w:rsidR="007B03AB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Пятый этап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Заключение кредитной сделки включает в себя три основных момента.</w:t>
      </w:r>
    </w:p>
    <w:p w:rsidR="00A5084D" w:rsidRPr="00A60536" w:rsidRDefault="00A5084D" w:rsidP="007B03AB">
      <w:pPr>
        <w:widowControl/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Заключение кредитного договора о договора залога.</w:t>
      </w:r>
    </w:p>
    <w:p w:rsidR="00A5084D" w:rsidRPr="00A60536" w:rsidRDefault="00A5084D" w:rsidP="007B03AB">
      <w:pPr>
        <w:widowControl/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Государственная регистрация договора залога. Ипотека должна быть зарегистрирована в течение одного месяца со дня поступления необходимых для ее регистрации документов в орган, осуществляющий государственную регистрацию ипотеки.</w:t>
      </w:r>
      <w:r w:rsidRPr="00A60536">
        <w:rPr>
          <w:rStyle w:val="ab"/>
          <w:rFonts w:ascii="Times New Roman" w:hAnsi="Times New Roman" w:cs="Times New Roman"/>
          <w:noProof/>
          <w:color w:val="000000"/>
          <w:sz w:val="28"/>
          <w:szCs w:val="28"/>
        </w:rPr>
        <w:footnoteReference w:id="4"/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Государственная регистрация ипотеки осуществляется путем совершения регистрационной записи об ипотеке в Едином государственном реестре прав на недвижимое имущество. День совершения данной регистрационной записи считается датой государственной регистрации ипотеки.</w:t>
      </w:r>
    </w:p>
    <w:p w:rsidR="00A5084D" w:rsidRPr="00A60536" w:rsidRDefault="00A5084D" w:rsidP="007B03AB">
      <w:pPr>
        <w:widowControl/>
        <w:numPr>
          <w:ilvl w:val="0"/>
          <w:numId w:val="2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Заключение договора страхования. Комплект документов, регулирующих взаимоотношения сторон при страховании в процессе ипотечного кредитования, должен включать:</w:t>
      </w:r>
    </w:p>
    <w:p w:rsidR="00A5084D" w:rsidRPr="00A60536" w:rsidRDefault="00A5084D" w:rsidP="007B03AB">
      <w:pPr>
        <w:widowControl/>
        <w:numPr>
          <w:ilvl w:val="0"/>
          <w:numId w:val="15"/>
        </w:numPr>
        <w:tabs>
          <w:tab w:val="left" w:pos="126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Договор страхования (полис) жизни и потери трудоспособности заемщика (личное страхование заемщика).</w:t>
      </w:r>
    </w:p>
    <w:p w:rsidR="00A5084D" w:rsidRPr="00A60536" w:rsidRDefault="00A5084D" w:rsidP="007B03AB">
      <w:pPr>
        <w:widowControl/>
        <w:numPr>
          <w:ilvl w:val="0"/>
          <w:numId w:val="15"/>
        </w:numPr>
        <w:tabs>
          <w:tab w:val="left" w:pos="126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Договор страхования (полис) риска утраты и повреждения квартиры – предмета залога (имущественное страхование).</w:t>
      </w:r>
    </w:p>
    <w:p w:rsidR="00A5084D" w:rsidRPr="00A60536" w:rsidRDefault="00A5084D" w:rsidP="007B03AB">
      <w:pPr>
        <w:widowControl/>
        <w:numPr>
          <w:ilvl w:val="0"/>
          <w:numId w:val="15"/>
        </w:numPr>
        <w:tabs>
          <w:tab w:val="left" w:pos="126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Договор страхования (полис) права собственности владельца квартиры – предмета залога (имущественное страхование).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Шестой этап. </w:t>
      </w:r>
    </w:p>
    <w:p w:rsidR="00A5084D" w:rsidRPr="00A60536" w:rsidRDefault="000D74C7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Э</w:t>
      </w:r>
      <w:r w:rsidR="00A5084D"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тап обслуживания ипотечного кредита. В течение кредитного периода кредитор следит за своевременностью выполнения заемщиком своих обязательств, а также имеет право контролировать состояние недвижимого имущества, служащего обеспечением по кредиту.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Обслуживание ипотечного кредита банком включает в себя:</w:t>
      </w:r>
    </w:p>
    <w:p w:rsidR="00A5084D" w:rsidRPr="00A60536" w:rsidRDefault="00A5084D" w:rsidP="007B03AB">
      <w:pPr>
        <w:widowControl/>
        <w:numPr>
          <w:ilvl w:val="0"/>
          <w:numId w:val="7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Сбор ежемесячных платежей по кредиту и страховке (списание со счета, вычет из зарплаты, платеж наличными);</w:t>
      </w:r>
    </w:p>
    <w:p w:rsidR="00A5084D" w:rsidRPr="00A60536" w:rsidRDefault="00A5084D" w:rsidP="007B03AB">
      <w:pPr>
        <w:widowControl/>
        <w:numPr>
          <w:ilvl w:val="0"/>
          <w:numId w:val="7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Составление графика ежемесячных платежей для заемщика (на весь срок кредита, ежегодно, при изменении условий);</w:t>
      </w:r>
    </w:p>
    <w:p w:rsidR="00A5084D" w:rsidRPr="00A60536" w:rsidRDefault="00A5084D" w:rsidP="007B03AB">
      <w:pPr>
        <w:widowControl/>
        <w:numPr>
          <w:ilvl w:val="0"/>
          <w:numId w:val="7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Ведение отчетности по выданным кредитам (остаток основного долга, погашение основного долга и процентов);</w:t>
      </w:r>
    </w:p>
    <w:p w:rsidR="00A5084D" w:rsidRPr="00A60536" w:rsidRDefault="00A5084D" w:rsidP="007B03AB">
      <w:pPr>
        <w:widowControl/>
        <w:numPr>
          <w:ilvl w:val="0"/>
          <w:numId w:val="7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Оформление долгосрочных</w:t>
      </w:r>
      <w:r w:rsidR="007B03AB"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платежей в погашение кредита (полный или частичный досрочный платеж, пересчет графика, штраф);</w:t>
      </w:r>
    </w:p>
    <w:p w:rsidR="00A5084D" w:rsidRPr="00A60536" w:rsidRDefault="00A5084D" w:rsidP="007B03AB">
      <w:pPr>
        <w:widowControl/>
        <w:numPr>
          <w:ilvl w:val="0"/>
          <w:numId w:val="7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Создание резерва по кредитам (1-2 группа риска);</w:t>
      </w:r>
    </w:p>
    <w:p w:rsidR="00A5084D" w:rsidRPr="00A60536" w:rsidRDefault="00A5084D" w:rsidP="007B03AB">
      <w:pPr>
        <w:widowControl/>
        <w:numPr>
          <w:ilvl w:val="0"/>
          <w:numId w:val="7"/>
        </w:numPr>
        <w:tabs>
          <w:tab w:val="left" w:pos="720"/>
        </w:tabs>
        <w:suppressAutoHyphens/>
        <w:autoSpaceDE/>
        <w:autoSpaceDN/>
        <w:adjustRightInd/>
        <w:spacing w:line="360" w:lineRule="auto"/>
        <w:ind w:left="0"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работа с проблемными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кредитами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(переговоры, добровольная продажа имущества и погашение кредита, взыскание непогашенного в срок остатка долга).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Таким образом, операции в области ипотечного кредита требуют от персонала банка высокой квалификации, специальных знаний. Поэтому для успешной деятельности в области ипотечного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жилочного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 xml:space="preserve"> кредитования в банках создаются соответствующие структурные подразделения, проводится постоянное повышение квалификации работников банка.</w:t>
      </w:r>
    </w:p>
    <w:p w:rsidR="00A5084D" w:rsidRPr="00A60536" w:rsidRDefault="00A5084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  <w:lang w:eastAsia="ar-SA"/>
        </w:rPr>
        <w:t>Седьмой этап</w:t>
      </w:r>
    </w:p>
    <w:p w:rsidR="00EE45FD" w:rsidRPr="00A60536" w:rsidRDefault="00EE45FD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Закрытие кредитной сделки - заключительный этап ипотечного кредитования. После полного погашения задолженности по кредиту, уплаты начисленных процентов и штрафных санкций ссудный счет заемщика обнуляется, и, таким образом, происходит закрытие кредитной сделки, следовательно, ипотека прекращается, о чем делается запись в Государственном реестре России. Если заемщик и залогодатель не выполняют условий кредитного договора или договора об ипотеке, кредитор обращает взыскание на заложенную недвижимость в судебном или внесудебном порядке. Предмет ипотеки реализуется. Полученные от реализации средства идут на погашение долга кредитору (основной суммы долга, процентов, штрафов, пеней), на расходы по процедуре обращения взыскания и продажи предмета ипотеки. Оставшиеся средства получает заемщик.</w:t>
      </w:r>
    </w:p>
    <w:p w:rsidR="00E34461" w:rsidRPr="00A60536" w:rsidRDefault="00E34461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E34461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E34461" w:rsidRPr="00A60536">
        <w:rPr>
          <w:rFonts w:ascii="Times New Roman" w:hAnsi="Times New Roman" w:cs="Times New Roman"/>
          <w:noProof/>
          <w:color w:val="000000"/>
          <w:sz w:val="28"/>
        </w:rPr>
        <w:t>Заключение</w:t>
      </w:r>
    </w:p>
    <w:p w:rsidR="00E34461" w:rsidRPr="00A60536" w:rsidRDefault="00E34461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7B03AB" w:rsidRPr="00A60536" w:rsidRDefault="00145E71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Макроэкономические условия, сложившиеся в России в результате финансового кризиса 1998 года, еще более усиливают важность развития долгосрочного ипотечного жилищного кредитования населения уже не как отдельных инициатив коммерческих банков или регионов, а как целостной системы при непосредственном воздействии государства.</w:t>
      </w:r>
    </w:p>
    <w:p w:rsidR="007B03AB" w:rsidRPr="00A60536" w:rsidRDefault="00145E71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На основе настоящей Концепции могут быть приняты региональные программы жилищного кредитования. </w:t>
      </w:r>
    </w:p>
    <w:p w:rsidR="00145E71" w:rsidRPr="00A60536" w:rsidRDefault="00145E71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Ипотечное кредитование – один из самых проверенных в мировой практике и надежных способов привлечения частных инвестиций в жилищную сферу. Именно ипотека позволяет наиболее выгодно сочетать интересы населения в улучшении жилищных условий, коммерческих банков и других кредиторов – в эффективной и прибыльной работе, строительного комплекса – в ритмичной загрузке производства и, конечно, государства, заинтересованного в общем экономическом росте. </w:t>
      </w:r>
    </w:p>
    <w:p w:rsidR="00E34461" w:rsidRPr="00A60536" w:rsidRDefault="00E34461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  <w:szCs w:val="28"/>
        </w:rPr>
      </w:pPr>
    </w:p>
    <w:p w:rsidR="00E34461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br w:type="page"/>
      </w:r>
      <w:r w:rsidR="00E34461" w:rsidRPr="00A60536">
        <w:rPr>
          <w:rFonts w:ascii="Times New Roman" w:hAnsi="Times New Roman" w:cs="Times New Roman"/>
          <w:noProof/>
          <w:color w:val="000000"/>
          <w:sz w:val="28"/>
        </w:rPr>
        <w:t>Литература</w:t>
      </w:r>
    </w:p>
    <w:p w:rsidR="00634E20" w:rsidRPr="00A60536" w:rsidRDefault="00634E20" w:rsidP="007B03AB">
      <w:pPr>
        <w:spacing w:line="360" w:lineRule="auto"/>
        <w:ind w:firstLine="709"/>
        <w:rPr>
          <w:rFonts w:ascii="Times New Roman" w:hAnsi="Times New Roman" w:cs="Times New Roman"/>
          <w:noProof/>
          <w:color w:val="000000"/>
          <w:sz w:val="28"/>
        </w:rPr>
      </w:pPr>
    </w:p>
    <w:p w:rsidR="005C6CB1" w:rsidRPr="00A60536" w:rsidRDefault="005C6CB1" w:rsidP="00634E20">
      <w:pPr>
        <w:spacing w:line="360" w:lineRule="auto"/>
        <w:ind w:firstLine="0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 xml:space="preserve">1) Грудцына Л.Ю, Козлова М.Н. Ипотека. Кредит. Комментарии жилищного законодательства. – М.: Изд-во Эксмо, 2006. – 368с. </w:t>
      </w:r>
    </w:p>
    <w:p w:rsidR="005C6CB1" w:rsidRPr="00A60536" w:rsidRDefault="005C6CB1" w:rsidP="00634E20">
      <w:pPr>
        <w:spacing w:line="360" w:lineRule="auto"/>
        <w:ind w:firstLine="0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2)</w:t>
      </w:r>
      <w:r w:rsidR="007B03AB" w:rsidRPr="00A60536">
        <w:rPr>
          <w:rFonts w:ascii="Times New Roman" w:hAnsi="Times New Roman" w:cs="Times New Roman"/>
          <w:noProof/>
          <w:color w:val="000000"/>
          <w:sz w:val="28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</w:rPr>
        <w:t>Довдиенко. И.В. Ипотека. Управление. Организация. Оценка: - М.: ЮНИТИ - ДАНА, 2005.-464с.</w:t>
      </w:r>
    </w:p>
    <w:p w:rsidR="005C6CB1" w:rsidRPr="00A60536" w:rsidRDefault="005C6CB1" w:rsidP="00634E20">
      <w:pPr>
        <w:spacing w:line="360" w:lineRule="auto"/>
        <w:ind w:firstLine="0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>3) Разумова И.А. Ипотечное кредитование: Учебное пособие.- СПБ.: Питер, 2005 – 280с.</w:t>
      </w:r>
    </w:p>
    <w:p w:rsidR="005C6CB1" w:rsidRPr="00A60536" w:rsidRDefault="005C6CB1" w:rsidP="00634E20">
      <w:pPr>
        <w:pStyle w:val="ac"/>
        <w:spacing w:line="360" w:lineRule="auto"/>
        <w:jc w:val="both"/>
        <w:rPr>
          <w:rFonts w:ascii="Times New Roman" w:hAnsi="Times New Roman" w:cs="Times New Roman"/>
          <w:noProof/>
          <w:color w:val="000000"/>
          <w:sz w:val="28"/>
        </w:rPr>
      </w:pPr>
      <w:r w:rsidRPr="00A60536">
        <w:rPr>
          <w:rFonts w:ascii="Times New Roman" w:hAnsi="Times New Roman" w:cs="Times New Roman"/>
          <w:noProof/>
          <w:color w:val="000000"/>
          <w:sz w:val="28"/>
        </w:rPr>
        <w:t xml:space="preserve">4)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Филиппова</w:t>
      </w:r>
      <w:r w:rsidR="007B03AB"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A60536">
        <w:rPr>
          <w:rFonts w:ascii="Times New Roman" w:hAnsi="Times New Roman" w:cs="Times New Roman"/>
          <w:noProof/>
          <w:color w:val="000000"/>
          <w:sz w:val="28"/>
          <w:szCs w:val="28"/>
        </w:rPr>
        <w:t>Е.С. Жилищное право: Учебник для вузов. - "Юстицинформ", 2007 г. – 179с.</w:t>
      </w:r>
      <w:bookmarkStart w:id="2" w:name="_GoBack"/>
      <w:bookmarkEnd w:id="2"/>
    </w:p>
    <w:sectPr w:rsidR="005C6CB1" w:rsidRPr="00A60536" w:rsidSect="00634E20">
      <w:footerReference w:type="even" r:id="rId13"/>
      <w:footerReference w:type="default" r:id="rId1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3020" w:rsidRDefault="00E83020">
      <w:r>
        <w:separator/>
      </w:r>
    </w:p>
  </w:endnote>
  <w:endnote w:type="continuationSeparator" w:id="0">
    <w:p w:rsidR="00E83020" w:rsidRDefault="00E8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61" w:rsidRDefault="00E34461" w:rsidP="00076954">
    <w:pPr>
      <w:pStyle w:val="a4"/>
      <w:framePr w:wrap="around" w:vAnchor="text" w:hAnchor="margin" w:xAlign="right" w:y="1"/>
      <w:rPr>
        <w:rStyle w:val="a6"/>
        <w:rFonts w:cs="Arial"/>
      </w:rPr>
    </w:pPr>
  </w:p>
  <w:p w:rsidR="00E34461" w:rsidRDefault="00E34461" w:rsidP="00EE45F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461" w:rsidRDefault="00652258" w:rsidP="00076954">
    <w:pPr>
      <w:pStyle w:val="a4"/>
      <w:framePr w:wrap="around" w:vAnchor="text" w:hAnchor="margin" w:xAlign="right" w:y="1"/>
      <w:rPr>
        <w:rStyle w:val="a6"/>
        <w:rFonts w:cs="Arial"/>
      </w:rPr>
    </w:pPr>
    <w:r>
      <w:rPr>
        <w:rStyle w:val="a6"/>
        <w:rFonts w:cs="Arial"/>
        <w:noProof/>
      </w:rPr>
      <w:t>2</w:t>
    </w:r>
  </w:p>
  <w:p w:rsidR="00E34461" w:rsidRDefault="00E34461" w:rsidP="00EE45F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3020" w:rsidRDefault="00E83020">
      <w:r>
        <w:separator/>
      </w:r>
    </w:p>
  </w:footnote>
  <w:footnote w:type="continuationSeparator" w:id="0">
    <w:p w:rsidR="00E83020" w:rsidRDefault="00E83020">
      <w:r>
        <w:continuationSeparator/>
      </w:r>
    </w:p>
  </w:footnote>
  <w:footnote w:id="1">
    <w:p w:rsidR="00E83020" w:rsidRDefault="00E34461" w:rsidP="00A5084D">
      <w:pPr>
        <w:pStyle w:val="a9"/>
      </w:pPr>
      <w:r>
        <w:rPr>
          <w:rStyle w:val="ab"/>
        </w:rPr>
        <w:footnoteRef/>
      </w:r>
      <w:r>
        <w:t xml:space="preserve"> Подробнее  коэффициент ипотечной задолженности будет рассмотрен ниже.</w:t>
      </w:r>
    </w:p>
  </w:footnote>
  <w:footnote w:id="2">
    <w:p w:rsidR="00E83020" w:rsidRDefault="00E34461" w:rsidP="00A5084D">
      <w:pPr>
        <w:pStyle w:val="a9"/>
      </w:pPr>
      <w:r>
        <w:rPr>
          <w:rStyle w:val="ab"/>
        </w:rPr>
        <w:footnoteRef/>
      </w:r>
      <w:r>
        <w:t xml:space="preserve"> ПМ – величина прожиточного минимума в расчёте на душу населения в Санкт-Петербурге, устанавливаемого распоряжением Правительства Санкт-Петербурга (Комитет по труду и социальной защите населения). </w:t>
      </w:r>
    </w:p>
  </w:footnote>
  <w:footnote w:id="3">
    <w:p w:rsidR="00E83020" w:rsidRDefault="00E34461" w:rsidP="00A5084D">
      <w:pPr>
        <w:pStyle w:val="a9"/>
      </w:pPr>
      <w:r>
        <w:rPr>
          <w:rStyle w:val="ab"/>
        </w:rPr>
        <w:footnoteRef/>
      </w:r>
      <w:r>
        <w:t xml:space="preserve"> Годовые платежи делятся на 12 и учитываются как ежемесячные. Могут накапливаться на депозитном счёте.</w:t>
      </w:r>
    </w:p>
  </w:footnote>
  <w:footnote w:id="4">
    <w:p w:rsidR="00E83020" w:rsidRDefault="00E34461" w:rsidP="00A5084D">
      <w:pPr>
        <w:pStyle w:val="a9"/>
      </w:pPr>
      <w:r>
        <w:rPr>
          <w:rStyle w:val="ab"/>
        </w:rPr>
        <w:footnoteRef/>
      </w:r>
      <w:r>
        <w:t xml:space="preserve"> В  Санкт- Петербурге это Городское бюро регистрации Санкт-Петербурга.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637C03DE"/>
    <w:name w:val="WW8Num4"/>
    <w:lvl w:ilvl="0">
      <w:start w:val="1"/>
      <w:numFmt w:val="upperRoman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A"/>
    <w:multiLevelType w:val="multilevel"/>
    <w:tmpl w:val="0000000A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7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0000C"/>
    <w:multiLevelType w:val="multilevel"/>
    <w:tmpl w:val="0000000C"/>
    <w:lvl w:ilvl="0">
      <w:start w:val="1"/>
      <w:numFmt w:val="bullet"/>
      <w:lvlText w:val=""/>
      <w:lvlJc w:val="left"/>
      <w:pPr>
        <w:tabs>
          <w:tab w:val="num" w:pos="420"/>
        </w:tabs>
        <w:ind w:left="4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140"/>
        </w:tabs>
        <w:ind w:left="114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860"/>
        </w:tabs>
        <w:ind w:left="186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2580"/>
        </w:tabs>
        <w:ind w:left="258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3300"/>
        </w:tabs>
        <w:ind w:left="330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4020"/>
        </w:tabs>
        <w:ind w:left="40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4740"/>
        </w:tabs>
        <w:ind w:left="474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5460"/>
        </w:tabs>
        <w:ind w:left="546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6180"/>
        </w:tabs>
        <w:ind w:left="6180" w:hanging="360"/>
      </w:pPr>
      <w:rPr>
        <w:rFonts w:ascii="StarSymbol" w:eastAsia="StarSymbol"/>
        <w:sz w:val="18"/>
      </w:rPr>
    </w:lvl>
  </w:abstractNum>
  <w:abstractNum w:abstractNumId="9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rFonts w:cs="Times New Roman"/>
      </w:rPr>
    </w:lvl>
  </w:abstractNum>
  <w:abstractNum w:abstractNumId="10">
    <w:nsid w:val="0000000E"/>
    <w:multiLevelType w:val="multilevel"/>
    <w:tmpl w:val="0000000E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1">
    <w:nsid w:val="00000010"/>
    <w:multiLevelType w:val="multilevel"/>
    <w:tmpl w:val="00000010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12">
    <w:nsid w:val="00014F6A"/>
    <w:multiLevelType w:val="hybridMultilevel"/>
    <w:tmpl w:val="CA68A3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2800471"/>
    <w:multiLevelType w:val="hybridMultilevel"/>
    <w:tmpl w:val="044E5CA2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4">
    <w:nsid w:val="09B218EE"/>
    <w:multiLevelType w:val="hybridMultilevel"/>
    <w:tmpl w:val="BE52DA68"/>
    <w:lvl w:ilvl="0" w:tplc="0419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15">
    <w:nsid w:val="31D32DCA"/>
    <w:multiLevelType w:val="hybridMultilevel"/>
    <w:tmpl w:val="32E25408"/>
    <w:lvl w:ilvl="0" w:tplc="041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6">
    <w:nsid w:val="74FE7755"/>
    <w:multiLevelType w:val="hybridMultilevel"/>
    <w:tmpl w:val="4E14A4F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6"/>
  </w:num>
  <w:num w:numId="16">
    <w:abstractNumId w:val="15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303A"/>
    <w:rsid w:val="00076954"/>
    <w:rsid w:val="000D74C7"/>
    <w:rsid w:val="00145E71"/>
    <w:rsid w:val="002207A3"/>
    <w:rsid w:val="00255035"/>
    <w:rsid w:val="00326B08"/>
    <w:rsid w:val="0037355A"/>
    <w:rsid w:val="003A2D2D"/>
    <w:rsid w:val="005571FD"/>
    <w:rsid w:val="005C6CB1"/>
    <w:rsid w:val="005D303A"/>
    <w:rsid w:val="00634E20"/>
    <w:rsid w:val="00652258"/>
    <w:rsid w:val="006B3820"/>
    <w:rsid w:val="00752C9D"/>
    <w:rsid w:val="007B03AB"/>
    <w:rsid w:val="0088185F"/>
    <w:rsid w:val="008D718E"/>
    <w:rsid w:val="00A5084D"/>
    <w:rsid w:val="00A60536"/>
    <w:rsid w:val="00CA02DC"/>
    <w:rsid w:val="00DA1339"/>
    <w:rsid w:val="00E34461"/>
    <w:rsid w:val="00E56067"/>
    <w:rsid w:val="00E83020"/>
    <w:rsid w:val="00EE13E2"/>
    <w:rsid w:val="00EE4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B9056A3F-0EB2-4921-84B8-A5C68AA6E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5F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EE45FD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3">
    <w:name w:val="Таблицы (моноширинный)"/>
    <w:basedOn w:val="a"/>
    <w:next w:val="a"/>
    <w:rsid w:val="00EE45FD"/>
    <w:pPr>
      <w:ind w:firstLine="0"/>
    </w:pPr>
    <w:rPr>
      <w:rFonts w:ascii="Courier New" w:hAnsi="Courier New" w:cs="Courier New"/>
    </w:rPr>
  </w:style>
  <w:style w:type="paragraph" w:styleId="a4">
    <w:name w:val="footer"/>
    <w:basedOn w:val="a"/>
    <w:link w:val="a5"/>
    <w:uiPriority w:val="99"/>
    <w:rsid w:val="00EE45F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rFonts w:ascii="Arial" w:hAnsi="Arial" w:cs="Arial"/>
    </w:rPr>
  </w:style>
  <w:style w:type="character" w:styleId="a6">
    <w:name w:val="page number"/>
    <w:uiPriority w:val="99"/>
    <w:rsid w:val="00EE45FD"/>
    <w:rPr>
      <w:rFonts w:cs="Times New Roman"/>
    </w:rPr>
  </w:style>
  <w:style w:type="table" w:styleId="a7">
    <w:name w:val="Table Grid"/>
    <w:basedOn w:val="a1"/>
    <w:uiPriority w:val="59"/>
    <w:rsid w:val="00EE13E2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Содержимое таблицы"/>
    <w:basedOn w:val="a"/>
    <w:rsid w:val="00A5084D"/>
    <w:pPr>
      <w:widowControl/>
      <w:suppressLineNumbers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a9">
    <w:name w:val="footnote text"/>
    <w:basedOn w:val="a"/>
    <w:link w:val="aa"/>
    <w:uiPriority w:val="99"/>
    <w:semiHidden/>
    <w:rsid w:val="00A5084D"/>
    <w:pPr>
      <w:widowControl/>
      <w:suppressAutoHyphens/>
      <w:autoSpaceDE/>
      <w:autoSpaceDN/>
      <w:adjustRightInd/>
      <w:ind w:firstLine="0"/>
      <w:jc w:val="left"/>
    </w:pPr>
    <w:rPr>
      <w:rFonts w:ascii="Times New Roman" w:hAnsi="Times New Roman" w:cs="Times New Roman"/>
      <w:lang w:eastAsia="ar-SA"/>
    </w:rPr>
  </w:style>
  <w:style w:type="character" w:customStyle="1" w:styleId="aa">
    <w:name w:val="Текст сноски Знак"/>
    <w:link w:val="a9"/>
    <w:uiPriority w:val="99"/>
    <w:semiHidden/>
    <w:rPr>
      <w:rFonts w:ascii="Arial" w:hAnsi="Arial" w:cs="Arial"/>
    </w:rPr>
  </w:style>
  <w:style w:type="character" w:styleId="ab">
    <w:name w:val="footnote reference"/>
    <w:uiPriority w:val="99"/>
    <w:semiHidden/>
    <w:rsid w:val="00A5084D"/>
    <w:rPr>
      <w:vertAlign w:val="superscript"/>
    </w:rPr>
  </w:style>
  <w:style w:type="paragraph" w:customStyle="1" w:styleId="ac">
    <w:name w:val="Прижатый влево"/>
    <w:basedOn w:val="a"/>
    <w:next w:val="a"/>
    <w:rsid w:val="005C6CB1"/>
    <w:pPr>
      <w:ind w:firstLine="0"/>
      <w:jc w:val="left"/>
    </w:pPr>
  </w:style>
  <w:style w:type="paragraph" w:styleId="ad">
    <w:name w:val="header"/>
    <w:basedOn w:val="a"/>
    <w:link w:val="ae"/>
    <w:uiPriority w:val="99"/>
    <w:rsid w:val="007B03A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locked/>
    <w:rsid w:val="007B03AB"/>
    <w:rPr>
      <w:rFonts w:ascii="Arial" w:hAnsi="Arial"/>
    </w:rPr>
  </w:style>
  <w:style w:type="table" w:styleId="af">
    <w:name w:val="Table Professional"/>
    <w:basedOn w:val="a1"/>
    <w:uiPriority w:val="99"/>
    <w:rsid w:val="00634E20"/>
    <w:pPr>
      <w:widowControl w:val="0"/>
      <w:autoSpaceDE w:val="0"/>
      <w:autoSpaceDN w:val="0"/>
      <w:adjustRightInd w:val="0"/>
      <w:ind w:firstLine="72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15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3702</Words>
  <Characters>21103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8</Company>
  <LinksUpToDate>false</LinksUpToDate>
  <CharactersWithSpaces>24756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admin</cp:lastModifiedBy>
  <cp:revision>2</cp:revision>
  <dcterms:created xsi:type="dcterms:W3CDTF">2014-03-06T14:57:00Z</dcterms:created>
  <dcterms:modified xsi:type="dcterms:W3CDTF">2014-03-06T14:57:00Z</dcterms:modified>
</cp:coreProperties>
</file>