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F6A" w:rsidRPr="003620C0" w:rsidRDefault="00800F6A" w:rsidP="003620C0">
      <w:pPr>
        <w:pStyle w:val="aa"/>
      </w:pPr>
      <w:r w:rsidRPr="003620C0">
        <w:t>Содержание</w:t>
      </w:r>
    </w:p>
    <w:p w:rsidR="00800F6A" w:rsidRPr="003620C0" w:rsidRDefault="00800F6A" w:rsidP="003620C0">
      <w:pPr>
        <w:pStyle w:val="aa"/>
      </w:pPr>
    </w:p>
    <w:p w:rsidR="00800F6A" w:rsidRPr="003620C0" w:rsidRDefault="00800F6A" w:rsidP="00A5391E">
      <w:pPr>
        <w:pStyle w:val="aa"/>
        <w:numPr>
          <w:ilvl w:val="0"/>
          <w:numId w:val="2"/>
        </w:numPr>
        <w:ind w:left="0" w:firstLine="0"/>
        <w:jc w:val="left"/>
      </w:pPr>
      <w:r w:rsidRPr="003620C0">
        <w:t>Транспортный налог………………</w:t>
      </w:r>
      <w:r w:rsidR="009629CE">
        <w:t>……..………………………………...2</w:t>
      </w:r>
    </w:p>
    <w:p w:rsidR="00800F6A" w:rsidRPr="003620C0" w:rsidRDefault="00800F6A" w:rsidP="00A5391E">
      <w:pPr>
        <w:pStyle w:val="aa"/>
        <w:numPr>
          <w:ilvl w:val="0"/>
          <w:numId w:val="2"/>
        </w:numPr>
        <w:ind w:left="0" w:firstLine="0"/>
        <w:jc w:val="left"/>
      </w:pPr>
      <w:r w:rsidRPr="003620C0">
        <w:t>Порядок исчисления, уплаты и зачисления транспортного налога</w:t>
      </w:r>
      <w:r w:rsidR="00A5391E">
        <w:t>……</w:t>
      </w:r>
      <w:r w:rsidR="009629CE">
        <w:t>.</w:t>
      </w:r>
      <w:r w:rsidRPr="003620C0">
        <w:t>6</w:t>
      </w:r>
    </w:p>
    <w:p w:rsidR="00800F6A" w:rsidRPr="003620C0" w:rsidRDefault="00800F6A" w:rsidP="00A5391E">
      <w:pPr>
        <w:pStyle w:val="aa"/>
        <w:numPr>
          <w:ilvl w:val="0"/>
          <w:numId w:val="2"/>
        </w:numPr>
        <w:ind w:left="0" w:firstLine="0"/>
        <w:jc w:val="left"/>
      </w:pPr>
      <w:r w:rsidRPr="003620C0">
        <w:t>Практическая часть (Вариант 3)</w:t>
      </w:r>
      <w:r w:rsidR="00A5391E">
        <w:t>…………………………………………</w:t>
      </w:r>
      <w:r w:rsidRPr="003620C0">
        <w:t>1</w:t>
      </w:r>
      <w:r w:rsidR="009629CE">
        <w:t>1</w:t>
      </w:r>
    </w:p>
    <w:p w:rsidR="003620C0" w:rsidRPr="003620C0" w:rsidRDefault="003620C0" w:rsidP="003620C0">
      <w:pPr>
        <w:pStyle w:val="aa"/>
        <w:ind w:firstLine="0"/>
        <w:jc w:val="left"/>
      </w:pPr>
      <w:r w:rsidRPr="003620C0">
        <w:t>Заключение………………………………………………………………………</w:t>
      </w:r>
      <w:r w:rsidR="009629CE">
        <w:t>.</w:t>
      </w:r>
      <w:r w:rsidRPr="003620C0">
        <w:t>1</w:t>
      </w:r>
      <w:r w:rsidR="009629CE">
        <w:t>4</w:t>
      </w:r>
    </w:p>
    <w:p w:rsidR="003620C0" w:rsidRPr="003620C0" w:rsidRDefault="003620C0" w:rsidP="003620C0">
      <w:pPr>
        <w:pStyle w:val="aa"/>
        <w:ind w:firstLine="0"/>
        <w:jc w:val="left"/>
      </w:pPr>
      <w:r w:rsidRPr="003620C0">
        <w:t>Список</w:t>
      </w:r>
      <w:r>
        <w:t xml:space="preserve"> </w:t>
      </w:r>
      <w:r w:rsidRPr="003620C0">
        <w:t>литературы…………………………………………………………….</w:t>
      </w:r>
      <w:r w:rsidR="009629CE">
        <w:t>..</w:t>
      </w:r>
      <w:r w:rsidRPr="003620C0">
        <w:t>.1</w:t>
      </w:r>
      <w:r w:rsidR="009629CE">
        <w:t>5</w:t>
      </w:r>
    </w:p>
    <w:p w:rsidR="00800F6A" w:rsidRPr="003620C0" w:rsidRDefault="00800F6A" w:rsidP="003620C0">
      <w:pPr>
        <w:pStyle w:val="aa"/>
        <w:ind w:firstLine="0"/>
        <w:jc w:val="left"/>
      </w:pPr>
    </w:p>
    <w:p w:rsidR="00304C93" w:rsidRPr="003620C0" w:rsidRDefault="003620C0" w:rsidP="003620C0">
      <w:pPr>
        <w:pStyle w:val="aa"/>
      </w:pPr>
      <w:r>
        <w:br w:type="page"/>
      </w:r>
      <w:r w:rsidR="00A5391E">
        <w:t xml:space="preserve">1. </w:t>
      </w:r>
      <w:r w:rsidR="00800F6A" w:rsidRPr="003620C0">
        <w:t>Транспортный налог</w:t>
      </w:r>
    </w:p>
    <w:p w:rsidR="008C52DA" w:rsidRPr="003620C0" w:rsidRDefault="008C52DA" w:rsidP="003620C0">
      <w:pPr>
        <w:pStyle w:val="aa"/>
      </w:pPr>
    </w:p>
    <w:p w:rsidR="00C90C54" w:rsidRPr="003620C0" w:rsidRDefault="00304C93" w:rsidP="003620C0">
      <w:pPr>
        <w:pStyle w:val="aa"/>
      </w:pPr>
      <w:r w:rsidRPr="003620C0">
        <w:t>Налогообложение транспорта имеет свои исторические корни и берет начало от налогообложения имущества граждан как материально овеществленного дохода. Налоги на средства передвижения возникли гораздо позже налогов на недвижимое имущество, поэтому механизм их взимания не отличается высокой степенью сложности. Появление этого вида имущественных налогов связано с обнаружением дифференциации в доходах граждан: приобретение простейшего автоматического транспорта (налог на велосипеды) требовало от владельца значительных первоначальных денежных вложений, что косвенно свидетельствовало о достатке хозяина, а льготы имели лишь отдельные граждане в зависимости от профессии (почтальоны, врачи). Сейчас налоги на движимое имущество носят целевой характер и выполняют, скорее, фискально-экономическую задачу аккумулирования бюджетных средств в виде дорожных фондов для строительства дорог общего пользования и транспортных коммуникаций.</w:t>
      </w:r>
      <w:r w:rsidR="00DC5AF8" w:rsidRPr="003620C0">
        <w:footnoteReference w:id="1"/>
      </w:r>
    </w:p>
    <w:p w:rsidR="006C65C6" w:rsidRPr="003620C0" w:rsidRDefault="00304C93" w:rsidP="003620C0">
      <w:pPr>
        <w:pStyle w:val="aa"/>
      </w:pPr>
      <w:r w:rsidRPr="003620C0">
        <w:t>Однако с помощью этого вида налогов региональные органы власти могут осуществлять еще и регулирование экономических процессов: например, поддерживать региональных автопроизводителей, стимулируя покупку недорогих в эксплуатации автосредств, а также решать проблемы экологии, направляя средства на создание новых, безопасных для природы двигателей.</w:t>
      </w:r>
    </w:p>
    <w:p w:rsidR="003620C0" w:rsidRDefault="003A3749" w:rsidP="003620C0">
      <w:pPr>
        <w:pStyle w:val="aa"/>
      </w:pPr>
      <w:r w:rsidRPr="003620C0">
        <w:t>До 1 января 2003</w:t>
      </w:r>
      <w:r w:rsidR="00DC5AF8" w:rsidRPr="003620C0">
        <w:t xml:space="preserve"> </w:t>
      </w:r>
      <w:r w:rsidRPr="003620C0">
        <w:t>г. транспортные средства включались в объект налогообложения сразу двух видов имущественных налогов с ежегодными сроками уплаты: налога с владельцев транспортных средств и налога на имущество физических лиц. Транспортные средства относили к объекту налогообложения того или другого налога в зависимости от вида, что позволяло избегать дублирования налогообложения. Налогом с владельцев транспортных средств облагались различные самоходные машины и механизмы на пневматическом ходу, а в объект налогообложения имущества физических лиц включались водно-воздушные транспортные средства.</w:t>
      </w:r>
    </w:p>
    <w:p w:rsidR="008C52DA" w:rsidRPr="003620C0" w:rsidRDefault="003A3749" w:rsidP="003620C0">
      <w:pPr>
        <w:pStyle w:val="aa"/>
      </w:pPr>
      <w:r w:rsidRPr="003620C0">
        <w:t>С 1 января 2003</w:t>
      </w:r>
      <w:r w:rsidR="00DC5AF8" w:rsidRPr="003620C0">
        <w:t xml:space="preserve"> </w:t>
      </w:r>
      <w:r w:rsidRPr="003620C0">
        <w:t>г., в связи с началом действия гл.</w:t>
      </w:r>
      <w:r w:rsidR="00DC5AF8" w:rsidRPr="003620C0">
        <w:t xml:space="preserve"> </w:t>
      </w:r>
      <w:r w:rsidRPr="003620C0">
        <w:t>28 «Транспортный налог» НК РФ (согласно Закону РФ от 24.07.2002 г. №110-ФЗ «О внесении изменений и дополнений в часть II Налогового кодекса РФ и некоторые другие акты законодательства РФ»), оба вида транспортных средств охватываются одним транспортным налогом. По этой причине налог с владельцев транспортных средств с 01.01.2003 г. исключен из состава налоговой системы РФ, а облагаемое имущество физических лиц ограничивается на данный момент объектами недвижимости. Также, в отличие от налога с владельцев транспортных средств, имевшего сугубо целевое назначение и служившего главным источником формирования доходов территориальных дорожных фондов, транспортный налог поставляет средства, используемые по общему назначению.</w:t>
      </w:r>
    </w:p>
    <w:p w:rsidR="00304C93" w:rsidRPr="003620C0" w:rsidRDefault="00304C93" w:rsidP="003620C0">
      <w:pPr>
        <w:pStyle w:val="aa"/>
      </w:pPr>
      <w:r w:rsidRPr="003620C0">
        <w:t>Транспортный налог относится к категории имущественных налогов (так как взимается с отдельных видов имущества – транспортных средств) и относится к группе региональных налогов. Транспортный налог является</w:t>
      </w:r>
      <w:r w:rsidR="00DC5AF8" w:rsidRPr="003620C0">
        <w:t xml:space="preserve"> </w:t>
      </w:r>
      <w:r w:rsidRPr="003620C0">
        <w:t xml:space="preserve">факультативным и вводится в действие законодательными актами субъектов РФ. </w:t>
      </w:r>
      <w:r w:rsidR="00DC5AF8" w:rsidRPr="003620C0">
        <w:footnoteReference w:id="2"/>
      </w:r>
    </w:p>
    <w:p w:rsidR="00304C93" w:rsidRPr="003620C0" w:rsidRDefault="00304C93" w:rsidP="003620C0">
      <w:pPr>
        <w:pStyle w:val="aa"/>
      </w:pPr>
      <w:r w:rsidRPr="003620C0">
        <w:t>Транспортный налог относится к прямым, поимущественным налогам, который вместе с налогом на имущество организаций, налогом на имущество физических лиц и земельным налогом составляет подсистему поимущественных налогов, основной функцией которых является налогообложение права владения имуществом.</w:t>
      </w:r>
    </w:p>
    <w:p w:rsidR="00304C93" w:rsidRPr="003620C0" w:rsidRDefault="00304C93" w:rsidP="003620C0">
      <w:pPr>
        <w:pStyle w:val="aa"/>
      </w:pPr>
      <w:r w:rsidRPr="003620C0">
        <w:t xml:space="preserve">Существующий транспортный налог пришел на смену налогам, поступавшим в дорожные фонды (налог на реализацию ГСМ, налог с владельцев автотранспортных средств, налог на пользователей автодорог и налог на приобретение автотранспортных средств), налогу на имущество физических лиц в части налогообложения транспортных средств, а также одноименному налогу от фонда оплаты труда. Транспортный налог стал единым налогом для юридических и физических лиц. Он является региональным налогом, обязательным к уплате на территории того субъекта РФ, где он введен соответствующим законом. </w:t>
      </w:r>
      <w:r w:rsidR="00DC5AF8" w:rsidRPr="003620C0">
        <w:footnoteReference w:id="3"/>
      </w:r>
    </w:p>
    <w:p w:rsidR="008C52DA" w:rsidRPr="003620C0" w:rsidRDefault="008C52DA" w:rsidP="003620C0">
      <w:pPr>
        <w:pStyle w:val="aa"/>
      </w:pPr>
      <w:r w:rsidRPr="003620C0">
        <w:t>Плательщиками транспортного налога</w:t>
      </w:r>
      <w:r w:rsidR="003620C0">
        <w:t xml:space="preserve"> </w:t>
      </w:r>
      <w:r w:rsidRPr="003620C0">
        <w:t>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w:t>
      </w:r>
    </w:p>
    <w:p w:rsidR="008C52DA" w:rsidRPr="003620C0" w:rsidRDefault="008C52DA" w:rsidP="003620C0">
      <w:pPr>
        <w:pStyle w:val="aa"/>
      </w:pPr>
      <w:r w:rsidRPr="003620C0">
        <w:t>По транспортным средствам, зарегистрированным на физических лиц, приобретенным и переданным ими на основании доверенности на право владения и распоряжения транспортным средством, налогоплательщиком является лицо, указанное в такой доверенности. При этом лица, на которых зарегистрированы указанные транспортные средства, уведомляют налоговый орган по месту своего жительства о передаче на основании доверенности указанных транспортных средств.</w:t>
      </w:r>
      <w:r w:rsidR="00DC5AF8" w:rsidRPr="003620C0">
        <w:footnoteReference w:id="4"/>
      </w:r>
    </w:p>
    <w:p w:rsidR="008C52DA" w:rsidRPr="003620C0" w:rsidRDefault="00F921AD" w:rsidP="003620C0">
      <w:pPr>
        <w:pStyle w:val="aa"/>
      </w:pPr>
      <w:r w:rsidRPr="003620C0">
        <w:t>Д</w:t>
      </w:r>
      <w:r w:rsidR="008C52DA" w:rsidRPr="003620C0">
        <w:t>оверенностью признается письменное уполномочие, выдаваемое одним лицом другому лицу для представительства перед третьими лицами.</w:t>
      </w:r>
      <w:r w:rsidRPr="003620C0">
        <w:footnoteReference w:id="5"/>
      </w:r>
      <w:r w:rsidR="008C52DA" w:rsidRPr="003620C0">
        <w:t xml:space="preserve"> Доверенность не является основанием для регистрации транспортного средства. Поскольку предметом доверенности не может быть передача права собственности, то у лица, выдавшего доверенность, сохраняются права собственника.</w:t>
      </w:r>
    </w:p>
    <w:p w:rsidR="00304C93" w:rsidRPr="003620C0" w:rsidRDefault="008C52DA" w:rsidP="003620C0">
      <w:pPr>
        <w:pStyle w:val="aa"/>
      </w:pPr>
      <w:r w:rsidRPr="003620C0">
        <w:t>Не признаются налогоплательщиками лица, являющиеся организаторами Олимпийских игр и Паралимпийских игр в соответствии со статьей 3 Федерального закона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в отношении транспортных средств, принадлежащих им на праве собственности и используемых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w:t>
      </w:r>
      <w:r w:rsidR="00DC5AF8" w:rsidRPr="003620C0">
        <w:footnoteReference w:id="6"/>
      </w:r>
    </w:p>
    <w:p w:rsidR="003620C0" w:rsidRDefault="008C52DA" w:rsidP="003620C0">
      <w:pPr>
        <w:pStyle w:val="aa"/>
      </w:pPr>
      <w:r w:rsidRPr="003620C0">
        <w:t>Объектом налогообложения признаются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rsidR="008C52DA" w:rsidRPr="003620C0" w:rsidRDefault="008C52DA" w:rsidP="003620C0">
      <w:pPr>
        <w:pStyle w:val="aa"/>
      </w:pPr>
      <w:r w:rsidRPr="003620C0">
        <w:t>Не являются объектом налогообложения:</w:t>
      </w:r>
    </w:p>
    <w:p w:rsidR="003620C0" w:rsidRDefault="008C52DA" w:rsidP="003620C0">
      <w:pPr>
        <w:pStyle w:val="aa"/>
      </w:pPr>
      <w:r w:rsidRPr="003620C0">
        <w:t>1) весельные лодки, а также моторные лодки с двигателем мощностью не свыше 5 лошадиных сил;</w:t>
      </w:r>
    </w:p>
    <w:p w:rsidR="008C52DA" w:rsidRPr="003620C0" w:rsidRDefault="008C52DA" w:rsidP="003620C0">
      <w:pPr>
        <w:pStyle w:val="aa"/>
      </w:pPr>
      <w:r w:rsidRPr="003620C0">
        <w:t>2)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p w:rsidR="003620C0" w:rsidRDefault="008C52DA" w:rsidP="003620C0">
      <w:pPr>
        <w:pStyle w:val="aa"/>
      </w:pPr>
      <w:r w:rsidRPr="003620C0">
        <w:t>3) промысловые морские и речные суда;</w:t>
      </w:r>
    </w:p>
    <w:p w:rsidR="008C52DA" w:rsidRPr="003620C0" w:rsidRDefault="008C52DA" w:rsidP="003620C0">
      <w:pPr>
        <w:pStyle w:val="aa"/>
      </w:pPr>
      <w:r w:rsidRPr="003620C0">
        <w:t>4) 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и индивидуальных предпринимателей, основным видом деятельности которых является осуществление пассажирских и (или) грузовых перевозок;</w:t>
      </w:r>
    </w:p>
    <w:p w:rsidR="003620C0" w:rsidRDefault="008C52DA" w:rsidP="003620C0">
      <w:pPr>
        <w:pStyle w:val="aa"/>
      </w:pPr>
      <w:r w:rsidRPr="003620C0">
        <w:t>5) 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p w:rsidR="008C52DA" w:rsidRPr="003620C0" w:rsidRDefault="008C52DA" w:rsidP="003620C0">
      <w:pPr>
        <w:pStyle w:val="aa"/>
      </w:pPr>
      <w:r w:rsidRPr="003620C0">
        <w:t>6) транспортные средства, принадлежащие на праве оперативного управления федеральным органам исполнительной власти, где законодательно предусмотрена военная и (или) приравненная к ней служба;</w:t>
      </w:r>
    </w:p>
    <w:p w:rsidR="003620C0" w:rsidRDefault="008C52DA" w:rsidP="003620C0">
      <w:pPr>
        <w:pStyle w:val="aa"/>
      </w:pPr>
      <w:r w:rsidRPr="003620C0">
        <w:t>7) транспортные средства, находящиеся в розыске, при условии подтверждения факта их угона (кражи) документом, выдаваемым уполномоченным органом;</w:t>
      </w:r>
    </w:p>
    <w:p w:rsidR="008C52DA" w:rsidRPr="003620C0" w:rsidRDefault="008C52DA" w:rsidP="003620C0">
      <w:pPr>
        <w:pStyle w:val="aa"/>
      </w:pPr>
      <w:r w:rsidRPr="003620C0">
        <w:t>8) самолеты и вертолеты санитарной авиации и медицинской службы;</w:t>
      </w:r>
    </w:p>
    <w:p w:rsidR="006C65C6" w:rsidRPr="003620C0" w:rsidRDefault="008C52DA" w:rsidP="003620C0">
      <w:pPr>
        <w:pStyle w:val="aa"/>
      </w:pPr>
      <w:r w:rsidRPr="003620C0">
        <w:t>9) суда, зарегистрированные в Российском международном реестре судов.</w:t>
      </w:r>
      <w:r w:rsidR="00DC5AF8" w:rsidRPr="003620C0">
        <w:footnoteReference w:id="7"/>
      </w:r>
    </w:p>
    <w:p w:rsidR="00A5391E" w:rsidRDefault="00A5391E" w:rsidP="003620C0">
      <w:pPr>
        <w:pStyle w:val="aa"/>
      </w:pPr>
    </w:p>
    <w:p w:rsidR="00C13166" w:rsidRPr="003620C0" w:rsidRDefault="00A5391E" w:rsidP="003620C0">
      <w:pPr>
        <w:pStyle w:val="aa"/>
      </w:pPr>
      <w:r>
        <w:t xml:space="preserve">2. </w:t>
      </w:r>
      <w:r w:rsidR="00C13166" w:rsidRPr="003620C0">
        <w:t>Порядок исчисления, уплаты и зачисления транспортного налога</w:t>
      </w:r>
    </w:p>
    <w:p w:rsidR="00C13166" w:rsidRPr="003620C0" w:rsidRDefault="00C13166" w:rsidP="003620C0">
      <w:pPr>
        <w:pStyle w:val="aa"/>
      </w:pPr>
    </w:p>
    <w:p w:rsidR="003620C0" w:rsidRDefault="00C13166" w:rsidP="003620C0">
      <w:pPr>
        <w:pStyle w:val="aa"/>
      </w:pPr>
      <w:r w:rsidRPr="003620C0">
        <w:t>Налоговая база определяется отдельно по каждому транспортному средству (таблица 1) на основании технической документации или регистрационных документов.</w:t>
      </w:r>
    </w:p>
    <w:p w:rsidR="006C65C6" w:rsidRDefault="006C65C6" w:rsidP="003620C0">
      <w:pPr>
        <w:pStyle w:val="aa"/>
      </w:pPr>
    </w:p>
    <w:p w:rsidR="00A5391E" w:rsidRPr="003620C0" w:rsidRDefault="00A5391E" w:rsidP="00A5391E">
      <w:pPr>
        <w:pStyle w:val="aa"/>
      </w:pPr>
      <w:r w:rsidRPr="003620C0">
        <w:t>Таблица 1. Налоговая база по видам транспортных средств.</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651"/>
        <w:gridCol w:w="2693"/>
      </w:tblGrid>
      <w:tr w:rsidR="00C13166" w:rsidRPr="00462D9E" w:rsidTr="00462D9E">
        <w:tc>
          <w:tcPr>
            <w:tcW w:w="1728" w:type="dxa"/>
            <w:shd w:val="clear" w:color="auto" w:fill="auto"/>
          </w:tcPr>
          <w:p w:rsidR="00C13166" w:rsidRPr="003620C0" w:rsidRDefault="00C13166" w:rsidP="00A5391E">
            <w:pPr>
              <w:pStyle w:val="ab"/>
            </w:pPr>
            <w:r w:rsidRPr="003620C0">
              <w:t>Вид транспортного средства</w:t>
            </w:r>
          </w:p>
        </w:tc>
        <w:tc>
          <w:tcPr>
            <w:tcW w:w="4651" w:type="dxa"/>
            <w:shd w:val="clear" w:color="auto" w:fill="auto"/>
          </w:tcPr>
          <w:p w:rsidR="00C13166" w:rsidRPr="003620C0" w:rsidRDefault="00C13166" w:rsidP="00A5391E">
            <w:pPr>
              <w:pStyle w:val="ab"/>
            </w:pPr>
            <w:r w:rsidRPr="003620C0">
              <w:t>Название</w:t>
            </w:r>
          </w:p>
        </w:tc>
        <w:tc>
          <w:tcPr>
            <w:tcW w:w="2693" w:type="dxa"/>
            <w:shd w:val="clear" w:color="auto" w:fill="auto"/>
          </w:tcPr>
          <w:p w:rsidR="00C13166" w:rsidRPr="003620C0" w:rsidRDefault="00C13166" w:rsidP="00A5391E">
            <w:pPr>
              <w:pStyle w:val="ab"/>
            </w:pPr>
            <w:r w:rsidRPr="003620C0">
              <w:t>Налоговая база</w:t>
            </w:r>
          </w:p>
        </w:tc>
      </w:tr>
      <w:tr w:rsidR="00C13166" w:rsidRPr="00462D9E" w:rsidTr="00462D9E">
        <w:tc>
          <w:tcPr>
            <w:tcW w:w="1728" w:type="dxa"/>
            <w:shd w:val="clear" w:color="auto" w:fill="auto"/>
          </w:tcPr>
          <w:p w:rsidR="00C13166" w:rsidRPr="003620C0" w:rsidRDefault="00C13166" w:rsidP="00A5391E">
            <w:pPr>
              <w:pStyle w:val="ab"/>
            </w:pPr>
            <w:r w:rsidRPr="003620C0">
              <w:t>Наземный</w:t>
            </w:r>
          </w:p>
        </w:tc>
        <w:tc>
          <w:tcPr>
            <w:tcW w:w="4651" w:type="dxa"/>
            <w:shd w:val="clear" w:color="auto" w:fill="auto"/>
          </w:tcPr>
          <w:p w:rsidR="00C13166" w:rsidRPr="003620C0" w:rsidRDefault="00D625DE" w:rsidP="00A5391E">
            <w:pPr>
              <w:pStyle w:val="ab"/>
            </w:pPr>
            <w:r w:rsidRPr="003620C0">
              <w:t>Автомобили</w:t>
            </w:r>
            <w:r w:rsidR="00C13166" w:rsidRPr="003620C0">
              <w:t xml:space="preserve"> легковые и грузовые, мотоциклы, мотороллеры, автобусы и другие </w:t>
            </w:r>
            <w:r w:rsidRPr="003620C0">
              <w:t>самоходные</w:t>
            </w:r>
            <w:r w:rsidR="00C13166" w:rsidRPr="003620C0">
              <w:t xml:space="preserve"> машины и механизмы на пневматическом и </w:t>
            </w:r>
            <w:r w:rsidRPr="003620C0">
              <w:t>гусеничном</w:t>
            </w:r>
            <w:r w:rsidR="00C13166" w:rsidRPr="003620C0">
              <w:t xml:space="preserve"> ходу, снегоходы, мотосани.</w:t>
            </w:r>
          </w:p>
        </w:tc>
        <w:tc>
          <w:tcPr>
            <w:tcW w:w="2693" w:type="dxa"/>
            <w:shd w:val="clear" w:color="auto" w:fill="auto"/>
          </w:tcPr>
          <w:p w:rsidR="00C13166" w:rsidRPr="003620C0" w:rsidRDefault="00C13166" w:rsidP="00A5391E">
            <w:pPr>
              <w:pStyle w:val="ab"/>
            </w:pPr>
            <w:r w:rsidRPr="003620C0">
              <w:t>Мощность двигателя в лошадиных силах</w:t>
            </w:r>
          </w:p>
        </w:tc>
      </w:tr>
      <w:tr w:rsidR="00C13166" w:rsidRPr="00462D9E" w:rsidTr="00462D9E">
        <w:tc>
          <w:tcPr>
            <w:tcW w:w="1728" w:type="dxa"/>
            <w:vMerge w:val="restart"/>
            <w:shd w:val="clear" w:color="auto" w:fill="auto"/>
          </w:tcPr>
          <w:p w:rsidR="00C13166" w:rsidRPr="003620C0" w:rsidRDefault="00C13166" w:rsidP="00A5391E">
            <w:pPr>
              <w:pStyle w:val="ab"/>
            </w:pPr>
            <w:r w:rsidRPr="003620C0">
              <w:t>Воздушный</w:t>
            </w:r>
          </w:p>
        </w:tc>
        <w:tc>
          <w:tcPr>
            <w:tcW w:w="4651" w:type="dxa"/>
            <w:shd w:val="clear" w:color="auto" w:fill="auto"/>
          </w:tcPr>
          <w:p w:rsidR="00C13166" w:rsidRPr="003620C0" w:rsidRDefault="00C13166" w:rsidP="00A5391E">
            <w:pPr>
              <w:pStyle w:val="ab"/>
            </w:pPr>
            <w:r w:rsidRPr="003620C0">
              <w:t>Самолеты, вертолеты и другие летательные аппараты, имеющие двигатели.</w:t>
            </w:r>
          </w:p>
        </w:tc>
        <w:tc>
          <w:tcPr>
            <w:tcW w:w="2693" w:type="dxa"/>
            <w:shd w:val="clear" w:color="auto" w:fill="auto"/>
          </w:tcPr>
          <w:p w:rsidR="00C13166" w:rsidRPr="003620C0" w:rsidRDefault="00D625DE" w:rsidP="00A5391E">
            <w:pPr>
              <w:pStyle w:val="ab"/>
            </w:pPr>
            <w:r w:rsidRPr="003620C0">
              <w:t>Мощность</w:t>
            </w:r>
            <w:r w:rsidR="00C13166" w:rsidRPr="003620C0">
              <w:t xml:space="preserve"> двигателя в лошадиных силах</w:t>
            </w:r>
          </w:p>
        </w:tc>
      </w:tr>
      <w:tr w:rsidR="00C13166" w:rsidRPr="00462D9E" w:rsidTr="00462D9E">
        <w:tc>
          <w:tcPr>
            <w:tcW w:w="1728" w:type="dxa"/>
            <w:vMerge/>
            <w:shd w:val="clear" w:color="auto" w:fill="auto"/>
          </w:tcPr>
          <w:p w:rsidR="00C13166" w:rsidRPr="003620C0" w:rsidRDefault="00C13166" w:rsidP="00A5391E">
            <w:pPr>
              <w:pStyle w:val="ab"/>
            </w:pPr>
          </w:p>
        </w:tc>
        <w:tc>
          <w:tcPr>
            <w:tcW w:w="4651" w:type="dxa"/>
            <w:shd w:val="clear" w:color="auto" w:fill="auto"/>
          </w:tcPr>
          <w:p w:rsidR="00C13166" w:rsidRPr="003620C0" w:rsidRDefault="00C13166" w:rsidP="00A5391E">
            <w:pPr>
              <w:pStyle w:val="ab"/>
            </w:pPr>
            <w:r w:rsidRPr="003620C0">
              <w:t xml:space="preserve">Самолеты, имеющие реактивные </w:t>
            </w:r>
            <w:r w:rsidR="00D625DE" w:rsidRPr="003620C0">
              <w:t>двигатели</w:t>
            </w:r>
            <w:r w:rsidRPr="003620C0">
              <w:t>.</w:t>
            </w:r>
          </w:p>
        </w:tc>
        <w:tc>
          <w:tcPr>
            <w:tcW w:w="2693" w:type="dxa"/>
            <w:shd w:val="clear" w:color="auto" w:fill="auto"/>
          </w:tcPr>
          <w:p w:rsidR="00C13166" w:rsidRPr="003620C0" w:rsidRDefault="00D625DE" w:rsidP="00A5391E">
            <w:pPr>
              <w:pStyle w:val="ab"/>
            </w:pPr>
            <w:r w:rsidRPr="003620C0">
              <w:t>Паспортная статистическая тяга реактивного двигателя (суммарная тяга всех) на взлетном режиме в земных условиях</w:t>
            </w:r>
            <w:r w:rsidR="003620C0">
              <w:t xml:space="preserve"> </w:t>
            </w:r>
            <w:r w:rsidRPr="003620C0">
              <w:t>килограммах силы</w:t>
            </w:r>
          </w:p>
        </w:tc>
      </w:tr>
      <w:tr w:rsidR="00C13166" w:rsidRPr="00462D9E" w:rsidTr="00462D9E">
        <w:tc>
          <w:tcPr>
            <w:tcW w:w="1728" w:type="dxa"/>
            <w:vMerge/>
            <w:shd w:val="clear" w:color="auto" w:fill="auto"/>
          </w:tcPr>
          <w:p w:rsidR="00C13166" w:rsidRPr="003620C0" w:rsidRDefault="00C13166" w:rsidP="00A5391E">
            <w:pPr>
              <w:pStyle w:val="ab"/>
            </w:pPr>
          </w:p>
        </w:tc>
        <w:tc>
          <w:tcPr>
            <w:tcW w:w="4651" w:type="dxa"/>
            <w:shd w:val="clear" w:color="auto" w:fill="auto"/>
          </w:tcPr>
          <w:p w:rsidR="00C13166" w:rsidRPr="003620C0" w:rsidRDefault="00C13166" w:rsidP="00A5391E">
            <w:pPr>
              <w:pStyle w:val="ab"/>
            </w:pPr>
            <w:r w:rsidRPr="003620C0">
              <w:t>Летательные аппараты, не имеющие двигателей.</w:t>
            </w:r>
          </w:p>
        </w:tc>
        <w:tc>
          <w:tcPr>
            <w:tcW w:w="2693" w:type="dxa"/>
            <w:shd w:val="clear" w:color="auto" w:fill="auto"/>
          </w:tcPr>
          <w:p w:rsidR="00C13166" w:rsidRPr="003620C0" w:rsidRDefault="00D625DE" w:rsidP="00A5391E">
            <w:pPr>
              <w:pStyle w:val="ab"/>
            </w:pPr>
            <w:r w:rsidRPr="003620C0">
              <w:t>В количественных единицах</w:t>
            </w:r>
          </w:p>
        </w:tc>
      </w:tr>
      <w:tr w:rsidR="00C13166" w:rsidRPr="00462D9E" w:rsidTr="00462D9E">
        <w:tc>
          <w:tcPr>
            <w:tcW w:w="1728" w:type="dxa"/>
            <w:vMerge w:val="restart"/>
            <w:shd w:val="clear" w:color="auto" w:fill="auto"/>
          </w:tcPr>
          <w:p w:rsidR="00C13166" w:rsidRPr="003620C0" w:rsidRDefault="00C13166" w:rsidP="00A5391E">
            <w:pPr>
              <w:pStyle w:val="ab"/>
            </w:pPr>
            <w:r w:rsidRPr="003620C0">
              <w:t>Водный</w:t>
            </w:r>
          </w:p>
        </w:tc>
        <w:tc>
          <w:tcPr>
            <w:tcW w:w="4651" w:type="dxa"/>
            <w:shd w:val="clear" w:color="auto" w:fill="auto"/>
          </w:tcPr>
          <w:p w:rsidR="00C13166" w:rsidRPr="003620C0" w:rsidRDefault="00C13166" w:rsidP="00A5391E">
            <w:pPr>
              <w:pStyle w:val="ab"/>
            </w:pPr>
            <w:r w:rsidRPr="003620C0">
              <w:t>Теплоходы, яхты, парусно-моторные суда, катера, моторные лодки, гидроциклы и другие суда, имеющие двигатели.</w:t>
            </w:r>
          </w:p>
        </w:tc>
        <w:tc>
          <w:tcPr>
            <w:tcW w:w="2693" w:type="dxa"/>
            <w:shd w:val="clear" w:color="auto" w:fill="auto"/>
          </w:tcPr>
          <w:p w:rsidR="00C13166" w:rsidRPr="003620C0" w:rsidRDefault="00D625DE" w:rsidP="00A5391E">
            <w:pPr>
              <w:pStyle w:val="ab"/>
            </w:pPr>
            <w:r w:rsidRPr="003620C0">
              <w:t>Мощность двигателя в лошадиных силах</w:t>
            </w:r>
          </w:p>
        </w:tc>
      </w:tr>
      <w:tr w:rsidR="00C13166" w:rsidRPr="00462D9E" w:rsidTr="00462D9E">
        <w:tc>
          <w:tcPr>
            <w:tcW w:w="1728" w:type="dxa"/>
            <w:vMerge/>
            <w:shd w:val="clear" w:color="auto" w:fill="auto"/>
          </w:tcPr>
          <w:p w:rsidR="00C13166" w:rsidRPr="003620C0" w:rsidRDefault="00C13166" w:rsidP="00A5391E">
            <w:pPr>
              <w:pStyle w:val="ab"/>
            </w:pPr>
          </w:p>
        </w:tc>
        <w:tc>
          <w:tcPr>
            <w:tcW w:w="4651" w:type="dxa"/>
            <w:shd w:val="clear" w:color="auto" w:fill="auto"/>
          </w:tcPr>
          <w:p w:rsidR="00C13166" w:rsidRPr="003620C0" w:rsidRDefault="00D625DE" w:rsidP="00A5391E">
            <w:pPr>
              <w:pStyle w:val="ab"/>
            </w:pPr>
            <w:r w:rsidRPr="003620C0">
              <w:t>Несамоходные</w:t>
            </w:r>
            <w:r w:rsidR="00C13166" w:rsidRPr="003620C0">
              <w:t xml:space="preserve"> (буксируемее) суда</w:t>
            </w:r>
          </w:p>
        </w:tc>
        <w:tc>
          <w:tcPr>
            <w:tcW w:w="2693" w:type="dxa"/>
            <w:shd w:val="clear" w:color="auto" w:fill="auto"/>
          </w:tcPr>
          <w:p w:rsidR="00C13166" w:rsidRPr="003620C0" w:rsidRDefault="00D625DE" w:rsidP="00A5391E">
            <w:pPr>
              <w:pStyle w:val="ab"/>
            </w:pPr>
            <w:r w:rsidRPr="003620C0">
              <w:t>Валовая вместимость в регистровых тоннах</w:t>
            </w:r>
          </w:p>
        </w:tc>
      </w:tr>
      <w:tr w:rsidR="00C13166" w:rsidRPr="00462D9E" w:rsidTr="00462D9E">
        <w:tc>
          <w:tcPr>
            <w:tcW w:w="1728" w:type="dxa"/>
            <w:vMerge/>
            <w:shd w:val="clear" w:color="auto" w:fill="auto"/>
          </w:tcPr>
          <w:p w:rsidR="00C13166" w:rsidRPr="003620C0" w:rsidRDefault="00C13166" w:rsidP="00A5391E">
            <w:pPr>
              <w:pStyle w:val="ab"/>
            </w:pPr>
          </w:p>
        </w:tc>
        <w:tc>
          <w:tcPr>
            <w:tcW w:w="4651" w:type="dxa"/>
            <w:shd w:val="clear" w:color="auto" w:fill="auto"/>
          </w:tcPr>
          <w:p w:rsidR="00C13166" w:rsidRPr="003620C0" w:rsidRDefault="00C13166" w:rsidP="00A5391E">
            <w:pPr>
              <w:pStyle w:val="ab"/>
            </w:pPr>
            <w:r w:rsidRPr="003620C0">
              <w:t xml:space="preserve">Суда, не имеющие </w:t>
            </w:r>
            <w:r w:rsidR="00D625DE" w:rsidRPr="003620C0">
              <w:t>двигателей</w:t>
            </w:r>
          </w:p>
        </w:tc>
        <w:tc>
          <w:tcPr>
            <w:tcW w:w="2693" w:type="dxa"/>
            <w:shd w:val="clear" w:color="auto" w:fill="auto"/>
          </w:tcPr>
          <w:p w:rsidR="00C13166" w:rsidRPr="003620C0" w:rsidRDefault="00D625DE" w:rsidP="00A5391E">
            <w:pPr>
              <w:pStyle w:val="ab"/>
            </w:pPr>
            <w:r w:rsidRPr="003620C0">
              <w:t>В количественных единицах</w:t>
            </w:r>
          </w:p>
        </w:tc>
      </w:tr>
    </w:tbl>
    <w:p w:rsidR="006C65C6" w:rsidRPr="003620C0" w:rsidRDefault="006C65C6" w:rsidP="003620C0">
      <w:pPr>
        <w:pStyle w:val="aa"/>
      </w:pPr>
    </w:p>
    <w:p w:rsidR="00304C93" w:rsidRPr="003620C0" w:rsidRDefault="00D625DE" w:rsidP="003620C0">
      <w:pPr>
        <w:pStyle w:val="aa"/>
      </w:pPr>
      <w:r w:rsidRPr="003620C0">
        <w:t>Налоговым периодом признается календарный год. Отчетными периодами для налогоплательщиков, являющихся организациями, признаются первый квартал, второй квартал, третий квартал. Учитывая, что транспортный налог относится к региональным обязательным платежам, Налоговый кодекс предоставляет право законодательным (представительным) органам власти субъектов РФ не устанавливать отчетные периоды.</w:t>
      </w:r>
      <w:r w:rsidR="00F921AD" w:rsidRPr="003620C0">
        <w:footnoteReference w:id="8"/>
      </w:r>
    </w:p>
    <w:p w:rsidR="00D625DE" w:rsidRPr="003620C0" w:rsidRDefault="00D625DE" w:rsidP="003620C0">
      <w:pPr>
        <w:pStyle w:val="aa"/>
      </w:pPr>
      <w:r w:rsidRPr="003620C0">
        <w:t xml:space="preserve">Налоговые ставки устанавливаются законами субъектов Российской Федерации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w:t>
      </w:r>
      <w:r w:rsidR="00B23F50" w:rsidRPr="003620C0">
        <w:t>Налоговые ставки</w:t>
      </w:r>
      <w:r w:rsidR="003620C0">
        <w:t xml:space="preserve"> </w:t>
      </w:r>
      <w:r w:rsidRPr="003620C0">
        <w:t>могут быть увеличены (уменьшены) законами субъектов Российской Федерации, но не более чем в десять раз.</w:t>
      </w:r>
      <w:r w:rsidR="00B23F50" w:rsidRPr="003620C0">
        <w:t xml:space="preserve"> Допускается установление дифференцированных налоговых ставок в отношении каждой категории транспортных средств, а также с учетом количества лет, прошедших с года выпуска транспортных средств, и (или) их экологического класса. Количество лет, прошедших с года выпуска транспортного средства, определяется по состоянию на 1 января текущего года в календарных годах с года, следующего за годом выпуска транспортного средства.</w:t>
      </w:r>
    </w:p>
    <w:p w:rsidR="00534583" w:rsidRPr="003620C0" w:rsidRDefault="00AB3991" w:rsidP="003620C0">
      <w:pPr>
        <w:pStyle w:val="aa"/>
      </w:pPr>
      <w:r w:rsidRPr="003620C0">
        <w:t>Порядок исчисления транспортного налога определен ст. 362 НК РФ. Сумма налога, подлежащая уплате в бюджет по итогам налогового периода, исчисляется в отношении каждого транспортного средства как произведение соответствующей налоговой базы и налоговой ставки.</w:t>
      </w:r>
      <w:r w:rsidR="00F921AD" w:rsidRPr="003620C0">
        <w:footnoteReference w:id="9"/>
      </w:r>
    </w:p>
    <w:p w:rsidR="00534583" w:rsidRPr="003620C0" w:rsidRDefault="00534583" w:rsidP="003620C0">
      <w:pPr>
        <w:pStyle w:val="aa"/>
      </w:pPr>
      <w:r w:rsidRPr="003620C0">
        <w:t>Налогоплательщики, являющиеся организациями, исчисляют сумму налога и сумму авансового платежа по налогу самостоятельно. Сумма налога, подлежащая уплате налогоплательщиками, являющимися физическими лицами, исчисляется налоговыми органами на основании сведений, которые представляются в налоговые органы органами, осуществляющими государственную регистрацию транспортных средств на территории Российской Федерации.</w:t>
      </w:r>
    </w:p>
    <w:p w:rsidR="003620C0" w:rsidRDefault="00534583" w:rsidP="003620C0">
      <w:pPr>
        <w:pStyle w:val="aa"/>
      </w:pPr>
      <w:r w:rsidRPr="003620C0">
        <w:t>Сумма налога, подлежащая уплате в бюджет по итогам налогового периода, исчисляется в отношении каждого транспортного средства как произведение соответствующей налоговой базы и налоговой ставки, если иное не предусмотрено настоящей статьей. Сумма налога, подлежащая уплате в бюджет налогоплательщиками, являющимися организациями, определяется как разница между исчисленной суммой налога и суммами авансовых платежей по налогу, подлежащих уплате в течение налогового периода. Налогоплательщики, являющиеся организациями, исчисляют суммы авансовых платежей по налогу по истечении каждого отчетного периода в размере одной четвертой произведения соответствующей налоговой базы и налоговой ставки.</w:t>
      </w:r>
    </w:p>
    <w:p w:rsidR="00534583" w:rsidRPr="003620C0" w:rsidRDefault="00534583" w:rsidP="003620C0">
      <w:pPr>
        <w:pStyle w:val="aa"/>
      </w:pPr>
      <w:r w:rsidRPr="003620C0">
        <w:t>В случае регистрации транспортного средства и (или) снятия транспортного средства с регистрации (снятия с учета, исключения из государственного судового реестра и т.д.) в течение налогового (отчетного) периода исчисление суммы налога (суммы авансового платежа по налогу) производится с учетом коэффициента,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(отчетном) периоде. При этом месяц регистрации транспортного средства, а также месяц снятия транспортного средства с регистрации принимается за полный месяц. В случае регистрации и снятия с регистрации транспортного средства в течение одного календарного месяца указанный месяц принимается как один полный месяц.</w:t>
      </w:r>
    </w:p>
    <w:p w:rsidR="00534583" w:rsidRPr="003620C0" w:rsidRDefault="00534583" w:rsidP="003620C0">
      <w:pPr>
        <w:pStyle w:val="aa"/>
      </w:pPr>
      <w:r w:rsidRPr="003620C0">
        <w:t>Органы, осуществляющие государственную регистрацию транспортных средств, обязаны сообщать в налоговые органы по месту своего нахождения о транспортных средствах, зарегистрированных или снятых с регистрации в этих органах, а также о лицах, на которых зарегистрированы транспортные средства, в течение 10 дней после их регистрации или снятия с регистрации. Органы, осуществляющие государственную регистрацию транспортных средств, обязаны сообщать в налоговые органы по месту своего нахождения сведения о транспортных средствах, а также о лицах, на которых зарегистрированы транспортные средства, по состоянию на 31 декабря истекшего календарного года до 1 февраля текущего календарного года, а также обо всех связанных с ними изменениях, произошедших за предыдущий календарный год. Законодательный (представительный) орган субъекта Российской Федерации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 в течение налогового периода.</w:t>
      </w:r>
      <w:r w:rsidR="00F921AD" w:rsidRPr="003620C0">
        <w:footnoteReference w:id="10"/>
      </w:r>
    </w:p>
    <w:p w:rsidR="00534583" w:rsidRPr="003620C0" w:rsidRDefault="00534583" w:rsidP="003620C0">
      <w:pPr>
        <w:pStyle w:val="aa"/>
      </w:pPr>
      <w:r w:rsidRPr="003620C0">
        <w:t>Уплата налога и авансовых платежей по налогу производится налогоплательщиками по месту нахождения транспортных средств в порядке и сроки, которые установлены законами субъектов Российской Федерации.</w:t>
      </w:r>
    </w:p>
    <w:p w:rsidR="00534583" w:rsidRPr="003620C0" w:rsidRDefault="00534583" w:rsidP="003620C0">
      <w:pPr>
        <w:pStyle w:val="aa"/>
      </w:pPr>
      <w:r w:rsidRPr="003620C0">
        <w:t>При этом срок уплаты налога (авансовых платежей по налогу) для налогоплательщиков, являющихся организациями, не может быть установлен ранее срока, предусмотренного пунктом 3 с</w:t>
      </w:r>
      <w:r w:rsidR="00E122C3" w:rsidRPr="003620C0">
        <w:t>татьи 363.1 НК РФ (т.е. не позднее 1 февраля года, следующего за истекшим налоговым периодом).</w:t>
      </w:r>
    </w:p>
    <w:p w:rsidR="00534583" w:rsidRPr="003620C0" w:rsidRDefault="00534583" w:rsidP="003620C0">
      <w:pPr>
        <w:pStyle w:val="aa"/>
      </w:pPr>
      <w:r w:rsidRPr="003620C0">
        <w:t>В течение налогового периода налогоплательщики, являющиеся организациями, уплачивают авансовые платежи по налогу, если законами субъектов Российской Федерации не предусмотрено иное. По истечении налогового периода налогоплательщики, являющиеся организациями, уплачивают сумму налога, исчисленную в п</w:t>
      </w:r>
      <w:r w:rsidR="00E122C3" w:rsidRPr="003620C0">
        <w:t>орядке, предусмотренном законодательством.</w:t>
      </w:r>
    </w:p>
    <w:p w:rsidR="00534583" w:rsidRPr="003620C0" w:rsidRDefault="00534583" w:rsidP="003620C0">
      <w:pPr>
        <w:pStyle w:val="aa"/>
      </w:pPr>
      <w:r w:rsidRPr="003620C0">
        <w:t>Налогоплательщики, являющиеся физическими лицами, уплачивают транспортный налог на основании налогового уведомления, направляемого налоговым органом. Направление налогового уведомления допускается не более чем за три налоговых периода, предшествующих календарному году его направления.</w:t>
      </w:r>
      <w:r w:rsidR="00E122C3" w:rsidRPr="003620C0">
        <w:t xml:space="preserve"> Налогоплательщики, являющиеся физическими лицами</w:t>
      </w:r>
      <w:r w:rsidRPr="003620C0">
        <w:t>, уплачивают налог не более чем за три налоговых периода, предшествующих календарному году направления налогового</w:t>
      </w:r>
      <w:r w:rsidR="00E122C3" w:rsidRPr="003620C0">
        <w:t xml:space="preserve"> уведомления.</w:t>
      </w:r>
      <w:r w:rsidR="00F921AD" w:rsidRPr="003620C0">
        <w:footnoteReference w:id="11"/>
      </w:r>
    </w:p>
    <w:p w:rsidR="002575F1" w:rsidRPr="003620C0" w:rsidRDefault="00F921AD" w:rsidP="003620C0">
      <w:pPr>
        <w:pStyle w:val="aa"/>
      </w:pPr>
      <w:r w:rsidRPr="003620C0">
        <w:t>Налогоплательщики, являющиеся организациями, по истечении налогового периода представляют в налоговый орган по месту нахождения транспортных средств, если иное не предусмотрено настоящей статьей, налоговую декларацию по налогу. Налогоплательщики, являющиеся организациями и уплачивающие в течение налогового периода авансовые платежи по налогу, по истечении каждого отчетного периода представляют в налоговый орган по месту нахождения транспортных средств налоговый расчет по авансовым платежам по налогу. Налоговые декларации по налогу представляются налогоплательщиками не позднее 1 февраля года, следующего за истекшим налоговым периодом.</w:t>
      </w:r>
    </w:p>
    <w:p w:rsidR="002575F1" w:rsidRPr="003620C0" w:rsidRDefault="002575F1" w:rsidP="003620C0">
      <w:pPr>
        <w:pStyle w:val="aa"/>
      </w:pPr>
    </w:p>
    <w:p w:rsidR="00A5391E" w:rsidRDefault="00A5391E" w:rsidP="00A5391E">
      <w:pPr>
        <w:pStyle w:val="aa"/>
      </w:pPr>
      <w:r>
        <w:br w:type="page"/>
        <w:t xml:space="preserve">3. </w:t>
      </w:r>
      <w:r w:rsidRPr="003620C0">
        <w:t>Практическая часть (Вариант 3)</w:t>
      </w:r>
    </w:p>
    <w:p w:rsidR="00A5391E" w:rsidRPr="003620C0" w:rsidRDefault="00A5391E" w:rsidP="00A5391E">
      <w:pPr>
        <w:pStyle w:val="aa"/>
      </w:pPr>
    </w:p>
    <w:p w:rsidR="00A5391E" w:rsidRPr="003620C0" w:rsidRDefault="00A5391E" w:rsidP="00A5391E">
      <w:pPr>
        <w:pStyle w:val="aa"/>
      </w:pPr>
      <w:r w:rsidRPr="003620C0">
        <w:t>Задание 1.</w:t>
      </w:r>
    </w:p>
    <w:p w:rsidR="00A5391E" w:rsidRPr="003620C0" w:rsidRDefault="00A5391E" w:rsidP="00A5391E">
      <w:pPr>
        <w:pStyle w:val="aa"/>
      </w:pPr>
      <w:r w:rsidRPr="003620C0">
        <w:t>ЗАО «Машиностроитель» осуществляет свою деятельность в г. Перми. Ставка налога на имущество составляет 2,2%. ЗАО имеет филиал в другом регионе, ставка налога в котором составляет 2,0%. У филиала имеется свой баланс и расчетный счет. Ниже приводятся данные о стоимости имущества в тыс. руб.</w:t>
      </w:r>
    </w:p>
    <w:p w:rsidR="00A5391E" w:rsidRPr="003620C0" w:rsidRDefault="00A5391E" w:rsidP="00A5391E">
      <w:pPr>
        <w:pStyle w:val="aa"/>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3095"/>
        <w:gridCol w:w="2990"/>
      </w:tblGrid>
      <w:tr w:rsidR="00A5391E" w:rsidRPr="003620C0" w:rsidTr="00A5391E">
        <w:trPr>
          <w:cantSplit/>
        </w:trPr>
        <w:tc>
          <w:tcPr>
            <w:tcW w:w="3095" w:type="dxa"/>
            <w:vMerge w:val="restart"/>
          </w:tcPr>
          <w:p w:rsidR="00A5391E" w:rsidRPr="003620C0" w:rsidRDefault="00A5391E" w:rsidP="00A5391E">
            <w:pPr>
              <w:pStyle w:val="ab"/>
            </w:pPr>
            <w:r w:rsidRPr="003620C0">
              <w:t>Даты</w:t>
            </w:r>
          </w:p>
        </w:tc>
        <w:tc>
          <w:tcPr>
            <w:tcW w:w="6085" w:type="dxa"/>
            <w:gridSpan w:val="2"/>
          </w:tcPr>
          <w:p w:rsidR="00A5391E" w:rsidRPr="003620C0" w:rsidRDefault="00A5391E" w:rsidP="00A5391E">
            <w:pPr>
              <w:pStyle w:val="ab"/>
            </w:pPr>
            <w:r w:rsidRPr="003620C0">
              <w:t>Остаточная стоимость</w:t>
            </w:r>
          </w:p>
        </w:tc>
      </w:tr>
      <w:tr w:rsidR="00A5391E" w:rsidRPr="003620C0" w:rsidTr="00A5391E">
        <w:trPr>
          <w:cantSplit/>
        </w:trPr>
        <w:tc>
          <w:tcPr>
            <w:tcW w:w="3095" w:type="dxa"/>
            <w:vMerge/>
          </w:tcPr>
          <w:p w:rsidR="00A5391E" w:rsidRPr="003620C0" w:rsidRDefault="00A5391E" w:rsidP="00A5391E">
            <w:pPr>
              <w:pStyle w:val="ab"/>
            </w:pPr>
          </w:p>
        </w:tc>
        <w:tc>
          <w:tcPr>
            <w:tcW w:w="3095" w:type="dxa"/>
          </w:tcPr>
          <w:p w:rsidR="00A5391E" w:rsidRPr="003620C0" w:rsidRDefault="00A5391E" w:rsidP="00A5391E">
            <w:pPr>
              <w:pStyle w:val="ab"/>
            </w:pPr>
            <w:r w:rsidRPr="003620C0">
              <w:t>ЗАО, всего</w:t>
            </w:r>
          </w:p>
        </w:tc>
        <w:tc>
          <w:tcPr>
            <w:tcW w:w="2990" w:type="dxa"/>
          </w:tcPr>
          <w:p w:rsidR="00A5391E" w:rsidRPr="003620C0" w:rsidRDefault="00A5391E" w:rsidP="00A5391E">
            <w:pPr>
              <w:pStyle w:val="ab"/>
            </w:pPr>
            <w:r w:rsidRPr="003620C0">
              <w:t>в т.ч. филиал</w:t>
            </w:r>
          </w:p>
        </w:tc>
      </w:tr>
      <w:tr w:rsidR="00A5391E" w:rsidRPr="003620C0" w:rsidTr="00A5391E">
        <w:tc>
          <w:tcPr>
            <w:tcW w:w="3095" w:type="dxa"/>
          </w:tcPr>
          <w:p w:rsidR="00A5391E" w:rsidRPr="003620C0" w:rsidRDefault="00A5391E" w:rsidP="00A5391E">
            <w:pPr>
              <w:pStyle w:val="ab"/>
            </w:pPr>
            <w:r w:rsidRPr="003620C0">
              <w:t>01.01</w:t>
            </w:r>
          </w:p>
        </w:tc>
        <w:tc>
          <w:tcPr>
            <w:tcW w:w="3095" w:type="dxa"/>
          </w:tcPr>
          <w:p w:rsidR="00A5391E" w:rsidRPr="003620C0" w:rsidRDefault="00A5391E" w:rsidP="00A5391E">
            <w:pPr>
              <w:pStyle w:val="ab"/>
            </w:pPr>
            <w:r w:rsidRPr="003620C0">
              <w:t>8250</w:t>
            </w:r>
          </w:p>
        </w:tc>
        <w:tc>
          <w:tcPr>
            <w:tcW w:w="2990" w:type="dxa"/>
          </w:tcPr>
          <w:p w:rsidR="00A5391E" w:rsidRPr="003620C0" w:rsidRDefault="00A5391E" w:rsidP="00A5391E">
            <w:pPr>
              <w:pStyle w:val="ab"/>
            </w:pPr>
            <w:r w:rsidRPr="003620C0">
              <w:t>630</w:t>
            </w:r>
          </w:p>
        </w:tc>
      </w:tr>
      <w:tr w:rsidR="00A5391E" w:rsidRPr="003620C0" w:rsidTr="00A5391E">
        <w:tc>
          <w:tcPr>
            <w:tcW w:w="3095" w:type="dxa"/>
          </w:tcPr>
          <w:p w:rsidR="00A5391E" w:rsidRPr="003620C0" w:rsidRDefault="00A5391E" w:rsidP="00A5391E">
            <w:pPr>
              <w:pStyle w:val="ab"/>
            </w:pPr>
            <w:r w:rsidRPr="003620C0">
              <w:t>01.02</w:t>
            </w:r>
          </w:p>
        </w:tc>
        <w:tc>
          <w:tcPr>
            <w:tcW w:w="3095" w:type="dxa"/>
          </w:tcPr>
          <w:p w:rsidR="00A5391E" w:rsidRPr="003620C0" w:rsidRDefault="00A5391E" w:rsidP="00A5391E">
            <w:pPr>
              <w:pStyle w:val="ab"/>
            </w:pPr>
            <w:r w:rsidRPr="003620C0">
              <w:t>8200</w:t>
            </w:r>
          </w:p>
        </w:tc>
        <w:tc>
          <w:tcPr>
            <w:tcW w:w="2990" w:type="dxa"/>
          </w:tcPr>
          <w:p w:rsidR="00A5391E" w:rsidRPr="003620C0" w:rsidRDefault="00A5391E" w:rsidP="00A5391E">
            <w:pPr>
              <w:pStyle w:val="ab"/>
            </w:pPr>
            <w:r w:rsidRPr="003620C0">
              <w:t>615</w:t>
            </w:r>
          </w:p>
        </w:tc>
      </w:tr>
      <w:tr w:rsidR="00A5391E" w:rsidRPr="003620C0" w:rsidTr="00A5391E">
        <w:tc>
          <w:tcPr>
            <w:tcW w:w="3095" w:type="dxa"/>
          </w:tcPr>
          <w:p w:rsidR="00A5391E" w:rsidRPr="003620C0" w:rsidRDefault="00A5391E" w:rsidP="00A5391E">
            <w:pPr>
              <w:pStyle w:val="ab"/>
            </w:pPr>
            <w:r w:rsidRPr="003620C0">
              <w:t>01.03</w:t>
            </w:r>
          </w:p>
        </w:tc>
        <w:tc>
          <w:tcPr>
            <w:tcW w:w="3095" w:type="dxa"/>
          </w:tcPr>
          <w:p w:rsidR="00A5391E" w:rsidRPr="003620C0" w:rsidRDefault="00A5391E" w:rsidP="00A5391E">
            <w:pPr>
              <w:pStyle w:val="ab"/>
            </w:pPr>
            <w:r w:rsidRPr="003620C0">
              <w:t>8147</w:t>
            </w:r>
          </w:p>
        </w:tc>
        <w:tc>
          <w:tcPr>
            <w:tcW w:w="2990" w:type="dxa"/>
          </w:tcPr>
          <w:p w:rsidR="00A5391E" w:rsidRPr="003620C0" w:rsidRDefault="00A5391E" w:rsidP="00A5391E">
            <w:pPr>
              <w:pStyle w:val="ab"/>
            </w:pPr>
            <w:r w:rsidRPr="003620C0">
              <w:t>620</w:t>
            </w:r>
          </w:p>
        </w:tc>
      </w:tr>
      <w:tr w:rsidR="00A5391E" w:rsidRPr="003620C0" w:rsidTr="00A5391E">
        <w:tc>
          <w:tcPr>
            <w:tcW w:w="3095" w:type="dxa"/>
          </w:tcPr>
          <w:p w:rsidR="00A5391E" w:rsidRPr="003620C0" w:rsidRDefault="00A5391E" w:rsidP="00A5391E">
            <w:pPr>
              <w:pStyle w:val="ab"/>
            </w:pPr>
            <w:r w:rsidRPr="003620C0">
              <w:t>01.04</w:t>
            </w:r>
          </w:p>
        </w:tc>
        <w:tc>
          <w:tcPr>
            <w:tcW w:w="3095" w:type="dxa"/>
          </w:tcPr>
          <w:p w:rsidR="00A5391E" w:rsidRPr="003620C0" w:rsidRDefault="00A5391E" w:rsidP="00A5391E">
            <w:pPr>
              <w:pStyle w:val="ab"/>
            </w:pPr>
            <w:r w:rsidRPr="003620C0">
              <w:t>8100</w:t>
            </w:r>
          </w:p>
        </w:tc>
        <w:tc>
          <w:tcPr>
            <w:tcW w:w="2990" w:type="dxa"/>
          </w:tcPr>
          <w:p w:rsidR="00A5391E" w:rsidRPr="003620C0" w:rsidRDefault="00A5391E" w:rsidP="00A5391E">
            <w:pPr>
              <w:pStyle w:val="ab"/>
            </w:pPr>
            <w:r w:rsidRPr="003620C0">
              <w:t>750</w:t>
            </w:r>
          </w:p>
        </w:tc>
      </w:tr>
    </w:tbl>
    <w:p w:rsidR="00A5391E" w:rsidRPr="003620C0" w:rsidRDefault="00A5391E" w:rsidP="00A5391E">
      <w:pPr>
        <w:pStyle w:val="aa"/>
      </w:pPr>
    </w:p>
    <w:p w:rsidR="00A5391E" w:rsidRPr="003620C0" w:rsidRDefault="00A5391E" w:rsidP="00A5391E">
      <w:pPr>
        <w:pStyle w:val="aa"/>
      </w:pPr>
      <w:r w:rsidRPr="003620C0">
        <w:t>Определить сумму авансового платежа по налогу на имущество организации за 1 квартал т.г., который должен быть уплачен в бюджет по местонахождению ЗАО и филиала, указать сроки уплаты.</w:t>
      </w:r>
    </w:p>
    <w:p w:rsidR="00A5391E" w:rsidRPr="003620C0" w:rsidRDefault="00A5391E" w:rsidP="00A5391E">
      <w:pPr>
        <w:pStyle w:val="aa"/>
      </w:pPr>
      <w:r w:rsidRPr="003620C0">
        <w:t>Решение.</w:t>
      </w:r>
    </w:p>
    <w:p w:rsidR="00A5391E" w:rsidRPr="003620C0" w:rsidRDefault="00A5391E" w:rsidP="00A5391E">
      <w:pPr>
        <w:pStyle w:val="aa"/>
      </w:pPr>
      <w:r w:rsidRPr="003620C0">
        <w:t>Определим остаточную стоимость имущества, подлежащего обложению налогом на имущество и числящегося на балансе ЗАО</w:t>
      </w:r>
      <w:r>
        <w:t xml:space="preserve"> </w:t>
      </w:r>
      <w:r w:rsidRPr="003620C0">
        <w:t>«Машиностроитель» (местонахождение – г.Пермь) , на балансе филиала (другой регион)</w:t>
      </w:r>
    </w:p>
    <w:p w:rsidR="00A5391E" w:rsidRDefault="00A5391E" w:rsidP="00A5391E">
      <w:pPr>
        <w:pStyle w:val="aa"/>
      </w:pPr>
      <w:r w:rsidRPr="003620C0">
        <w:t>Определим суммы авансовых платежей:</w:t>
      </w:r>
    </w:p>
    <w:p w:rsidR="00A5391E" w:rsidRPr="003620C0" w:rsidRDefault="00A5391E" w:rsidP="00A5391E">
      <w:pPr>
        <w:pStyle w:val="aa"/>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763"/>
        <w:gridCol w:w="850"/>
        <w:gridCol w:w="3576"/>
        <w:gridCol w:w="942"/>
        <w:gridCol w:w="2068"/>
      </w:tblGrid>
      <w:tr w:rsidR="00A5391E" w:rsidRPr="003620C0" w:rsidTr="009629CE">
        <w:tc>
          <w:tcPr>
            <w:tcW w:w="873" w:type="dxa"/>
            <w:vMerge w:val="restart"/>
            <w:textDirection w:val="btLr"/>
          </w:tcPr>
          <w:p w:rsidR="00A5391E" w:rsidRPr="003620C0" w:rsidRDefault="00A5391E" w:rsidP="009629CE">
            <w:pPr>
              <w:pStyle w:val="ab"/>
              <w:ind w:left="113" w:right="113"/>
            </w:pPr>
            <w:r w:rsidRPr="003620C0">
              <w:t>Отчетн. период</w:t>
            </w:r>
          </w:p>
        </w:tc>
        <w:tc>
          <w:tcPr>
            <w:tcW w:w="763" w:type="dxa"/>
            <w:vMerge w:val="restart"/>
            <w:textDirection w:val="btLr"/>
          </w:tcPr>
          <w:p w:rsidR="00A5391E" w:rsidRPr="003620C0" w:rsidRDefault="00A5391E" w:rsidP="009629CE">
            <w:pPr>
              <w:pStyle w:val="ab"/>
              <w:ind w:left="113" w:right="113"/>
            </w:pPr>
            <w:r w:rsidRPr="003620C0">
              <w:t>Срок уплаты</w:t>
            </w:r>
          </w:p>
        </w:tc>
        <w:tc>
          <w:tcPr>
            <w:tcW w:w="4426" w:type="dxa"/>
            <w:gridSpan w:val="2"/>
          </w:tcPr>
          <w:p w:rsidR="00A5391E" w:rsidRPr="003620C0" w:rsidRDefault="00A5391E" w:rsidP="00A5391E">
            <w:pPr>
              <w:pStyle w:val="ab"/>
            </w:pPr>
            <w:r w:rsidRPr="003620C0">
              <w:t>ЗАО «Машиностроитель» (г.Пермь)</w:t>
            </w:r>
          </w:p>
        </w:tc>
        <w:tc>
          <w:tcPr>
            <w:tcW w:w="3010" w:type="dxa"/>
            <w:gridSpan w:val="2"/>
          </w:tcPr>
          <w:p w:rsidR="00A5391E" w:rsidRPr="003620C0" w:rsidRDefault="00A5391E" w:rsidP="00A5391E">
            <w:pPr>
              <w:pStyle w:val="ab"/>
            </w:pPr>
            <w:r w:rsidRPr="003620C0">
              <w:t>Филиал</w:t>
            </w:r>
            <w:r>
              <w:t xml:space="preserve"> </w:t>
            </w:r>
            <w:r w:rsidRPr="003620C0">
              <w:t>(другой регион)</w:t>
            </w:r>
          </w:p>
        </w:tc>
      </w:tr>
      <w:tr w:rsidR="00A5391E" w:rsidRPr="003620C0" w:rsidTr="009629CE">
        <w:trPr>
          <w:cantSplit/>
          <w:trHeight w:val="1579"/>
        </w:trPr>
        <w:tc>
          <w:tcPr>
            <w:tcW w:w="873" w:type="dxa"/>
            <w:vMerge/>
          </w:tcPr>
          <w:p w:rsidR="00A5391E" w:rsidRPr="003620C0" w:rsidRDefault="00A5391E" w:rsidP="00A5391E">
            <w:pPr>
              <w:pStyle w:val="ab"/>
            </w:pPr>
          </w:p>
        </w:tc>
        <w:tc>
          <w:tcPr>
            <w:tcW w:w="763" w:type="dxa"/>
            <w:vMerge/>
          </w:tcPr>
          <w:p w:rsidR="00A5391E" w:rsidRPr="003620C0" w:rsidRDefault="00A5391E" w:rsidP="00A5391E">
            <w:pPr>
              <w:pStyle w:val="ab"/>
            </w:pPr>
          </w:p>
        </w:tc>
        <w:tc>
          <w:tcPr>
            <w:tcW w:w="850" w:type="dxa"/>
            <w:textDirection w:val="btLr"/>
          </w:tcPr>
          <w:p w:rsidR="00A5391E" w:rsidRPr="003620C0" w:rsidRDefault="00A5391E" w:rsidP="009629CE">
            <w:pPr>
              <w:pStyle w:val="ab"/>
              <w:ind w:left="113" w:right="113"/>
            </w:pPr>
            <w:r w:rsidRPr="003620C0">
              <w:t>Аванс. платеж</w:t>
            </w:r>
            <w:r>
              <w:t xml:space="preserve"> </w:t>
            </w:r>
            <w:r w:rsidRPr="003620C0">
              <w:t>(тыс. руб.)</w:t>
            </w:r>
          </w:p>
        </w:tc>
        <w:tc>
          <w:tcPr>
            <w:tcW w:w="3576" w:type="dxa"/>
          </w:tcPr>
          <w:p w:rsidR="00A5391E" w:rsidRPr="003620C0" w:rsidRDefault="00A5391E" w:rsidP="00A5391E">
            <w:pPr>
              <w:pStyle w:val="ab"/>
            </w:pPr>
            <w:r w:rsidRPr="003620C0">
              <w:t>Расчет аванс. платежа</w:t>
            </w:r>
          </w:p>
        </w:tc>
        <w:tc>
          <w:tcPr>
            <w:tcW w:w="942" w:type="dxa"/>
            <w:textDirection w:val="btLr"/>
          </w:tcPr>
          <w:p w:rsidR="00A5391E" w:rsidRPr="003620C0" w:rsidRDefault="00A5391E" w:rsidP="009629CE">
            <w:pPr>
              <w:pStyle w:val="ab"/>
              <w:ind w:left="113" w:right="113"/>
            </w:pPr>
            <w:r w:rsidRPr="003620C0">
              <w:t>Аванс. платеж</w:t>
            </w:r>
            <w:r>
              <w:t xml:space="preserve"> </w:t>
            </w:r>
            <w:r w:rsidRPr="003620C0">
              <w:t>(тыс. руб.)</w:t>
            </w:r>
          </w:p>
        </w:tc>
        <w:tc>
          <w:tcPr>
            <w:tcW w:w="2068" w:type="dxa"/>
            <w:textDirection w:val="btLr"/>
          </w:tcPr>
          <w:p w:rsidR="00A5391E" w:rsidRPr="003620C0" w:rsidRDefault="00A5391E" w:rsidP="009629CE">
            <w:pPr>
              <w:pStyle w:val="ab"/>
              <w:ind w:left="113" w:right="113"/>
            </w:pPr>
            <w:r w:rsidRPr="003620C0">
              <w:t>Расчет аванс. платежа</w:t>
            </w:r>
          </w:p>
        </w:tc>
      </w:tr>
      <w:tr w:rsidR="00A5391E" w:rsidRPr="003620C0" w:rsidTr="009629CE">
        <w:tc>
          <w:tcPr>
            <w:tcW w:w="873" w:type="dxa"/>
          </w:tcPr>
          <w:p w:rsidR="00A5391E" w:rsidRPr="003620C0" w:rsidRDefault="00A5391E" w:rsidP="00A5391E">
            <w:pPr>
              <w:pStyle w:val="ab"/>
            </w:pPr>
            <w:r w:rsidRPr="003620C0">
              <w:t>I квартал</w:t>
            </w:r>
          </w:p>
        </w:tc>
        <w:tc>
          <w:tcPr>
            <w:tcW w:w="763" w:type="dxa"/>
          </w:tcPr>
          <w:p w:rsidR="00A5391E" w:rsidRPr="003620C0" w:rsidRDefault="00A5391E" w:rsidP="00A5391E">
            <w:pPr>
              <w:pStyle w:val="ab"/>
            </w:pPr>
            <w:r w:rsidRPr="003620C0">
              <w:t>30.04</w:t>
            </w:r>
          </w:p>
        </w:tc>
        <w:tc>
          <w:tcPr>
            <w:tcW w:w="850" w:type="dxa"/>
          </w:tcPr>
          <w:p w:rsidR="00A5391E" w:rsidRPr="003620C0" w:rsidRDefault="00A5391E" w:rsidP="00A5391E">
            <w:pPr>
              <w:pStyle w:val="ab"/>
            </w:pPr>
            <w:r w:rsidRPr="003620C0">
              <w:t>41,4</w:t>
            </w:r>
          </w:p>
        </w:tc>
        <w:tc>
          <w:tcPr>
            <w:tcW w:w="3576" w:type="dxa"/>
          </w:tcPr>
          <w:p w:rsidR="00A5391E" w:rsidRPr="003620C0" w:rsidRDefault="00A5391E" w:rsidP="00A5391E">
            <w:pPr>
              <w:pStyle w:val="ab"/>
            </w:pPr>
            <w:r w:rsidRPr="003620C0">
              <w:t>СрГодСт=(7620 + 7585 + 7527 + 7350) / 4 = 30</w:t>
            </w:r>
            <w:r>
              <w:t xml:space="preserve"> </w:t>
            </w:r>
            <w:r w:rsidRPr="003620C0">
              <w:t>082 / 4 = 7520,5</w:t>
            </w:r>
          </w:p>
          <w:p w:rsidR="00A5391E" w:rsidRPr="003620C0" w:rsidRDefault="00A5391E" w:rsidP="00A5391E">
            <w:pPr>
              <w:pStyle w:val="ab"/>
            </w:pPr>
            <w:r w:rsidRPr="003620C0">
              <w:t>АвПл = (7520,5 * 2,2%)</w:t>
            </w:r>
            <w:r>
              <w:t xml:space="preserve"> </w:t>
            </w:r>
            <w:r w:rsidRPr="003620C0">
              <w:t>/ 4 = 165,5 / 4 = 41,4</w:t>
            </w:r>
          </w:p>
        </w:tc>
        <w:tc>
          <w:tcPr>
            <w:tcW w:w="942" w:type="dxa"/>
          </w:tcPr>
          <w:p w:rsidR="00A5391E" w:rsidRPr="003620C0" w:rsidRDefault="00A5391E" w:rsidP="00A5391E">
            <w:pPr>
              <w:pStyle w:val="ab"/>
            </w:pPr>
            <w:r w:rsidRPr="003620C0">
              <w:t>3,3</w:t>
            </w:r>
          </w:p>
        </w:tc>
        <w:tc>
          <w:tcPr>
            <w:tcW w:w="2068" w:type="dxa"/>
          </w:tcPr>
          <w:p w:rsidR="00A5391E" w:rsidRPr="003620C0" w:rsidRDefault="00A5391E" w:rsidP="00A5391E">
            <w:pPr>
              <w:pStyle w:val="ab"/>
            </w:pPr>
            <w:r w:rsidRPr="003620C0">
              <w:t>СрГодСт=(630 + 615 + 620 + 750) / 4 = 2615 / 4 = 653,8</w:t>
            </w:r>
          </w:p>
          <w:p w:rsidR="00A5391E" w:rsidRPr="003620C0" w:rsidRDefault="00A5391E" w:rsidP="00A5391E">
            <w:pPr>
              <w:pStyle w:val="ab"/>
            </w:pPr>
            <w:r w:rsidRPr="003620C0">
              <w:t>АвПл = (653,8 * 2,0%)</w:t>
            </w:r>
            <w:r>
              <w:t xml:space="preserve"> </w:t>
            </w:r>
            <w:r w:rsidRPr="003620C0">
              <w:t>/ 4 = 3,3</w:t>
            </w:r>
          </w:p>
        </w:tc>
      </w:tr>
    </w:tbl>
    <w:p w:rsidR="00A5391E" w:rsidRPr="003620C0" w:rsidRDefault="00A5391E" w:rsidP="00A5391E">
      <w:pPr>
        <w:pStyle w:val="aa"/>
      </w:pPr>
    </w:p>
    <w:p w:rsidR="00A5391E" w:rsidRPr="003620C0" w:rsidRDefault="00A5391E" w:rsidP="00A5391E">
      <w:pPr>
        <w:pStyle w:val="aa"/>
      </w:pPr>
      <w:r w:rsidRPr="003620C0">
        <w:t>Задание 2.</w:t>
      </w:r>
    </w:p>
    <w:p w:rsidR="00A5391E" w:rsidRDefault="00A5391E" w:rsidP="00A5391E">
      <w:pPr>
        <w:pStyle w:val="aa"/>
      </w:pPr>
      <w:r w:rsidRPr="003620C0">
        <w:t>По состоянию на 1 апреля т.г. игорное заведение «Гэмблинг» имеет 12 игровых столов, в том числе 2, содержащих по три игровых поля, 17 игровых автоматов. 20 апреля в связи с поломкой выбыло 3 игровых автомата, о чем своевременно подано заявление в налоговый орган.</w:t>
      </w:r>
    </w:p>
    <w:p w:rsidR="00A5391E" w:rsidRPr="003620C0" w:rsidRDefault="00A5391E" w:rsidP="00A5391E">
      <w:pPr>
        <w:pStyle w:val="aa"/>
      </w:pPr>
      <w:r w:rsidRPr="003620C0">
        <w:t>10 мая т.г. игорное заведение подало заявление об увеличении количества автоматов до 20, в том числе установлены 2 автомата с выигрышем в виде мягкой игрушки. 18 июня открыто 2 кассы тотализаторов.</w:t>
      </w:r>
    </w:p>
    <w:p w:rsidR="00A5391E" w:rsidRPr="003620C0" w:rsidRDefault="00A5391E" w:rsidP="00A5391E">
      <w:pPr>
        <w:pStyle w:val="aa"/>
      </w:pPr>
      <w:r w:rsidRPr="003620C0">
        <w:t>При проведении выездной налоговой проверки налоговый орган не выявил незарегистрированных объектов налогообложения.</w:t>
      </w:r>
    </w:p>
    <w:p w:rsidR="00A5391E" w:rsidRPr="003620C0" w:rsidRDefault="00A5391E" w:rsidP="00A5391E">
      <w:pPr>
        <w:pStyle w:val="aa"/>
      </w:pPr>
      <w:r w:rsidRPr="003620C0">
        <w:t>Одновременно казино проводит еженедельные лотереи с общим объемом призов (недельным) на сумму 150 тыс. руб.</w:t>
      </w:r>
    </w:p>
    <w:p w:rsidR="00A5391E" w:rsidRPr="003620C0" w:rsidRDefault="00A5391E" w:rsidP="00A5391E">
      <w:pPr>
        <w:pStyle w:val="aa"/>
      </w:pPr>
      <w:r w:rsidRPr="003620C0">
        <w:t>Рассчитайтесь с бюджетом по налогу на игорный бизнес за апрель, май, июнь т.г.</w:t>
      </w:r>
    </w:p>
    <w:p w:rsidR="00A5391E" w:rsidRPr="003620C0" w:rsidRDefault="00A5391E" w:rsidP="00A5391E">
      <w:pPr>
        <w:pStyle w:val="aa"/>
      </w:pPr>
      <w:r w:rsidRPr="003620C0">
        <w:t>Решение.</w:t>
      </w:r>
    </w:p>
    <w:p w:rsidR="00A5391E" w:rsidRPr="003620C0" w:rsidRDefault="00A5391E" w:rsidP="00A5391E">
      <w:pPr>
        <w:pStyle w:val="aa"/>
      </w:pPr>
      <w:r w:rsidRPr="003620C0">
        <w:t>Согласно НК РФ, в случае, если ставки налогов не установлены законами субъектов Российской Федерации, ставки налогов устанавливаются в следующих размерах:</w:t>
      </w:r>
    </w:p>
    <w:p w:rsidR="00A5391E" w:rsidRPr="003620C0" w:rsidRDefault="00A5391E" w:rsidP="00A5391E">
      <w:pPr>
        <w:pStyle w:val="aa"/>
      </w:pPr>
      <w:bookmarkStart w:id="0" w:name="par9028"/>
      <w:bookmarkEnd w:id="0"/>
      <w:r w:rsidRPr="003620C0">
        <w:t>1) за один игровой стол - 25 000 рублей;</w:t>
      </w:r>
    </w:p>
    <w:p w:rsidR="00A5391E" w:rsidRPr="003620C0" w:rsidRDefault="00A5391E" w:rsidP="00A5391E">
      <w:pPr>
        <w:pStyle w:val="aa"/>
      </w:pPr>
      <w:bookmarkStart w:id="1" w:name="par9029"/>
      <w:bookmarkEnd w:id="1"/>
      <w:r w:rsidRPr="003620C0">
        <w:t>2) за один игровой автомат - 1 500 рублей;</w:t>
      </w:r>
    </w:p>
    <w:p w:rsidR="00A5391E" w:rsidRPr="003620C0" w:rsidRDefault="00A5391E" w:rsidP="00A5391E">
      <w:pPr>
        <w:pStyle w:val="aa"/>
      </w:pPr>
      <w:bookmarkStart w:id="2" w:name="par9030"/>
      <w:bookmarkEnd w:id="2"/>
      <w:r w:rsidRPr="003620C0">
        <w:t>3) за одну кассу тотализатора или одну кассу букмекерской конторы - 25 000 рублей.</w:t>
      </w:r>
    </w:p>
    <w:p w:rsidR="00A5391E" w:rsidRPr="003620C0" w:rsidRDefault="00A5391E" w:rsidP="00A5391E">
      <w:pPr>
        <w:pStyle w:val="aa"/>
      </w:pPr>
      <w:r w:rsidRPr="003620C0">
        <w:t>Порядок исчисления налога:</w:t>
      </w:r>
    </w:p>
    <w:p w:rsidR="00A5391E" w:rsidRPr="003620C0" w:rsidRDefault="00A5391E" w:rsidP="00A5391E">
      <w:pPr>
        <w:pStyle w:val="aa"/>
      </w:pPr>
      <w:r w:rsidRPr="003620C0">
        <w:t>- Сумма налога исчисляется налогоплательщиком самостоятельно как произведение налоговой базы, установленной по каждому объекту налогообложения, и ставки налога, установленной для каждого объекта налогообложения.</w:t>
      </w:r>
    </w:p>
    <w:p w:rsidR="00A5391E" w:rsidRPr="003620C0" w:rsidRDefault="00A5391E" w:rsidP="00A5391E">
      <w:pPr>
        <w:pStyle w:val="aa"/>
      </w:pPr>
      <w:bookmarkStart w:id="3" w:name="par9033"/>
      <w:bookmarkEnd w:id="3"/>
      <w:r w:rsidRPr="003620C0">
        <w:t>- В случае, если один игровой стол имеет более одного игрового поля, ставка налога по указанному игровому столу увеличивается кратно количеству игровых полей.</w:t>
      </w:r>
    </w:p>
    <w:p w:rsidR="00A5391E" w:rsidRDefault="00A5391E" w:rsidP="00A5391E">
      <w:pPr>
        <w:pStyle w:val="aa"/>
      </w:pPr>
      <w:r w:rsidRPr="003620C0">
        <w:t>При выполнении задания будем использовать ставки налога, указанные в п.2 ст. 369 НК РФ.</w:t>
      </w:r>
    </w:p>
    <w:p w:rsidR="009629CE" w:rsidRPr="003620C0" w:rsidRDefault="009629CE" w:rsidP="00A5391E">
      <w:pPr>
        <w:pStyle w:val="aa"/>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535"/>
        <w:gridCol w:w="4694"/>
      </w:tblGrid>
      <w:tr w:rsidR="00A5391E" w:rsidRPr="003620C0" w:rsidTr="009629CE">
        <w:tc>
          <w:tcPr>
            <w:tcW w:w="1843" w:type="dxa"/>
          </w:tcPr>
          <w:p w:rsidR="00A5391E" w:rsidRPr="003620C0" w:rsidRDefault="00A5391E" w:rsidP="009629CE">
            <w:pPr>
              <w:pStyle w:val="ab"/>
            </w:pPr>
            <w:r w:rsidRPr="003620C0">
              <w:t>Налоговый период</w:t>
            </w:r>
          </w:p>
        </w:tc>
        <w:tc>
          <w:tcPr>
            <w:tcW w:w="2535" w:type="dxa"/>
          </w:tcPr>
          <w:p w:rsidR="00A5391E" w:rsidRPr="003620C0" w:rsidRDefault="00A5391E" w:rsidP="009629CE">
            <w:pPr>
              <w:pStyle w:val="ab"/>
            </w:pPr>
            <w:r w:rsidRPr="003620C0">
              <w:t>Сумма налога к уплате</w:t>
            </w:r>
            <w:r w:rsidR="009629CE">
              <w:t xml:space="preserve"> </w:t>
            </w:r>
            <w:r w:rsidRPr="003620C0">
              <w:t>(руб.)</w:t>
            </w:r>
          </w:p>
        </w:tc>
        <w:tc>
          <w:tcPr>
            <w:tcW w:w="4694" w:type="dxa"/>
          </w:tcPr>
          <w:p w:rsidR="00A5391E" w:rsidRPr="003620C0" w:rsidRDefault="00A5391E" w:rsidP="009629CE">
            <w:pPr>
              <w:pStyle w:val="ab"/>
            </w:pPr>
            <w:r w:rsidRPr="003620C0">
              <w:t>Расчет суммы налога</w:t>
            </w:r>
          </w:p>
        </w:tc>
      </w:tr>
      <w:tr w:rsidR="00A5391E" w:rsidRPr="003620C0" w:rsidTr="009629CE">
        <w:tc>
          <w:tcPr>
            <w:tcW w:w="1843" w:type="dxa"/>
          </w:tcPr>
          <w:p w:rsidR="00A5391E" w:rsidRPr="003620C0" w:rsidRDefault="00A5391E" w:rsidP="009629CE">
            <w:pPr>
              <w:pStyle w:val="ab"/>
            </w:pPr>
            <w:r w:rsidRPr="003620C0">
              <w:t>Апрель</w:t>
            </w:r>
          </w:p>
        </w:tc>
        <w:tc>
          <w:tcPr>
            <w:tcW w:w="2535" w:type="dxa"/>
          </w:tcPr>
          <w:p w:rsidR="00A5391E" w:rsidRPr="003620C0" w:rsidRDefault="00A5391E" w:rsidP="009629CE">
            <w:pPr>
              <w:pStyle w:val="ab"/>
            </w:pPr>
            <w:r w:rsidRPr="003620C0">
              <w:t>425</w:t>
            </w:r>
            <w:r>
              <w:t xml:space="preserve"> </w:t>
            </w:r>
            <w:r w:rsidRPr="003620C0">
              <w:t>500,0</w:t>
            </w:r>
          </w:p>
        </w:tc>
        <w:tc>
          <w:tcPr>
            <w:tcW w:w="4694" w:type="dxa"/>
          </w:tcPr>
          <w:p w:rsidR="00A5391E" w:rsidRPr="003620C0" w:rsidRDefault="00A5391E" w:rsidP="009629CE">
            <w:pPr>
              <w:pStyle w:val="ab"/>
            </w:pPr>
            <w:r w:rsidRPr="003620C0">
              <w:t>10 * 25000,0 + 2 * 25000,0*3 + 17 * 1500,0 = 425500,0</w:t>
            </w:r>
          </w:p>
        </w:tc>
      </w:tr>
      <w:tr w:rsidR="00A5391E" w:rsidRPr="003620C0" w:rsidTr="009629CE">
        <w:trPr>
          <w:trHeight w:val="494"/>
        </w:trPr>
        <w:tc>
          <w:tcPr>
            <w:tcW w:w="1843" w:type="dxa"/>
          </w:tcPr>
          <w:p w:rsidR="00A5391E" w:rsidRPr="003620C0" w:rsidRDefault="00A5391E" w:rsidP="009629CE">
            <w:pPr>
              <w:pStyle w:val="ab"/>
            </w:pPr>
            <w:r w:rsidRPr="003620C0">
              <w:t>Май</w:t>
            </w:r>
          </w:p>
        </w:tc>
        <w:tc>
          <w:tcPr>
            <w:tcW w:w="2535" w:type="dxa"/>
          </w:tcPr>
          <w:p w:rsidR="00A5391E" w:rsidRPr="003620C0" w:rsidRDefault="00A5391E" w:rsidP="009629CE">
            <w:pPr>
              <w:pStyle w:val="ab"/>
            </w:pPr>
            <w:r w:rsidRPr="003620C0">
              <w:t>430</w:t>
            </w:r>
            <w:r>
              <w:t xml:space="preserve"> </w:t>
            </w:r>
            <w:r w:rsidRPr="003620C0">
              <w:t>000,0</w:t>
            </w:r>
          </w:p>
        </w:tc>
        <w:tc>
          <w:tcPr>
            <w:tcW w:w="4694" w:type="dxa"/>
          </w:tcPr>
          <w:p w:rsidR="00A5391E" w:rsidRPr="003620C0" w:rsidRDefault="00A5391E" w:rsidP="009629CE">
            <w:pPr>
              <w:pStyle w:val="ab"/>
            </w:pPr>
            <w:r w:rsidRPr="003620C0">
              <w:t>10 * 25000,0 + 2 * 25000,0*3 + 20 * 1500,0 = 430</w:t>
            </w:r>
            <w:r>
              <w:t xml:space="preserve"> </w:t>
            </w:r>
            <w:r w:rsidRPr="003620C0">
              <w:t>000,0</w:t>
            </w:r>
          </w:p>
        </w:tc>
      </w:tr>
      <w:tr w:rsidR="00A5391E" w:rsidRPr="003620C0" w:rsidTr="009629CE">
        <w:tc>
          <w:tcPr>
            <w:tcW w:w="1843" w:type="dxa"/>
          </w:tcPr>
          <w:p w:rsidR="00A5391E" w:rsidRPr="003620C0" w:rsidRDefault="00A5391E" w:rsidP="009629CE">
            <w:pPr>
              <w:pStyle w:val="ab"/>
            </w:pPr>
            <w:r w:rsidRPr="003620C0">
              <w:t>Июнь</w:t>
            </w:r>
          </w:p>
        </w:tc>
        <w:tc>
          <w:tcPr>
            <w:tcW w:w="2535" w:type="dxa"/>
          </w:tcPr>
          <w:p w:rsidR="00A5391E" w:rsidRPr="003620C0" w:rsidRDefault="00A5391E" w:rsidP="009629CE">
            <w:pPr>
              <w:pStyle w:val="ab"/>
            </w:pPr>
            <w:r w:rsidRPr="003620C0">
              <w:t>455</w:t>
            </w:r>
            <w:r>
              <w:t xml:space="preserve"> </w:t>
            </w:r>
            <w:r w:rsidRPr="003620C0">
              <w:t>000,0</w:t>
            </w:r>
          </w:p>
        </w:tc>
        <w:tc>
          <w:tcPr>
            <w:tcW w:w="4694" w:type="dxa"/>
          </w:tcPr>
          <w:p w:rsidR="00A5391E" w:rsidRPr="003620C0" w:rsidRDefault="00A5391E" w:rsidP="009629CE">
            <w:pPr>
              <w:pStyle w:val="ab"/>
            </w:pPr>
            <w:r w:rsidRPr="003620C0">
              <w:t>10 * 25000,0 + 2 * 25000,0*3 + 20 * 1500,0 + 2 * 25000,0 * (1/2) = 455</w:t>
            </w:r>
            <w:r>
              <w:t xml:space="preserve"> </w:t>
            </w:r>
            <w:r w:rsidRPr="003620C0">
              <w:t>000,0</w:t>
            </w:r>
          </w:p>
        </w:tc>
      </w:tr>
    </w:tbl>
    <w:p w:rsidR="00A5391E" w:rsidRPr="003620C0" w:rsidRDefault="00A5391E" w:rsidP="00A5391E">
      <w:pPr>
        <w:pStyle w:val="aa"/>
      </w:pPr>
    </w:p>
    <w:p w:rsidR="002575F1" w:rsidRDefault="009629CE" w:rsidP="003620C0">
      <w:pPr>
        <w:pStyle w:val="aa"/>
      </w:pPr>
      <w:r>
        <w:br w:type="page"/>
      </w:r>
      <w:r w:rsidR="002575F1" w:rsidRPr="003620C0">
        <w:t>Заключение</w:t>
      </w:r>
    </w:p>
    <w:p w:rsidR="009629CE" w:rsidRPr="003620C0" w:rsidRDefault="009629CE" w:rsidP="003620C0">
      <w:pPr>
        <w:pStyle w:val="aa"/>
      </w:pPr>
    </w:p>
    <w:p w:rsidR="003A3749" w:rsidRPr="003620C0" w:rsidRDefault="003A3749" w:rsidP="003620C0">
      <w:pPr>
        <w:pStyle w:val="aa"/>
      </w:pPr>
      <w:r w:rsidRPr="003620C0">
        <w:t>С 1 января 2003 г. введен в действие транспортный налог, порядок исчисления и уплаты которого регулируется гл.28 НК РФ и законами субъектов РФ.</w:t>
      </w:r>
    </w:p>
    <w:p w:rsidR="003A3749" w:rsidRPr="003620C0" w:rsidRDefault="003A3749" w:rsidP="003620C0">
      <w:pPr>
        <w:pStyle w:val="aa"/>
      </w:pPr>
      <w:r w:rsidRPr="003620C0">
        <w:t>Транспортный налог - один из источников денежных средств, поступающих в территориальные дорожные фонды</w:t>
      </w:r>
      <w:r w:rsidR="006B175F" w:rsidRPr="003620C0">
        <w:t>.</w:t>
      </w:r>
    </w:p>
    <w:p w:rsidR="003A3749" w:rsidRPr="003620C0" w:rsidRDefault="003A3749" w:rsidP="003620C0">
      <w:pPr>
        <w:pStyle w:val="aa"/>
      </w:pPr>
      <w:r w:rsidRPr="003620C0">
        <w:t>Плательщиками транспортного налога выступают юридические и физические лица, на имя которых зарегистрированы транспортные средства.</w:t>
      </w:r>
    </w:p>
    <w:p w:rsidR="003A3749" w:rsidRPr="003620C0" w:rsidRDefault="003A3749" w:rsidP="003620C0">
      <w:pPr>
        <w:pStyle w:val="aa"/>
      </w:pPr>
      <w:r w:rsidRPr="003620C0">
        <w:t>Объектом налога признаются: автомобили; мотоциклы; мотороллеры; автобусы; другие самоходные машины и механизмы на пневматическом и гусеничном ходу; самолеты; вертолеты; теплоходы; парусные суда; катера; снегоходы; мотосани; моторные лодки; гидроциклы; несамоходные (буксирные) суда; другие водные и воздушные транспортные средства.</w:t>
      </w:r>
    </w:p>
    <w:p w:rsidR="003620C0" w:rsidRDefault="003A3749" w:rsidP="003620C0">
      <w:pPr>
        <w:pStyle w:val="aa"/>
      </w:pPr>
      <w:r w:rsidRPr="003620C0">
        <w:t>Налоговая база определяется: как мощность двигателя в лошадиных силах (для транспортных средств, имеющих двигатели); как паспортная статическая тяга реактивного двигателя (суммарная паспортная статическая тяга всех реактивных двигателей) воздушного транспортного средства на взлетном режиме в земных условиях в килограммах силы (для воздушных транспортных средств, для которых определяется тяга реактивного двигателя); как валовая вместимость в регистровых тоннах (в отношении водных несамоходных (буксируемых) транспортных средств) или как единица транспортного средства для остальных видов транспортных средств.</w:t>
      </w:r>
    </w:p>
    <w:p w:rsidR="003A3749" w:rsidRPr="003620C0" w:rsidRDefault="003A3749" w:rsidP="003620C0">
      <w:pPr>
        <w:pStyle w:val="aa"/>
      </w:pPr>
      <w:r w:rsidRPr="003620C0">
        <w:t>Сумма налога, подлежащая уплате в бюджет по итогам налогового периода, исчисляется в отношении каждого транспортного средства как произведение налоговой базы и налоговой ставки.</w:t>
      </w:r>
    </w:p>
    <w:p w:rsidR="003A3749" w:rsidRPr="003620C0" w:rsidRDefault="003A3749" w:rsidP="003620C0">
      <w:pPr>
        <w:pStyle w:val="aa"/>
      </w:pPr>
    </w:p>
    <w:p w:rsidR="003A3749" w:rsidRPr="003620C0" w:rsidRDefault="009629CE" w:rsidP="003620C0">
      <w:pPr>
        <w:pStyle w:val="aa"/>
      </w:pPr>
      <w:r>
        <w:br w:type="page"/>
      </w:r>
      <w:r w:rsidR="003A3749" w:rsidRPr="003620C0">
        <w:t>Список</w:t>
      </w:r>
      <w:r w:rsidR="003620C0">
        <w:t xml:space="preserve"> </w:t>
      </w:r>
      <w:r w:rsidR="003A3749" w:rsidRPr="003620C0">
        <w:t>литературы</w:t>
      </w:r>
    </w:p>
    <w:p w:rsidR="003A3749" w:rsidRPr="003620C0" w:rsidRDefault="003A3749" w:rsidP="003620C0">
      <w:pPr>
        <w:pStyle w:val="aa"/>
      </w:pPr>
    </w:p>
    <w:p w:rsidR="006B175F" w:rsidRPr="003620C0" w:rsidRDefault="006B175F" w:rsidP="009629CE">
      <w:pPr>
        <w:pStyle w:val="aa"/>
        <w:numPr>
          <w:ilvl w:val="0"/>
          <w:numId w:val="3"/>
        </w:numPr>
        <w:ind w:left="0" w:firstLine="0"/>
        <w:jc w:val="left"/>
      </w:pPr>
      <w:r w:rsidRPr="003620C0">
        <w:t xml:space="preserve">Налоги и налогообложение: учебник / под ред. </w:t>
      </w:r>
      <w:r w:rsidR="00A51088" w:rsidRPr="003620C0">
        <w:t>Б.Х. Алиева. – 2-е изд., перераб. и доп. – М.: Финансы и статистика, 2009. – 448 с.: ил.</w:t>
      </w:r>
    </w:p>
    <w:p w:rsidR="00A51088" w:rsidRPr="003620C0" w:rsidRDefault="00A51088" w:rsidP="009629CE">
      <w:pPr>
        <w:pStyle w:val="aa"/>
        <w:numPr>
          <w:ilvl w:val="0"/>
          <w:numId w:val="3"/>
        </w:numPr>
        <w:ind w:left="0" w:firstLine="0"/>
        <w:jc w:val="left"/>
      </w:pPr>
      <w:r w:rsidRPr="003620C0">
        <w:t>Налогообложение юри</w:t>
      </w:r>
      <w:r w:rsidR="00DC5AF8" w:rsidRPr="003620C0">
        <w:t>д</w:t>
      </w:r>
      <w:r w:rsidRPr="003620C0">
        <w:t>ических и физических лиц / В.Н. Незамайкин, И.Л. Юрзинова. – М.: Издательство «Экзамен», 2008. – 448 с.</w:t>
      </w:r>
    </w:p>
    <w:p w:rsidR="005E3A52" w:rsidRPr="003620C0" w:rsidRDefault="005E3A52" w:rsidP="009629CE">
      <w:pPr>
        <w:pStyle w:val="aa"/>
        <w:numPr>
          <w:ilvl w:val="0"/>
          <w:numId w:val="3"/>
        </w:numPr>
        <w:ind w:left="0" w:firstLine="0"/>
        <w:jc w:val="left"/>
      </w:pPr>
      <w:r w:rsidRPr="003620C0">
        <w:t>Налоги и налогообложение: учеб. Пособие для студентов вузов, обучающихся по экономическим специальностям / Д.Г. Черник и др.; под ред. Д.Г. Черника. – М.: ЮНИТИ-ДАНА, 2009. – 311 с.</w:t>
      </w:r>
    </w:p>
    <w:p w:rsidR="005E3A52" w:rsidRPr="003620C0" w:rsidRDefault="005E3A52" w:rsidP="009629CE">
      <w:pPr>
        <w:pStyle w:val="aa"/>
        <w:numPr>
          <w:ilvl w:val="0"/>
          <w:numId w:val="3"/>
        </w:numPr>
        <w:ind w:left="0" w:firstLine="0"/>
        <w:jc w:val="left"/>
      </w:pPr>
      <w:r w:rsidRPr="003620C0">
        <w:t>Региональные и местные налоги: учеб. пособие для студентов вузов / Т.Н. Оканова, М.Е. Косов. – М.: ЮНИТИ-ДАНА: Закон и право, 2008. – 120 с.</w:t>
      </w:r>
    </w:p>
    <w:p w:rsidR="005E3A52" w:rsidRPr="003620C0" w:rsidRDefault="005E3A52" w:rsidP="009629CE">
      <w:pPr>
        <w:pStyle w:val="aa"/>
        <w:numPr>
          <w:ilvl w:val="0"/>
          <w:numId w:val="3"/>
        </w:numPr>
        <w:ind w:left="0" w:firstLine="0"/>
        <w:jc w:val="left"/>
      </w:pPr>
      <w:r w:rsidRPr="003620C0">
        <w:t>Налоговое право: учебник для студентов вузов, обучающихся по направлению 521400 «Юриспруденция» и по специальностям 021100 «Юриспруденция», 023100 «Правоохранительная деятельность» / Ю.А. Крохина. – М.: ЮНИТИ-ДАНА, 2009. – 383 с.</w:t>
      </w:r>
    </w:p>
    <w:p w:rsidR="005E3A52" w:rsidRPr="003620C0" w:rsidRDefault="005E3A52" w:rsidP="009629CE">
      <w:pPr>
        <w:pStyle w:val="aa"/>
        <w:numPr>
          <w:ilvl w:val="0"/>
          <w:numId w:val="3"/>
        </w:numPr>
        <w:ind w:left="0" w:firstLine="0"/>
        <w:jc w:val="left"/>
      </w:pPr>
      <w:r w:rsidRPr="003620C0">
        <w:t>Налоговый Кодекс РФ (Часть 2) от 05.08.2000 № 117-ФЗ</w:t>
      </w:r>
    </w:p>
    <w:p w:rsidR="005E3A52" w:rsidRPr="003620C0" w:rsidRDefault="005E3A52" w:rsidP="009629CE">
      <w:pPr>
        <w:pStyle w:val="aa"/>
        <w:numPr>
          <w:ilvl w:val="0"/>
          <w:numId w:val="3"/>
        </w:numPr>
        <w:ind w:left="0" w:firstLine="0"/>
        <w:jc w:val="left"/>
      </w:pPr>
      <w:r w:rsidRPr="003620C0">
        <w:t xml:space="preserve">Гражданский Кодекс РФ </w:t>
      </w:r>
      <w:r w:rsidR="006B175F" w:rsidRPr="003620C0">
        <w:t>(Часть 1) от 30.11.1994 № 51-ФЗ</w:t>
      </w:r>
    </w:p>
    <w:p w:rsidR="003A3749" w:rsidRPr="003620C0" w:rsidRDefault="003A3749" w:rsidP="009629CE">
      <w:pPr>
        <w:pStyle w:val="aa"/>
        <w:ind w:firstLine="0"/>
        <w:jc w:val="left"/>
      </w:pPr>
      <w:bookmarkStart w:id="4" w:name="_GoBack"/>
      <w:bookmarkEnd w:id="4"/>
    </w:p>
    <w:sectPr w:rsidR="003A3749" w:rsidRPr="003620C0" w:rsidSect="003620C0">
      <w:footerReference w:type="even" r:id="rId7"/>
      <w:footerReference w:type="default" r:id="rId8"/>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D9E" w:rsidRDefault="00462D9E">
      <w:r>
        <w:separator/>
      </w:r>
    </w:p>
  </w:endnote>
  <w:endnote w:type="continuationSeparator" w:id="0">
    <w:p w:rsidR="00462D9E" w:rsidRDefault="0046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360" w:rsidRDefault="00493360" w:rsidP="00222B39">
    <w:pPr>
      <w:pStyle w:val="a7"/>
      <w:framePr w:wrap="around" w:vAnchor="text" w:hAnchor="margin" w:xAlign="right" w:y="1"/>
      <w:rPr>
        <w:rStyle w:val="a9"/>
      </w:rPr>
    </w:pPr>
  </w:p>
  <w:p w:rsidR="00493360" w:rsidRDefault="00493360" w:rsidP="0049336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360" w:rsidRDefault="00733236" w:rsidP="00222B39">
    <w:pPr>
      <w:pStyle w:val="a7"/>
      <w:framePr w:wrap="around" w:vAnchor="text" w:hAnchor="margin" w:xAlign="right" w:y="1"/>
      <w:rPr>
        <w:rStyle w:val="a9"/>
      </w:rPr>
    </w:pPr>
    <w:r>
      <w:rPr>
        <w:rStyle w:val="a9"/>
        <w:noProof/>
      </w:rPr>
      <w:t>1</w:t>
    </w:r>
  </w:p>
  <w:p w:rsidR="00493360" w:rsidRDefault="00493360" w:rsidP="0049336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D9E" w:rsidRDefault="00462D9E">
      <w:r>
        <w:separator/>
      </w:r>
    </w:p>
  </w:footnote>
  <w:footnote w:type="continuationSeparator" w:id="0">
    <w:p w:rsidR="00462D9E" w:rsidRDefault="00462D9E">
      <w:r>
        <w:continuationSeparator/>
      </w:r>
    </w:p>
  </w:footnote>
  <w:footnote w:id="1">
    <w:p w:rsidR="00462D9E" w:rsidRDefault="00DC5AF8" w:rsidP="00A5391E">
      <w:pPr>
        <w:pStyle w:val="ab"/>
      </w:pPr>
      <w:r>
        <w:rPr>
          <w:rStyle w:val="a6"/>
        </w:rPr>
        <w:footnoteRef/>
      </w:r>
      <w:r>
        <w:t xml:space="preserve"> </w:t>
      </w:r>
      <w:r w:rsidRPr="00DC5AF8">
        <w:t>Стр. 185 Налоги и налогообложение: учеб. Пособие для студентов вузов, обучающихся по экономическим специальностям / Д.Г. Черник и др.; под ред. Д.Г. Черника. – М.: ЮНИТИ-ДАНА, 2009.</w:t>
      </w:r>
    </w:p>
  </w:footnote>
  <w:footnote w:id="2">
    <w:p w:rsidR="00462D9E" w:rsidRDefault="00DC5AF8" w:rsidP="00A5391E">
      <w:pPr>
        <w:pStyle w:val="ab"/>
      </w:pPr>
      <w:r>
        <w:rPr>
          <w:rStyle w:val="a6"/>
        </w:rPr>
        <w:footnoteRef/>
      </w:r>
      <w:r>
        <w:t xml:space="preserve"> </w:t>
      </w:r>
      <w:r w:rsidRPr="00DC5AF8">
        <w:t>Стр. 237 Налогообложение юри</w:t>
      </w:r>
      <w:r>
        <w:t>д</w:t>
      </w:r>
      <w:r w:rsidRPr="00DC5AF8">
        <w:t>ических и физических лиц / В.Н. Незамайкин, И.Л. Юрзинова. – М.: Издательство «Экзамен», 2008.</w:t>
      </w:r>
    </w:p>
  </w:footnote>
  <w:footnote w:id="3">
    <w:p w:rsidR="00462D9E" w:rsidRDefault="00DC5AF8" w:rsidP="00A5391E">
      <w:pPr>
        <w:pStyle w:val="ab"/>
      </w:pPr>
      <w:r>
        <w:rPr>
          <w:rStyle w:val="a6"/>
        </w:rPr>
        <w:footnoteRef/>
      </w:r>
      <w:r>
        <w:t xml:space="preserve"> </w:t>
      </w:r>
      <w:r w:rsidRPr="00DC5AF8">
        <w:t>Стр. 185 Налоги и налогообложение: учеб. Пособие для студентов вузов, обучающихся по экономическим специальностям / Д.Г. Черник и др.; под ред. Д.Г. Черника. – М.: ЮНИТИ-ДАНА, 2009.</w:t>
      </w:r>
    </w:p>
  </w:footnote>
  <w:footnote w:id="4">
    <w:p w:rsidR="00462D9E" w:rsidRDefault="00DC5AF8" w:rsidP="00A5391E">
      <w:pPr>
        <w:pStyle w:val="ab"/>
      </w:pPr>
      <w:r>
        <w:rPr>
          <w:rStyle w:val="a6"/>
        </w:rPr>
        <w:footnoteRef/>
      </w:r>
      <w:r>
        <w:t xml:space="preserve"> </w:t>
      </w:r>
      <w:r w:rsidRPr="00DC5AF8">
        <w:t>Стр. 276 Налоги и налогообложение: учебник / под ред. Б.Х. Алиева. – 2-е изд., перераб. и доп. – М.: Финансы и статистика, 2009.</w:t>
      </w:r>
    </w:p>
  </w:footnote>
  <w:footnote w:id="5">
    <w:p w:rsidR="00462D9E" w:rsidRDefault="00F921AD" w:rsidP="00A5391E">
      <w:pPr>
        <w:pStyle w:val="ab"/>
      </w:pPr>
      <w:r w:rsidRPr="00F921AD">
        <w:rPr>
          <w:rStyle w:val="a6"/>
          <w:szCs w:val="20"/>
        </w:rPr>
        <w:footnoteRef/>
      </w:r>
      <w:r w:rsidRPr="00F921AD">
        <w:rPr>
          <w:szCs w:val="20"/>
        </w:rPr>
        <w:t xml:space="preserve"> Ст. 185 Гражданского Кодекса РФ (Часть 1) от 30.11.1994 № 51-ФЗ</w:t>
      </w:r>
    </w:p>
  </w:footnote>
  <w:footnote w:id="6">
    <w:p w:rsidR="00462D9E" w:rsidRDefault="00DC5AF8" w:rsidP="00A5391E">
      <w:pPr>
        <w:pStyle w:val="ab"/>
      </w:pPr>
      <w:r w:rsidRPr="00DC5AF8">
        <w:rPr>
          <w:rStyle w:val="FontStyle22"/>
          <w:b w:val="0"/>
          <w:bCs w:val="0"/>
        </w:rPr>
        <w:footnoteRef/>
      </w:r>
      <w:r w:rsidRPr="00DC5AF8">
        <w:rPr>
          <w:rStyle w:val="FontStyle22"/>
          <w:b w:val="0"/>
          <w:bCs w:val="0"/>
        </w:rPr>
        <w:t xml:space="preserve"> Ст. 357 Налогового Кодекса РФ (Часть 2) от 05.08.2000 № 117-ФЗ</w:t>
      </w:r>
    </w:p>
  </w:footnote>
  <w:footnote w:id="7">
    <w:p w:rsidR="00462D9E" w:rsidRDefault="00DC5AF8" w:rsidP="00A5391E">
      <w:pPr>
        <w:pStyle w:val="ab"/>
      </w:pPr>
      <w:r>
        <w:rPr>
          <w:rStyle w:val="a6"/>
        </w:rPr>
        <w:footnoteRef/>
      </w:r>
      <w:r>
        <w:t xml:space="preserve"> Стр. 366 </w:t>
      </w:r>
      <w:r w:rsidR="00F921AD" w:rsidRPr="00F921AD">
        <w:t>Налоговое право: учебник для студентов вузов, обучающихся по направлению 521400 «Юриспруденция» и по специальностям 021100</w:t>
      </w:r>
      <w:r w:rsidR="00F921AD">
        <w:rPr>
          <w:sz w:val="28"/>
          <w:szCs w:val="28"/>
        </w:rPr>
        <w:t xml:space="preserve"> </w:t>
      </w:r>
      <w:r w:rsidR="00F921AD" w:rsidRPr="00F921AD">
        <w:t>«Юриспруденция», 023100</w:t>
      </w:r>
      <w:r w:rsidR="00F921AD">
        <w:rPr>
          <w:sz w:val="28"/>
          <w:szCs w:val="28"/>
        </w:rPr>
        <w:t xml:space="preserve"> </w:t>
      </w:r>
      <w:r w:rsidR="00F921AD" w:rsidRPr="00F921AD">
        <w:t>«Правоохранительная деятельность» / Ю.А. Крохина. – М.: ЮНИТИ-ДАНА, 2009.</w:t>
      </w:r>
    </w:p>
  </w:footnote>
  <w:footnote w:id="8">
    <w:p w:rsidR="00462D9E" w:rsidRDefault="00F921AD" w:rsidP="00A5391E">
      <w:pPr>
        <w:pStyle w:val="ab"/>
      </w:pPr>
      <w:r>
        <w:rPr>
          <w:rStyle w:val="a6"/>
        </w:rPr>
        <w:footnoteRef/>
      </w:r>
      <w:r>
        <w:t xml:space="preserve"> </w:t>
      </w:r>
      <w:r w:rsidRPr="00DC5AF8">
        <w:rPr>
          <w:rStyle w:val="FontStyle22"/>
          <w:b w:val="0"/>
          <w:bCs w:val="0"/>
        </w:rPr>
        <w:t xml:space="preserve">Ст. </w:t>
      </w:r>
      <w:r>
        <w:rPr>
          <w:rStyle w:val="FontStyle22"/>
          <w:b w:val="0"/>
          <w:bCs w:val="0"/>
        </w:rPr>
        <w:t>360</w:t>
      </w:r>
      <w:r w:rsidRPr="00DC5AF8">
        <w:rPr>
          <w:rStyle w:val="FontStyle22"/>
          <w:b w:val="0"/>
          <w:bCs w:val="0"/>
        </w:rPr>
        <w:t xml:space="preserve"> Налогового Кодекса РФ (Часть 2) от 05.08.2000 № 117-ФЗ</w:t>
      </w:r>
    </w:p>
  </w:footnote>
  <w:footnote w:id="9">
    <w:p w:rsidR="00462D9E" w:rsidRDefault="00F921AD" w:rsidP="00A5391E">
      <w:pPr>
        <w:pStyle w:val="ab"/>
      </w:pPr>
      <w:r>
        <w:rPr>
          <w:rStyle w:val="a6"/>
        </w:rPr>
        <w:footnoteRef/>
      </w:r>
      <w:r>
        <w:t xml:space="preserve"> </w:t>
      </w:r>
      <w:r w:rsidRPr="00F921AD">
        <w:t>Стр. 68 Региональные и местные налоги: учеб. пособие для студентов вузов / Т.Н. Оканова, М.Е. Косов. – М.: ЮНИТИ-ДАНА: Закон и право, 2008.</w:t>
      </w:r>
    </w:p>
  </w:footnote>
  <w:footnote w:id="10">
    <w:p w:rsidR="00462D9E" w:rsidRDefault="00F921AD" w:rsidP="00A5391E">
      <w:pPr>
        <w:pStyle w:val="ab"/>
      </w:pPr>
      <w:r>
        <w:rPr>
          <w:rStyle w:val="a6"/>
        </w:rPr>
        <w:footnoteRef/>
      </w:r>
      <w:r>
        <w:t xml:space="preserve"> </w:t>
      </w:r>
      <w:r w:rsidRPr="00F921AD">
        <w:t>Ст. 362</w:t>
      </w:r>
      <w:r>
        <w:t xml:space="preserve"> </w:t>
      </w:r>
      <w:r w:rsidRPr="00DC5AF8">
        <w:rPr>
          <w:rStyle w:val="FontStyle22"/>
          <w:b w:val="0"/>
          <w:bCs w:val="0"/>
        </w:rPr>
        <w:t>Налогового Кодекса РФ (Часть 2) от 05.08.2000 № 117-ФЗ</w:t>
      </w:r>
    </w:p>
  </w:footnote>
  <w:footnote w:id="11">
    <w:p w:rsidR="00462D9E" w:rsidRDefault="00F921AD" w:rsidP="00A5391E">
      <w:pPr>
        <w:pStyle w:val="ab"/>
      </w:pPr>
      <w:r>
        <w:rPr>
          <w:rStyle w:val="a6"/>
        </w:rPr>
        <w:footnoteRef/>
      </w:r>
      <w:r>
        <w:t xml:space="preserve"> </w:t>
      </w:r>
      <w:r w:rsidRPr="00F921AD">
        <w:t>Ст. 363</w:t>
      </w:r>
      <w:r>
        <w:t xml:space="preserve"> </w:t>
      </w:r>
      <w:r w:rsidRPr="00DC5AF8">
        <w:rPr>
          <w:rStyle w:val="FontStyle22"/>
          <w:b w:val="0"/>
          <w:bCs w:val="0"/>
        </w:rPr>
        <w:t>Налогового Кодекса РФ (Часть 2) от 05.08.2000 № 117-ФЗ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161F"/>
    <w:multiLevelType w:val="hybridMultilevel"/>
    <w:tmpl w:val="8A8ED082"/>
    <w:lvl w:ilvl="0" w:tplc="0419000F">
      <w:start w:val="1"/>
      <w:numFmt w:val="decimal"/>
      <w:lvlText w:val="%1."/>
      <w:lvlJc w:val="left"/>
      <w:pPr>
        <w:tabs>
          <w:tab w:val="num" w:pos="1061"/>
        </w:tabs>
        <w:ind w:left="1061" w:hanging="360"/>
      </w:pPr>
      <w:rPr>
        <w:rFonts w:cs="Times New Roman"/>
      </w:rPr>
    </w:lvl>
    <w:lvl w:ilvl="1" w:tplc="04190019" w:tentative="1">
      <w:start w:val="1"/>
      <w:numFmt w:val="lowerLetter"/>
      <w:lvlText w:val="%2."/>
      <w:lvlJc w:val="left"/>
      <w:pPr>
        <w:tabs>
          <w:tab w:val="num" w:pos="1781"/>
        </w:tabs>
        <w:ind w:left="1781" w:hanging="360"/>
      </w:pPr>
      <w:rPr>
        <w:rFonts w:cs="Times New Roman"/>
      </w:rPr>
    </w:lvl>
    <w:lvl w:ilvl="2" w:tplc="0419001B" w:tentative="1">
      <w:start w:val="1"/>
      <w:numFmt w:val="lowerRoman"/>
      <w:lvlText w:val="%3."/>
      <w:lvlJc w:val="right"/>
      <w:pPr>
        <w:tabs>
          <w:tab w:val="num" w:pos="2501"/>
        </w:tabs>
        <w:ind w:left="2501" w:hanging="180"/>
      </w:pPr>
      <w:rPr>
        <w:rFonts w:cs="Times New Roman"/>
      </w:rPr>
    </w:lvl>
    <w:lvl w:ilvl="3" w:tplc="0419000F" w:tentative="1">
      <w:start w:val="1"/>
      <w:numFmt w:val="decimal"/>
      <w:lvlText w:val="%4."/>
      <w:lvlJc w:val="left"/>
      <w:pPr>
        <w:tabs>
          <w:tab w:val="num" w:pos="3221"/>
        </w:tabs>
        <w:ind w:left="3221" w:hanging="360"/>
      </w:pPr>
      <w:rPr>
        <w:rFonts w:cs="Times New Roman"/>
      </w:rPr>
    </w:lvl>
    <w:lvl w:ilvl="4" w:tplc="04190019" w:tentative="1">
      <w:start w:val="1"/>
      <w:numFmt w:val="lowerLetter"/>
      <w:lvlText w:val="%5."/>
      <w:lvlJc w:val="left"/>
      <w:pPr>
        <w:tabs>
          <w:tab w:val="num" w:pos="3941"/>
        </w:tabs>
        <w:ind w:left="3941" w:hanging="360"/>
      </w:pPr>
      <w:rPr>
        <w:rFonts w:cs="Times New Roman"/>
      </w:rPr>
    </w:lvl>
    <w:lvl w:ilvl="5" w:tplc="0419001B" w:tentative="1">
      <w:start w:val="1"/>
      <w:numFmt w:val="lowerRoman"/>
      <w:lvlText w:val="%6."/>
      <w:lvlJc w:val="right"/>
      <w:pPr>
        <w:tabs>
          <w:tab w:val="num" w:pos="4661"/>
        </w:tabs>
        <w:ind w:left="4661" w:hanging="180"/>
      </w:pPr>
      <w:rPr>
        <w:rFonts w:cs="Times New Roman"/>
      </w:rPr>
    </w:lvl>
    <w:lvl w:ilvl="6" w:tplc="0419000F" w:tentative="1">
      <w:start w:val="1"/>
      <w:numFmt w:val="decimal"/>
      <w:lvlText w:val="%7."/>
      <w:lvlJc w:val="left"/>
      <w:pPr>
        <w:tabs>
          <w:tab w:val="num" w:pos="5381"/>
        </w:tabs>
        <w:ind w:left="5381" w:hanging="360"/>
      </w:pPr>
      <w:rPr>
        <w:rFonts w:cs="Times New Roman"/>
      </w:rPr>
    </w:lvl>
    <w:lvl w:ilvl="7" w:tplc="04190019" w:tentative="1">
      <w:start w:val="1"/>
      <w:numFmt w:val="lowerLetter"/>
      <w:lvlText w:val="%8."/>
      <w:lvlJc w:val="left"/>
      <w:pPr>
        <w:tabs>
          <w:tab w:val="num" w:pos="6101"/>
        </w:tabs>
        <w:ind w:left="6101" w:hanging="360"/>
      </w:pPr>
      <w:rPr>
        <w:rFonts w:cs="Times New Roman"/>
      </w:rPr>
    </w:lvl>
    <w:lvl w:ilvl="8" w:tplc="0419001B" w:tentative="1">
      <w:start w:val="1"/>
      <w:numFmt w:val="lowerRoman"/>
      <w:lvlText w:val="%9."/>
      <w:lvlJc w:val="right"/>
      <w:pPr>
        <w:tabs>
          <w:tab w:val="num" w:pos="6821"/>
        </w:tabs>
        <w:ind w:left="6821" w:hanging="180"/>
      </w:pPr>
      <w:rPr>
        <w:rFonts w:cs="Times New Roman"/>
      </w:rPr>
    </w:lvl>
  </w:abstractNum>
  <w:abstractNum w:abstractNumId="1">
    <w:nsid w:val="06C5579C"/>
    <w:multiLevelType w:val="hybridMultilevel"/>
    <w:tmpl w:val="7D104E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6DDB497C"/>
    <w:multiLevelType w:val="hybridMultilevel"/>
    <w:tmpl w:val="CC9E4C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C93"/>
    <w:rsid w:val="000C7907"/>
    <w:rsid w:val="000F191A"/>
    <w:rsid w:val="00222B39"/>
    <w:rsid w:val="00256A6A"/>
    <w:rsid w:val="002575F1"/>
    <w:rsid w:val="002D5F25"/>
    <w:rsid w:val="00304C93"/>
    <w:rsid w:val="003620C0"/>
    <w:rsid w:val="003A3749"/>
    <w:rsid w:val="00462D9E"/>
    <w:rsid w:val="00493360"/>
    <w:rsid w:val="00534583"/>
    <w:rsid w:val="00570A09"/>
    <w:rsid w:val="00573FCE"/>
    <w:rsid w:val="005E3A52"/>
    <w:rsid w:val="006B175F"/>
    <w:rsid w:val="006C02E7"/>
    <w:rsid w:val="006C65C6"/>
    <w:rsid w:val="00733236"/>
    <w:rsid w:val="00800F6A"/>
    <w:rsid w:val="008C52DA"/>
    <w:rsid w:val="009629CE"/>
    <w:rsid w:val="00A51088"/>
    <w:rsid w:val="00A5391E"/>
    <w:rsid w:val="00A80415"/>
    <w:rsid w:val="00AB3991"/>
    <w:rsid w:val="00B23F50"/>
    <w:rsid w:val="00C13166"/>
    <w:rsid w:val="00C90C54"/>
    <w:rsid w:val="00CB7D41"/>
    <w:rsid w:val="00D625DE"/>
    <w:rsid w:val="00DC5AF8"/>
    <w:rsid w:val="00DE74C6"/>
    <w:rsid w:val="00E122C3"/>
    <w:rsid w:val="00E44481"/>
    <w:rsid w:val="00F31F56"/>
    <w:rsid w:val="00F92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29D042-2C0F-4554-AE93-14571041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C93"/>
    <w:pPr>
      <w:widowControl w:val="0"/>
      <w:autoSpaceDE w:val="0"/>
      <w:autoSpaceDN w:val="0"/>
      <w:adjustRightInd w:val="0"/>
    </w:pPr>
    <w:rPr>
      <w:rFonts w:ascii="Arial" w:hAnsi="Arial"/>
      <w:sz w:val="24"/>
      <w:szCs w:val="24"/>
    </w:rPr>
  </w:style>
  <w:style w:type="paragraph" w:styleId="9">
    <w:name w:val="heading 9"/>
    <w:basedOn w:val="a"/>
    <w:next w:val="a"/>
    <w:link w:val="90"/>
    <w:uiPriority w:val="9"/>
    <w:qFormat/>
    <w:rsid w:val="00493360"/>
    <w:pPr>
      <w:widowControl/>
      <w:autoSpaceDE/>
      <w:autoSpaceDN/>
      <w:adjustRightInd/>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Style5">
    <w:name w:val="Style5"/>
    <w:basedOn w:val="a"/>
    <w:rsid w:val="00304C93"/>
    <w:pPr>
      <w:spacing w:line="227" w:lineRule="exact"/>
      <w:ind w:firstLine="341"/>
      <w:jc w:val="both"/>
    </w:pPr>
  </w:style>
  <w:style w:type="character" w:customStyle="1" w:styleId="FontStyle26">
    <w:name w:val="Font Style26"/>
    <w:rsid w:val="00304C93"/>
    <w:rPr>
      <w:rFonts w:ascii="Times New Roman" w:hAnsi="Times New Roman" w:cs="Times New Roman"/>
      <w:i/>
      <w:iCs/>
      <w:sz w:val="18"/>
      <w:szCs w:val="18"/>
    </w:rPr>
  </w:style>
  <w:style w:type="character" w:customStyle="1" w:styleId="FontStyle27">
    <w:name w:val="Font Style27"/>
    <w:rsid w:val="00304C93"/>
    <w:rPr>
      <w:rFonts w:ascii="Times New Roman" w:hAnsi="Times New Roman" w:cs="Times New Roman"/>
      <w:sz w:val="18"/>
      <w:szCs w:val="18"/>
    </w:rPr>
  </w:style>
  <w:style w:type="character" w:customStyle="1" w:styleId="FontStyle28">
    <w:name w:val="Font Style28"/>
    <w:rsid w:val="00304C93"/>
    <w:rPr>
      <w:rFonts w:ascii="Times New Roman" w:hAnsi="Times New Roman" w:cs="Times New Roman"/>
      <w:b/>
      <w:bCs/>
      <w:sz w:val="38"/>
      <w:szCs w:val="38"/>
    </w:rPr>
  </w:style>
  <w:style w:type="paragraph" w:customStyle="1" w:styleId="Style1">
    <w:name w:val="Style1"/>
    <w:basedOn w:val="a"/>
    <w:rsid w:val="00304C93"/>
  </w:style>
  <w:style w:type="character" w:customStyle="1" w:styleId="FontStyle22">
    <w:name w:val="Font Style22"/>
    <w:rsid w:val="00304C93"/>
    <w:rPr>
      <w:rFonts w:ascii="Times New Roman" w:hAnsi="Times New Roman" w:cs="Times New Roman"/>
      <w:b/>
      <w:bCs/>
      <w:spacing w:val="-10"/>
      <w:sz w:val="20"/>
      <w:szCs w:val="20"/>
    </w:rPr>
  </w:style>
  <w:style w:type="table" w:styleId="a3">
    <w:name w:val="Table Grid"/>
    <w:basedOn w:val="a1"/>
    <w:uiPriority w:val="59"/>
    <w:rsid w:val="00C1316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AB3991"/>
    <w:pPr>
      <w:spacing w:line="221" w:lineRule="exact"/>
      <w:ind w:firstLine="336"/>
      <w:jc w:val="both"/>
    </w:pPr>
    <w:rPr>
      <w:rFonts w:ascii="Times New Roman" w:hAnsi="Times New Roman"/>
    </w:rPr>
  </w:style>
  <w:style w:type="character" w:customStyle="1" w:styleId="FontStyle12">
    <w:name w:val="Font Style12"/>
    <w:rsid w:val="00AB3991"/>
    <w:rPr>
      <w:rFonts w:ascii="Times New Roman" w:hAnsi="Times New Roman" w:cs="Times New Roman"/>
      <w:i/>
      <w:iCs/>
      <w:sz w:val="18"/>
      <w:szCs w:val="18"/>
    </w:rPr>
  </w:style>
  <w:style w:type="character" w:customStyle="1" w:styleId="FontStyle13">
    <w:name w:val="Font Style13"/>
    <w:rsid w:val="00AB3991"/>
    <w:rPr>
      <w:rFonts w:ascii="Times New Roman" w:hAnsi="Times New Roman" w:cs="Times New Roman"/>
      <w:sz w:val="18"/>
      <w:szCs w:val="18"/>
    </w:rPr>
  </w:style>
  <w:style w:type="character" w:customStyle="1" w:styleId="FontStyle14">
    <w:name w:val="Font Style14"/>
    <w:rsid w:val="00AB3991"/>
    <w:rPr>
      <w:rFonts w:ascii="Times New Roman" w:hAnsi="Times New Roman" w:cs="Times New Roman"/>
      <w:b/>
      <w:bCs/>
      <w:spacing w:val="-10"/>
      <w:sz w:val="22"/>
      <w:szCs w:val="22"/>
    </w:rPr>
  </w:style>
  <w:style w:type="paragraph" w:styleId="a4">
    <w:name w:val="footnote text"/>
    <w:basedOn w:val="a"/>
    <w:link w:val="a5"/>
    <w:uiPriority w:val="99"/>
    <w:semiHidden/>
    <w:rsid w:val="00DC5AF8"/>
    <w:rPr>
      <w:sz w:val="20"/>
      <w:szCs w:val="20"/>
    </w:rPr>
  </w:style>
  <w:style w:type="character" w:customStyle="1" w:styleId="a5">
    <w:name w:val="Текст сноски Знак"/>
    <w:link w:val="a4"/>
    <w:uiPriority w:val="99"/>
    <w:semiHidden/>
    <w:rPr>
      <w:rFonts w:ascii="Arial" w:hAnsi="Arial"/>
    </w:rPr>
  </w:style>
  <w:style w:type="character" w:styleId="a6">
    <w:name w:val="footnote reference"/>
    <w:uiPriority w:val="99"/>
    <w:semiHidden/>
    <w:rsid w:val="00DC5AF8"/>
    <w:rPr>
      <w:rFonts w:cs="Times New Roman"/>
      <w:vertAlign w:val="superscript"/>
    </w:rPr>
  </w:style>
  <w:style w:type="paragraph" w:customStyle="1" w:styleId="1">
    <w:name w:val="Знак1"/>
    <w:basedOn w:val="a"/>
    <w:rsid w:val="00E44481"/>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ConsPlusNormal">
    <w:name w:val="ConsPlusNormal"/>
    <w:rsid w:val="00E44481"/>
    <w:pPr>
      <w:autoSpaceDE w:val="0"/>
      <w:autoSpaceDN w:val="0"/>
      <w:adjustRightInd w:val="0"/>
      <w:ind w:firstLine="720"/>
    </w:pPr>
    <w:rPr>
      <w:rFonts w:ascii="Arial" w:hAnsi="Arial" w:cs="Arial"/>
    </w:rPr>
  </w:style>
  <w:style w:type="paragraph" w:styleId="a7">
    <w:name w:val="footer"/>
    <w:basedOn w:val="a"/>
    <w:link w:val="a8"/>
    <w:uiPriority w:val="99"/>
    <w:rsid w:val="00493360"/>
    <w:pPr>
      <w:tabs>
        <w:tab w:val="center" w:pos="4677"/>
        <w:tab w:val="right" w:pos="9355"/>
      </w:tabs>
    </w:pPr>
  </w:style>
  <w:style w:type="character" w:customStyle="1" w:styleId="a8">
    <w:name w:val="Нижний колонтитул Знак"/>
    <w:link w:val="a7"/>
    <w:uiPriority w:val="99"/>
    <w:semiHidden/>
    <w:rPr>
      <w:rFonts w:ascii="Arial" w:hAnsi="Arial"/>
      <w:sz w:val="24"/>
      <w:szCs w:val="24"/>
    </w:rPr>
  </w:style>
  <w:style w:type="character" w:styleId="a9">
    <w:name w:val="page number"/>
    <w:uiPriority w:val="99"/>
    <w:rsid w:val="00493360"/>
    <w:rPr>
      <w:rFonts w:cs="Times New Roman"/>
    </w:rPr>
  </w:style>
  <w:style w:type="paragraph" w:customStyle="1" w:styleId="aa">
    <w:name w:val="АА"/>
    <w:basedOn w:val="a"/>
    <w:qFormat/>
    <w:rsid w:val="003620C0"/>
    <w:pPr>
      <w:widowControl/>
      <w:overflowPunct w:val="0"/>
      <w:spacing w:line="360" w:lineRule="auto"/>
      <w:ind w:firstLine="709"/>
      <w:contextualSpacing/>
      <w:jc w:val="both"/>
    </w:pPr>
    <w:rPr>
      <w:rFonts w:ascii="Times New Roman" w:hAnsi="Times New Roman"/>
      <w:sz w:val="28"/>
      <w:szCs w:val="28"/>
    </w:rPr>
  </w:style>
  <w:style w:type="paragraph" w:customStyle="1" w:styleId="ab">
    <w:name w:val="Б"/>
    <w:basedOn w:val="a"/>
    <w:qFormat/>
    <w:rsid w:val="003620C0"/>
    <w:pPr>
      <w:widowControl/>
      <w:autoSpaceDE/>
      <w:autoSpaceDN/>
      <w:adjustRightInd/>
      <w:spacing w:line="360" w:lineRule="auto"/>
      <w:contextualSpacing/>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3152</Words>
  <Characters>17967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ЗАО "Рэст"</Company>
  <LinksUpToDate>false</LinksUpToDate>
  <CharactersWithSpaces>21077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admin</cp:lastModifiedBy>
  <cp:revision>2</cp:revision>
  <dcterms:created xsi:type="dcterms:W3CDTF">2014-03-12T18:37:00Z</dcterms:created>
  <dcterms:modified xsi:type="dcterms:W3CDTF">2014-03-12T18:37:00Z</dcterms:modified>
</cp:coreProperties>
</file>