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Оглавление</w:t>
      </w:r>
    </w:p>
    <w:p w:rsidR="00363173" w:rsidRPr="00211614" w:rsidRDefault="00363173" w:rsidP="00211614">
      <w:pPr>
        <w:widowControl w:val="0"/>
        <w:spacing w:line="360" w:lineRule="auto"/>
      </w:pPr>
    </w:p>
    <w:p w:rsidR="00363173" w:rsidRPr="00211614" w:rsidRDefault="00363173" w:rsidP="00211614">
      <w:pPr>
        <w:widowControl w:val="0"/>
        <w:tabs>
          <w:tab w:val="right" w:leader="dot" w:pos="9356"/>
        </w:tabs>
        <w:spacing w:line="360" w:lineRule="auto"/>
      </w:pPr>
      <w:r w:rsidRPr="00211614">
        <w:t>1. Осуществление IPO (первичного публичного размещения) акций российскими предприятиями: понятие и порядок проведения</w:t>
      </w:r>
    </w:p>
    <w:p w:rsidR="00363173" w:rsidRPr="00211614" w:rsidRDefault="00363173" w:rsidP="00211614">
      <w:pPr>
        <w:widowControl w:val="0"/>
        <w:tabs>
          <w:tab w:val="right" w:leader="dot" w:pos="9356"/>
        </w:tabs>
        <w:spacing w:line="360" w:lineRule="auto"/>
      </w:pPr>
      <w:r w:rsidRPr="00211614">
        <w:t>2. Задача</w:t>
      </w:r>
    </w:p>
    <w:p w:rsidR="00363173" w:rsidRPr="00211614" w:rsidRDefault="00363173" w:rsidP="00211614">
      <w:pPr>
        <w:widowControl w:val="0"/>
        <w:tabs>
          <w:tab w:val="right" w:leader="dot" w:pos="9356"/>
        </w:tabs>
        <w:spacing w:line="360" w:lineRule="auto"/>
      </w:pPr>
      <w:r w:rsidRPr="00211614">
        <w:t>Список использованной литературы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br w:type="page"/>
        <w:t>1. Осуществление IPO (первичного публичного размещения) акций российскими предприятиями: понятие и порядок проведения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Первичное публичное предложение</w:t>
      </w:r>
      <w:r w:rsidR="00211614">
        <w:t xml:space="preserve"> </w:t>
      </w:r>
      <w:r w:rsidRPr="00211614">
        <w:t>– ППП, в английском языке</w:t>
      </w:r>
      <w:r w:rsidR="00211614">
        <w:t xml:space="preserve"> </w:t>
      </w:r>
      <w:r w:rsidRPr="00211614">
        <w:t>– IPO</w:t>
      </w:r>
      <w:r w:rsidR="00211614">
        <w:t xml:space="preserve"> </w:t>
      </w:r>
      <w:r w:rsidRPr="00211614">
        <w:t>– первая публичная продажа акций частной компании, в том числе в форме продажи депозитарных расписок на акции. Продажа акций может осуществляться как путём размещения дополнительного выпуска акций путём открытой подписки, так и путём публичной продажи акций существующего выпуска акционерами частной компании.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Цель проведения IPO.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Основной целью проведения IPO является получение так называемой «учредительской прибыли» — прибыли, получаемой учредителями акционерных обществ в виде разницы между суммой от продажи выпущенных акций и капиталом, действительно вложенным ими в акционерное предприятие.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Возможность получения учредительской прибыли связана с тем, что цена акций представляет собой капитализированный (по ставке процента) дивиденд, в то время как реально вложенный капитал приносит прибыль по более высокой, чем ставка процента, средней норме прибыли.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Однако появление публичных компаний в определенной отрасли производства в дальнейшем приводит к тому, что капитал в этой отрасли приносит не среднюю прибыль, а только процент. Данный процесс вынуждает частные компании либо также становиться публичными либо применять свой капитал в другой отрасли.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Как одну из целей можно выделить Повышение ликвидности компании. Т.е акционеры после проведения IPO могут продать все свои акции по рыночной цене, причём очень быстро.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Также к целям вывода компании на IPO относится возможность защиты от поглощения недружественными компаниями.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После проведения IPO компания становится публичной, отчётность - ясной и прозрачной, что является приоритетом большинства компаний.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Этапы ППП: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Отчуждение ценных бумаг эмитента в пользу приобретателей в результате сделанного первичного публичного предложения является заключительной стадией целого ряда действий и процедур, которые совершает эмитент с целью максимально эффективной продажи предлагаемых ценных бумаг на рынке. В общих чертах, ППП включает в себя следующие этапы:</w:t>
      </w:r>
    </w:p>
    <w:p w:rsidR="00363173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 xml:space="preserve">Предварительный этап – </w:t>
      </w:r>
      <w:r w:rsidR="00363173" w:rsidRPr="00211614">
        <w:t xml:space="preserve">на данном этапе эмитент критически анализирует своё финансово-хозяйственное положение, организационную структуру и структуру активов, информационную (в том числе, финансовую) прозрачность, практику корпоративного управления и другие аспекты деятельности и по результатам этого анализа стремится устранить выявленные слабости и недостатки, которые могут помешать ему успешно осуществить ППП; данные действия обычно совершаются до окончательного принятия решения о выходе на публичный рынок капитала. 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Подготовительный этап</w:t>
      </w:r>
      <w:r w:rsidR="00211614">
        <w:t xml:space="preserve"> </w:t>
      </w:r>
      <w:r w:rsidRPr="00211614">
        <w:t>— если по итогам предварительного этапа с учётом устранённых недостатков перспектива ППП оценивается эмитентом положительно, то процесс ППП переходит на новый этап</w:t>
      </w:r>
      <w:r w:rsidR="00211614">
        <w:t xml:space="preserve"> </w:t>
      </w:r>
      <w:r w:rsidRPr="00211614">
        <w:t xml:space="preserve">— подготовительный, во время которого: 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 xml:space="preserve">Подбирается команда участников ППП (выбирается торговая площадка, партнеры (консультанты, брокеры, андеррайтеры), с которыми окончательно согласовывается план действий и конфигурация ППП. 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 xml:space="preserve">Принимаются формальные решения органами эмитента, соблюдаются формальные процедуры (например, осуществление акционерами преимущественного права) и составляются формальные документы (проспект ценных бумаг). 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Создается Инвестиционный меморандум</w:t>
      </w:r>
      <w:r w:rsidR="00211614">
        <w:t xml:space="preserve"> </w:t>
      </w:r>
      <w:r w:rsidRPr="00211614">
        <w:t>— документ, содержащий информацию, необходимую инвесторам для принятия решения (например, цена за акцию, количество акций, направление использования средств, дивидендная политика и</w:t>
      </w:r>
      <w:r w:rsidR="00211614">
        <w:t xml:space="preserve"> </w:t>
      </w:r>
      <w:r w:rsidRPr="00211614">
        <w:t>т.</w:t>
      </w:r>
      <w:r w:rsidR="00211614">
        <w:t xml:space="preserve"> </w:t>
      </w:r>
      <w:r w:rsidRPr="00211614">
        <w:t xml:space="preserve">п.) 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Запускается рекламная кампания (в том числе, «гастроли» (роад-шоу)</w:t>
      </w:r>
      <w:r w:rsidR="00211614">
        <w:t xml:space="preserve"> </w:t>
      </w:r>
      <w:r w:rsidRPr="00211614">
        <w:t xml:space="preserve">— рекламные поездки руководства эмитента) с целью повышения интереса потенциальных инвесторов к предлагаемым ценным бумагам. 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Основной этап</w:t>
      </w:r>
      <w:r w:rsidR="00211614">
        <w:t xml:space="preserve"> </w:t>
      </w:r>
      <w:r w:rsidRPr="00211614">
        <w:t>— во время основного этапа происходит собственно сбор заявок на приобретение предлагаемых ценных бумаг, прайсинг</w:t>
      </w:r>
      <w:r w:rsidR="00211614">
        <w:t xml:space="preserve"> </w:t>
      </w:r>
      <w:r w:rsidRPr="00211614">
        <w:t xml:space="preserve">— определение цены (если она не была заранее определена), удовлетворение заявок (аллокация) и подведение итогов публичного размещения (обращения). 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Завершающий этап (aftermarket)</w:t>
      </w:r>
      <w:r w:rsidR="00211614">
        <w:t xml:space="preserve"> </w:t>
      </w:r>
      <w:r w:rsidRPr="00211614">
        <w:t xml:space="preserve">— начало обращения ценных бумаг и, в свете него, окончательная оценка успешности состоявшегося ППП. 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 xml:space="preserve">Настоящий бум ППП связан с выходом на рынок «доткомов» в конце 90-х годов </w:t>
      </w:r>
      <w:r w:rsidRPr="00B25EC2">
        <w:t>XX века</w:t>
      </w:r>
      <w:r w:rsidR="00211614">
        <w:t xml:space="preserve"> </w:t>
      </w:r>
      <w:r w:rsidRPr="00211614">
        <w:t>— в рекордном 1999 на рынок впервые вышли свыше 200 компаний, которые привлекли около 200</w:t>
      </w:r>
      <w:r w:rsidR="00211614">
        <w:t xml:space="preserve"> </w:t>
      </w:r>
      <w:r w:rsidRPr="00211614">
        <w:t>млрд долларов США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Как правило, первичное размещение акций проводится с привлечением:</w:t>
      </w:r>
    </w:p>
    <w:p w:rsidR="00363173" w:rsidRPr="00211614" w:rsidRDefault="00363173" w:rsidP="00211614">
      <w:pPr>
        <w:widowControl w:val="0"/>
        <w:numPr>
          <w:ilvl w:val="0"/>
          <w:numId w:val="3"/>
        </w:numPr>
        <w:tabs>
          <w:tab w:val="clear" w:pos="2138"/>
          <w:tab w:val="num" w:pos="980"/>
        </w:tabs>
        <w:spacing w:line="360" w:lineRule="auto"/>
        <w:ind w:left="0" w:firstLine="709"/>
        <w:jc w:val="both"/>
      </w:pPr>
      <w:r w:rsidRPr="00211614">
        <w:t xml:space="preserve">инвестиционных банков или инвестиционных компаний в качестве андеррайтеров и организаторов размещения; </w:t>
      </w:r>
    </w:p>
    <w:p w:rsidR="00363173" w:rsidRPr="00211614" w:rsidRDefault="00363173" w:rsidP="00211614">
      <w:pPr>
        <w:widowControl w:val="0"/>
        <w:numPr>
          <w:ilvl w:val="0"/>
          <w:numId w:val="3"/>
        </w:numPr>
        <w:tabs>
          <w:tab w:val="clear" w:pos="2138"/>
          <w:tab w:val="num" w:pos="980"/>
        </w:tabs>
        <w:spacing w:line="360" w:lineRule="auto"/>
        <w:ind w:left="0" w:firstLine="709"/>
        <w:jc w:val="both"/>
      </w:pPr>
      <w:r w:rsidRPr="00211614">
        <w:t xml:space="preserve">юридических компаний в качестве консультантов организаторов и/или эмитентов; </w:t>
      </w:r>
    </w:p>
    <w:p w:rsidR="00363173" w:rsidRPr="00211614" w:rsidRDefault="00363173" w:rsidP="00211614">
      <w:pPr>
        <w:widowControl w:val="0"/>
        <w:numPr>
          <w:ilvl w:val="0"/>
          <w:numId w:val="3"/>
        </w:numPr>
        <w:tabs>
          <w:tab w:val="clear" w:pos="2138"/>
          <w:tab w:val="num" w:pos="980"/>
        </w:tabs>
        <w:spacing w:line="360" w:lineRule="auto"/>
        <w:ind w:left="0" w:firstLine="709"/>
        <w:jc w:val="both"/>
      </w:pPr>
      <w:r w:rsidRPr="00211614">
        <w:t xml:space="preserve">аудиторских компаний; </w:t>
      </w:r>
    </w:p>
    <w:p w:rsidR="00363173" w:rsidRPr="00211614" w:rsidRDefault="00363173" w:rsidP="00211614">
      <w:pPr>
        <w:widowControl w:val="0"/>
        <w:numPr>
          <w:ilvl w:val="0"/>
          <w:numId w:val="3"/>
        </w:numPr>
        <w:tabs>
          <w:tab w:val="clear" w:pos="2138"/>
          <w:tab w:val="num" w:pos="980"/>
        </w:tabs>
        <w:spacing w:line="360" w:lineRule="auto"/>
        <w:ind w:left="0" w:firstLine="709"/>
        <w:jc w:val="both"/>
      </w:pPr>
      <w:r w:rsidRPr="00211614">
        <w:t xml:space="preserve">коммуникационных агентств в качестве PR/IR консультантов размещения. 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ППП обычно предшествует road-show</w:t>
      </w:r>
      <w:r w:rsidR="00211614">
        <w:t xml:space="preserve"> </w:t>
      </w:r>
      <w:r w:rsidRPr="00211614">
        <w:t>— серия встреч представителей компании с потенциальными инвесторами, на которых осуществляется презентация компании, основных показателей её деятельности и характеристик размещения акций. Ещё один элемент, предшествующий ППП</w:t>
      </w:r>
      <w:r w:rsidR="00211614">
        <w:t xml:space="preserve"> </w:t>
      </w:r>
      <w:r w:rsidRPr="00211614">
        <w:t>— публичное объявление о размещении.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В российской практике под названием ППП иногда подразумеваются и вторичные размещения на рынке пакетов акций (например, публичная продажа пакетов акций действующих акционеров широкому или ограниченному кругу инвесторов).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 xml:space="preserve">Первой российской компанией, разместившей в </w:t>
      </w:r>
      <w:hyperlink r:id="rId7" w:tooltip="1997 год" w:history="1">
        <w:r w:rsidRPr="00211614">
          <w:rPr>
            <w:rStyle w:val="a3"/>
            <w:color w:val="auto"/>
            <w:u w:val="none"/>
          </w:rPr>
          <w:t>1997 году</w:t>
        </w:r>
      </w:hyperlink>
      <w:r w:rsidRPr="00211614">
        <w:t xml:space="preserve"> свои акции на Нью-Йоркской фондовой бирже (</w:t>
      </w:r>
      <w:r w:rsidRPr="00B25EC2">
        <w:t>NYSE</w:t>
      </w:r>
      <w:r w:rsidRPr="00211614">
        <w:t>), стало ОАО «</w:t>
      </w:r>
      <w:hyperlink r:id="rId8" w:tooltip="ВымпелКом" w:history="1">
        <w:r w:rsidRPr="00211614">
          <w:rPr>
            <w:rStyle w:val="a3"/>
            <w:color w:val="auto"/>
            <w:u w:val="none"/>
          </w:rPr>
          <w:t>ВымпелКом</w:t>
        </w:r>
      </w:hyperlink>
      <w:r w:rsidRPr="00211614">
        <w:t>», торговая марка Билайн.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 xml:space="preserve">В </w:t>
      </w:r>
      <w:r w:rsidRPr="00B25EC2">
        <w:t>2004</w:t>
      </w:r>
      <w:r w:rsidRPr="00211614">
        <w:t>—</w:t>
      </w:r>
      <w:hyperlink r:id="rId9" w:tooltip="2007 год" w:history="1">
        <w:r w:rsidRPr="00211614">
          <w:rPr>
            <w:rStyle w:val="a3"/>
            <w:color w:val="auto"/>
            <w:u w:val="none"/>
          </w:rPr>
          <w:t>2007 годах</w:t>
        </w:r>
      </w:hyperlink>
      <w:r w:rsidRPr="00211614">
        <w:t xml:space="preserve"> в России наблюдается взрывной рост количества ППП. За это время свои акции на российских и западных рынках разместили такие компании, как «</w:t>
      </w:r>
      <w:r w:rsidRPr="00B25EC2">
        <w:t>Калина</w:t>
      </w:r>
      <w:r w:rsidRPr="00211614">
        <w:t>», «</w:t>
      </w:r>
      <w:hyperlink r:id="rId10" w:tooltip="Иркут (компания)" w:history="1">
        <w:r w:rsidRPr="00211614">
          <w:rPr>
            <w:rStyle w:val="a3"/>
            <w:color w:val="auto"/>
            <w:u w:val="none"/>
          </w:rPr>
          <w:t>Иркут</w:t>
        </w:r>
      </w:hyperlink>
      <w:r w:rsidRPr="00211614">
        <w:t>», «</w:t>
      </w:r>
      <w:r w:rsidRPr="00B25EC2">
        <w:t>Седьмой континент</w:t>
      </w:r>
      <w:r w:rsidRPr="00211614">
        <w:t>», «</w:t>
      </w:r>
      <w:hyperlink r:id="rId11" w:tooltip="Лебедянский" w:history="1">
        <w:r w:rsidRPr="00211614">
          <w:rPr>
            <w:rStyle w:val="a3"/>
            <w:color w:val="auto"/>
            <w:u w:val="none"/>
          </w:rPr>
          <w:t>Лебедянский</w:t>
        </w:r>
      </w:hyperlink>
      <w:r w:rsidRPr="00211614">
        <w:t>», «</w:t>
      </w:r>
      <w:r w:rsidRPr="00B25EC2">
        <w:t>ВТБ</w:t>
      </w:r>
      <w:r w:rsidRPr="00211614">
        <w:t>», «</w:t>
      </w:r>
      <w:hyperlink r:id="rId12" w:tooltip="Арсагера" w:history="1">
        <w:r w:rsidRPr="00211614">
          <w:rPr>
            <w:rStyle w:val="a3"/>
            <w:color w:val="auto"/>
            <w:u w:val="none"/>
          </w:rPr>
          <w:t>Арсагера</w:t>
        </w:r>
      </w:hyperlink>
      <w:r w:rsidRPr="00211614">
        <w:t>» и</w:t>
      </w:r>
      <w:r w:rsidR="00211614">
        <w:t xml:space="preserve"> </w:t>
      </w:r>
      <w:r w:rsidRPr="00211614">
        <w:t>т.</w:t>
      </w:r>
      <w:r w:rsidR="00211614">
        <w:t xml:space="preserve"> </w:t>
      </w:r>
      <w:r w:rsidRPr="00211614">
        <w:t xml:space="preserve">д. В </w:t>
      </w:r>
      <w:r w:rsidRPr="00B25EC2">
        <w:t>2006</w:t>
      </w:r>
      <w:r w:rsidR="00211614" w:rsidRPr="00B25EC2">
        <w:t xml:space="preserve"> </w:t>
      </w:r>
      <w:r w:rsidRPr="00B25EC2">
        <w:t>году</w:t>
      </w:r>
      <w:r w:rsidRPr="00211614">
        <w:t xml:space="preserve"> состоялось проведение рекордного ППП государственной нефтяной компании «</w:t>
      </w:r>
      <w:hyperlink r:id="rId13" w:tooltip="Роснефть" w:history="1">
        <w:r w:rsidRPr="00211614">
          <w:rPr>
            <w:rStyle w:val="a3"/>
            <w:color w:val="auto"/>
            <w:u w:val="none"/>
          </w:rPr>
          <w:t>Роснефть</w:t>
        </w:r>
      </w:hyperlink>
      <w:r w:rsidRPr="00211614">
        <w:t>» (10,4</w:t>
      </w:r>
      <w:r w:rsidR="00211614">
        <w:t xml:space="preserve"> </w:t>
      </w:r>
      <w:r w:rsidRPr="00211614">
        <w:t>млрд долларов США).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br w:type="page"/>
        <w:t>2. Задача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t>По результатам финансового г</w:t>
      </w:r>
      <w:r w:rsidR="00244044" w:rsidRPr="00211614">
        <w:t>ода товарная биржа показала сле</w:t>
      </w:r>
      <w:r w:rsidRPr="00211614">
        <w:t>дующие результаты: биржевой товарооборот - 1851932 тыс. руб., прибыль - 757325 тыс. руб. Среднегодовая стоимость основных фондов - 1748399 тыс.руб.; среднесписочный состав сотрудников - 2500 человек. Определить фондоотдачу, рентабельность, фондоемкость и фондооснащенность товарной биржи.</w:t>
      </w:r>
    </w:p>
    <w:p w:rsidR="00363173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>Решение:</w:t>
      </w:r>
    </w:p>
    <w:p w:rsidR="00244044" w:rsidRPr="00211614" w:rsidRDefault="00244044" w:rsidP="00211614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11614">
        <w:rPr>
          <w:sz w:val="28"/>
          <w:szCs w:val="28"/>
        </w:rPr>
        <w:t>Фондоотдача является наиболее обобщающим показателем оценки эффективности использования основных фондов в торговле в целом и в отдельных ее звеньях. Фондоотдача исчисляется делением годового объема товарооборота на среднегодовую стоимость основных фондов, показывая тем самым размер товарооборота на 1 рубль основных фондов</w:t>
      </w:r>
      <w:r w:rsidRPr="00211614">
        <w:rPr>
          <w:sz w:val="28"/>
        </w:rPr>
        <w:t>.</w:t>
      </w:r>
    </w:p>
    <w:p w:rsidR="00211614" w:rsidRPr="00C30735" w:rsidRDefault="00211614" w:rsidP="00211614">
      <w:pPr>
        <w:widowControl w:val="0"/>
        <w:spacing w:line="360" w:lineRule="auto"/>
        <w:ind w:firstLine="709"/>
        <w:jc w:val="both"/>
        <w:rPr>
          <w:color w:val="FFFFFF"/>
        </w:rPr>
      </w:pPr>
      <w:r w:rsidRPr="00C30735">
        <w:rPr>
          <w:color w:val="FFFFFF"/>
        </w:rPr>
        <w:t>публичный акция учредительный прибыль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object w:dxaOrig="12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5.25pt" o:ole="">
            <v:imagedata r:id="rId14" o:title=""/>
          </v:shape>
          <o:OLEObject Type="Embed" ProgID="Equation.3" ShapeID="_x0000_i1025" DrawAspect="Content" ObjectID="_1457340742" r:id="rId15"/>
        </w:object>
      </w:r>
      <w:r w:rsidRPr="00211614">
        <w:t>,</w:t>
      </w:r>
      <w:r w:rsidR="00211614">
        <w:t xml:space="preserve"> </w:t>
      </w:r>
    </w:p>
    <w:p w:rsidR="00211614" w:rsidRDefault="00211614" w:rsidP="00211614">
      <w:pPr>
        <w:widowControl w:val="0"/>
        <w:spacing w:line="360" w:lineRule="auto"/>
        <w:ind w:firstLine="709"/>
        <w:jc w:val="both"/>
      </w:pP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 xml:space="preserve">где </w:t>
      </w:r>
      <w:r w:rsidRPr="00211614">
        <w:object w:dxaOrig="499" w:dyaOrig="360">
          <v:shape id="_x0000_i1026" type="#_x0000_t75" style="width:24.75pt;height:18pt" o:ole="">
            <v:imagedata r:id="rId16" o:title=""/>
          </v:shape>
          <o:OLEObject Type="Embed" ProgID="Equation.3" ShapeID="_x0000_i1026" DrawAspect="Content" ObjectID="_1457340743" r:id="rId17"/>
        </w:object>
      </w:r>
      <w:r w:rsidRPr="00211614">
        <w:t xml:space="preserve"> – фондоотдача;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object w:dxaOrig="220" w:dyaOrig="260">
          <v:shape id="_x0000_i1027" type="#_x0000_t75" style="width:11.25pt;height:12.75pt" o:ole="">
            <v:imagedata r:id="rId18" o:title=""/>
          </v:shape>
          <o:OLEObject Type="Embed" ProgID="Equation.3" ShapeID="_x0000_i1027" DrawAspect="Content" ObjectID="_1457340744" r:id="rId19"/>
        </w:object>
      </w:r>
      <w:r w:rsidRPr="00211614">
        <w:t>– товарооборот;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object w:dxaOrig="480" w:dyaOrig="380">
          <v:shape id="_x0000_i1028" type="#_x0000_t75" style="width:24pt;height:18.75pt" o:ole="">
            <v:imagedata r:id="rId20" o:title=""/>
          </v:shape>
          <o:OLEObject Type="Embed" ProgID="Equation.3" ShapeID="_x0000_i1028" DrawAspect="Content" ObjectID="_1457340745" r:id="rId21"/>
        </w:object>
      </w:r>
      <w:r w:rsidRPr="00211614">
        <w:t>– стоимость основных фондов.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>Подставляя цифровые данные в формулу, получим: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>Фотд = 1851932 / 1748399 = 1,06 руб.;</w:t>
      </w:r>
    </w:p>
    <w:p w:rsidR="00244044" w:rsidRPr="00211614" w:rsidRDefault="00244044" w:rsidP="00211614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11614">
        <w:rPr>
          <w:bCs/>
          <w:sz w:val="28"/>
          <w:szCs w:val="28"/>
        </w:rPr>
        <w:t>Фондооснащенность</w:t>
      </w:r>
      <w:r w:rsidRPr="00211614">
        <w:rPr>
          <w:sz w:val="28"/>
          <w:szCs w:val="28"/>
        </w:rPr>
        <w:t xml:space="preserve"> — экономический показатель, характеризующий обеспеченность предприятия основными фондами; определяется отношением среднегодовой балансовой стоимости основных производственных фондов к среднесписочной численности работников.</w:t>
      </w:r>
    </w:p>
    <w:p w:rsidR="00211614" w:rsidRDefault="00211614" w:rsidP="00211614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44044" w:rsidRDefault="00244044" w:rsidP="00211614">
      <w:pPr>
        <w:pStyle w:val="21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11614">
        <w:rPr>
          <w:sz w:val="28"/>
          <w:szCs w:val="28"/>
        </w:rPr>
        <w:object w:dxaOrig="1219" w:dyaOrig="720">
          <v:shape id="_x0000_i1029" type="#_x0000_t75" style="width:60.75pt;height:36pt" o:ole="">
            <v:imagedata r:id="rId22" o:title=""/>
          </v:shape>
          <o:OLEObject Type="Embed" ProgID="Equation.3" ShapeID="_x0000_i1029" DrawAspect="Content" ObjectID="_1457340746" r:id="rId23"/>
        </w:object>
      </w:r>
      <w:r w:rsidRPr="00211614">
        <w:rPr>
          <w:sz w:val="28"/>
          <w:szCs w:val="28"/>
        </w:rPr>
        <w:t>,</w:t>
      </w:r>
      <w:r w:rsidR="00211614">
        <w:rPr>
          <w:sz w:val="28"/>
          <w:szCs w:val="28"/>
        </w:rPr>
        <w:t xml:space="preserve"> 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 xml:space="preserve">где </w:t>
      </w:r>
      <w:r w:rsidRPr="00211614">
        <w:object w:dxaOrig="460" w:dyaOrig="360">
          <v:shape id="_x0000_i1030" type="#_x0000_t75" style="width:23.25pt;height:18pt" o:ole="">
            <v:imagedata r:id="rId24" o:title=""/>
          </v:shape>
          <o:OLEObject Type="Embed" ProgID="Equation.3" ShapeID="_x0000_i1030" DrawAspect="Content" ObjectID="_1457340747" r:id="rId25"/>
        </w:object>
      </w:r>
      <w:r w:rsidRPr="00211614">
        <w:t xml:space="preserve"> – фондооснащенность;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object w:dxaOrig="400" w:dyaOrig="360">
          <v:shape id="_x0000_i1031" type="#_x0000_t75" style="width:20.25pt;height:18pt" o:ole="">
            <v:imagedata r:id="rId26" o:title=""/>
          </v:shape>
          <o:OLEObject Type="Embed" ProgID="Equation.3" ShapeID="_x0000_i1031" DrawAspect="Content" ObjectID="_1457340748" r:id="rId27"/>
        </w:object>
      </w:r>
      <w:r w:rsidRPr="00211614">
        <w:t>– среднесписочная численность работников предприятия.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>Подставляя цифровые данные в формулу, получим: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>Фосн = 1748399 / 2500 = 699,35 тыс. руб.;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>Важным аналитическим показателем является фондоемкость, которая рассчитывается как величина, обратная фондоотдаче, и характеризует стоимость среднегодовых основных фондов, приходящихся на рубль товарооборота.</w:t>
      </w:r>
    </w:p>
    <w:p w:rsidR="00211614" w:rsidRDefault="00211614" w:rsidP="00211614">
      <w:pPr>
        <w:widowControl w:val="0"/>
        <w:spacing w:line="360" w:lineRule="auto"/>
        <w:ind w:firstLine="709"/>
        <w:jc w:val="both"/>
      </w:pP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object w:dxaOrig="1240" w:dyaOrig="660">
          <v:shape id="_x0000_i1032" type="#_x0000_t75" style="width:62.25pt;height:33pt" o:ole="">
            <v:imagedata r:id="rId28" o:title=""/>
          </v:shape>
          <o:OLEObject Type="Embed" ProgID="Equation.3" ShapeID="_x0000_i1032" DrawAspect="Content" ObjectID="_1457340749" r:id="rId29"/>
        </w:object>
      </w:r>
      <w:r w:rsidRPr="00211614">
        <w:t xml:space="preserve"> ,</w:t>
      </w:r>
      <w:r w:rsidR="00211614">
        <w:t xml:space="preserve"> </w:t>
      </w:r>
    </w:p>
    <w:p w:rsidR="00211614" w:rsidRDefault="00211614" w:rsidP="00211614">
      <w:pPr>
        <w:widowControl w:val="0"/>
        <w:spacing w:line="360" w:lineRule="auto"/>
        <w:ind w:firstLine="709"/>
        <w:jc w:val="both"/>
      </w:pP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 xml:space="preserve">где </w:t>
      </w:r>
      <w:r w:rsidRPr="00211614">
        <w:object w:dxaOrig="480" w:dyaOrig="360">
          <v:shape id="_x0000_i1033" type="#_x0000_t75" style="width:24pt;height:18pt" o:ole="">
            <v:imagedata r:id="rId30" o:title=""/>
          </v:shape>
          <o:OLEObject Type="Embed" ProgID="Equation.3" ShapeID="_x0000_i1033" DrawAspect="Content" ObjectID="_1457340750" r:id="rId31"/>
        </w:object>
      </w:r>
      <w:r w:rsidRPr="00211614">
        <w:rPr>
          <w:szCs w:val="16"/>
        </w:rPr>
        <w:t xml:space="preserve"> </w:t>
      </w:r>
      <w:r w:rsidRPr="00211614">
        <w:t>– фондоемкость.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>Подставляя цифровые данные в формулу, получим: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>Фемк = 1748399 / 1851932 = 0,94 тыс. руб.,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>Уровень рентабельности основных фондов характеризует сумму прибыли, приходящуюся на единицу стоимости основных фондов, и рассчитывается отношением прибыли за год к стоимости основных фондов.</w:t>
      </w:r>
    </w:p>
    <w:p w:rsidR="00211614" w:rsidRDefault="00211614" w:rsidP="00211614">
      <w:pPr>
        <w:widowControl w:val="0"/>
        <w:spacing w:line="360" w:lineRule="auto"/>
        <w:ind w:firstLine="709"/>
        <w:jc w:val="both"/>
      </w:pP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object w:dxaOrig="1100" w:dyaOrig="700">
          <v:shape id="_x0000_i1034" type="#_x0000_t75" style="width:54.75pt;height:35.25pt" o:ole="">
            <v:imagedata r:id="rId32" o:title=""/>
          </v:shape>
          <o:OLEObject Type="Embed" ProgID="Equation.3" ShapeID="_x0000_i1034" DrawAspect="Content" ObjectID="_1457340751" r:id="rId33"/>
        </w:object>
      </w:r>
      <w:r w:rsidRPr="00211614">
        <w:t>,</w:t>
      </w:r>
      <w:r w:rsidR="00211614">
        <w:t xml:space="preserve"> </w:t>
      </w:r>
    </w:p>
    <w:p w:rsidR="00211614" w:rsidRDefault="00211614" w:rsidP="00211614">
      <w:pPr>
        <w:widowControl w:val="0"/>
        <w:spacing w:line="360" w:lineRule="auto"/>
        <w:ind w:firstLine="709"/>
        <w:jc w:val="both"/>
      </w:pP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 xml:space="preserve">где </w:t>
      </w:r>
      <w:r w:rsidRPr="00211614">
        <w:object w:dxaOrig="360" w:dyaOrig="279">
          <v:shape id="_x0000_i1035" type="#_x0000_t75" style="width:18pt;height:14.25pt" o:ole="">
            <v:imagedata r:id="rId34" o:title=""/>
          </v:shape>
          <o:OLEObject Type="Embed" ProgID="Equation.3" ShapeID="_x0000_i1035" DrawAspect="Content" ObjectID="_1457340752" r:id="rId35"/>
        </w:object>
      </w:r>
      <w:r w:rsidRPr="00211614">
        <w:t xml:space="preserve"> – уровень рентабельности;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object w:dxaOrig="279" w:dyaOrig="260">
          <v:shape id="_x0000_i1036" type="#_x0000_t75" style="width:14.25pt;height:12.75pt" o:ole="">
            <v:imagedata r:id="rId36" o:title=""/>
          </v:shape>
          <o:OLEObject Type="Embed" ProgID="Equation.3" ShapeID="_x0000_i1036" DrawAspect="Content" ObjectID="_1457340753" r:id="rId37"/>
        </w:object>
      </w:r>
      <w:r w:rsidRPr="00211614">
        <w:t xml:space="preserve"> -</w:t>
      </w:r>
      <w:r w:rsidR="00211614">
        <w:t xml:space="preserve"> </w:t>
      </w:r>
      <w:r w:rsidRPr="00211614">
        <w:t>прибыль.</w:t>
      </w:r>
    </w:p>
    <w:p w:rsidR="00244044" w:rsidRPr="00211614" w:rsidRDefault="00244044" w:rsidP="00211614">
      <w:pPr>
        <w:widowControl w:val="0"/>
        <w:spacing w:line="360" w:lineRule="auto"/>
        <w:ind w:firstLine="709"/>
        <w:jc w:val="both"/>
      </w:pPr>
      <w:r w:rsidRPr="00211614">
        <w:t>УР = 757325 / 1748399 = 43,31%.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  <w:r w:rsidRPr="00211614">
        <w:br w:type="page"/>
        <w:t>Список использованной литературы</w:t>
      </w:r>
    </w:p>
    <w:p w:rsidR="00363173" w:rsidRPr="00211614" w:rsidRDefault="00363173" w:rsidP="00211614">
      <w:pPr>
        <w:widowControl w:val="0"/>
        <w:spacing w:line="360" w:lineRule="auto"/>
        <w:ind w:firstLine="709"/>
        <w:jc w:val="both"/>
      </w:pPr>
    </w:p>
    <w:p w:rsidR="00244044" w:rsidRPr="00211614" w:rsidRDefault="00244044" w:rsidP="0021161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</w:pPr>
      <w:r w:rsidRPr="00211614">
        <w:t>Грязнова А. Г. “Биржевая деятельность” Москва 2005</w:t>
      </w:r>
    </w:p>
    <w:p w:rsidR="00244044" w:rsidRPr="00211614" w:rsidRDefault="00244044" w:rsidP="0021161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</w:pPr>
      <w:r w:rsidRPr="00211614">
        <w:t>Иващенко А. А. Товарная биржа. -М., "Международные отношения" 2004</w:t>
      </w:r>
    </w:p>
    <w:p w:rsidR="00244044" w:rsidRPr="00211614" w:rsidRDefault="00244044" w:rsidP="0021161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</w:pPr>
      <w:r w:rsidRPr="00211614">
        <w:t xml:space="preserve">Маневич В. Функции товарной биржи и основные направления биржевой политики в условиях перехода к рынку. Вопросы экономики. 2006. Т 10. </w:t>
      </w:r>
    </w:p>
    <w:p w:rsidR="00244044" w:rsidRPr="00211614" w:rsidRDefault="00244044" w:rsidP="00211614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</w:pPr>
      <w:r w:rsidRPr="00211614">
        <w:t>Миркин</w:t>
      </w:r>
      <w:r w:rsidR="00211614">
        <w:t xml:space="preserve"> </w:t>
      </w:r>
      <w:r w:rsidRPr="00211614">
        <w:t>Я.М. Рынок ценных бумаг России. – М.: Альпина, 2002. – 624 с.</w:t>
      </w:r>
    </w:p>
    <w:p w:rsidR="00244044" w:rsidRPr="00211614" w:rsidRDefault="00244044" w:rsidP="00211614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</w:pPr>
      <w:r w:rsidRPr="00211614">
        <w:t>Морозов А.Ю. Ценные бумаги. - М., 2009. С.390.</w:t>
      </w:r>
    </w:p>
    <w:p w:rsidR="00244044" w:rsidRPr="00211614" w:rsidRDefault="00244044" w:rsidP="00211614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</w:pPr>
      <w:r w:rsidRPr="00211614">
        <w:t>Савенков В.П. Ценные бумаги в России. Практическое пособие. - М.: Банковский деловой центр, 2008.</w:t>
      </w:r>
    </w:p>
    <w:p w:rsidR="00244044" w:rsidRPr="00211614" w:rsidRDefault="00244044" w:rsidP="00211614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</w:pPr>
      <w:r w:rsidRPr="00211614">
        <w:t>Семенкова Е.В. Операции с ценными бумагами. - М.: Перспектива, 2007.</w:t>
      </w:r>
    </w:p>
    <w:p w:rsidR="00363173" w:rsidRPr="00C30735" w:rsidRDefault="00363173" w:rsidP="00211614">
      <w:pPr>
        <w:widowControl w:val="0"/>
        <w:spacing w:line="360" w:lineRule="auto"/>
        <w:ind w:firstLine="709"/>
        <w:jc w:val="both"/>
        <w:rPr>
          <w:color w:val="FFFFFF"/>
        </w:rPr>
      </w:pPr>
      <w:bookmarkStart w:id="0" w:name="_GoBack"/>
      <w:bookmarkEnd w:id="0"/>
    </w:p>
    <w:sectPr w:rsidR="00363173" w:rsidRPr="00C30735" w:rsidSect="00211614">
      <w:headerReference w:type="default" r:id="rId38"/>
      <w:footerReference w:type="even" r:id="rId39"/>
      <w:headerReference w:type="first" r:id="rId40"/>
      <w:pgSz w:w="11907" w:h="16840" w:code="9"/>
      <w:pgMar w:top="1134" w:right="851" w:bottom="1134" w:left="1701" w:header="720" w:footer="720" w:gutter="0"/>
      <w:pgNumType w:start="2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35" w:rsidRDefault="00C30735">
      <w:r>
        <w:separator/>
      </w:r>
    </w:p>
  </w:endnote>
  <w:endnote w:type="continuationSeparator" w:id="0">
    <w:p w:rsidR="00C30735" w:rsidRDefault="00C3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44" w:rsidRDefault="00244044" w:rsidP="00B81A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4044" w:rsidRDefault="002440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35" w:rsidRDefault="00C30735">
      <w:r>
        <w:separator/>
      </w:r>
    </w:p>
  </w:footnote>
  <w:footnote w:type="continuationSeparator" w:id="0">
    <w:p w:rsidR="00C30735" w:rsidRDefault="00C30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14" w:rsidRDefault="00211614" w:rsidP="00211614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614" w:rsidRDefault="00211614" w:rsidP="0021161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85F"/>
    <w:multiLevelType w:val="multilevel"/>
    <w:tmpl w:val="32CC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E1529"/>
    <w:multiLevelType w:val="singleLevel"/>
    <w:tmpl w:val="F454F5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52BD757E"/>
    <w:multiLevelType w:val="multilevel"/>
    <w:tmpl w:val="7376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425F8"/>
    <w:multiLevelType w:val="hybridMultilevel"/>
    <w:tmpl w:val="8932BBC2"/>
    <w:lvl w:ilvl="0" w:tplc="FC04EB3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15F"/>
    <w:rsid w:val="00087242"/>
    <w:rsid w:val="001C2D3D"/>
    <w:rsid w:val="00211614"/>
    <w:rsid w:val="00244044"/>
    <w:rsid w:val="00363173"/>
    <w:rsid w:val="008420D6"/>
    <w:rsid w:val="0099154B"/>
    <w:rsid w:val="00B25EC2"/>
    <w:rsid w:val="00B81A5F"/>
    <w:rsid w:val="00C30735"/>
    <w:rsid w:val="00C30F8B"/>
    <w:rsid w:val="00E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B77E20CF-DCF5-48D9-9B60-54468CDE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8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63173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character" w:styleId="a3">
    <w:name w:val="Hyperlink"/>
    <w:uiPriority w:val="99"/>
    <w:rsid w:val="0036317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63173"/>
    <w:pPr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mw-headline">
    <w:name w:val="mw-headline"/>
    <w:rsid w:val="00363173"/>
    <w:rPr>
      <w:rFonts w:cs="Times New Roman"/>
    </w:rPr>
  </w:style>
  <w:style w:type="character" w:customStyle="1" w:styleId="editsection">
    <w:name w:val="editsection"/>
    <w:rsid w:val="00363173"/>
    <w:rPr>
      <w:rFonts w:cs="Times New Roman"/>
    </w:rPr>
  </w:style>
  <w:style w:type="paragraph" w:styleId="21">
    <w:name w:val="Body Text Indent 2"/>
    <w:basedOn w:val="a"/>
    <w:link w:val="22"/>
    <w:uiPriority w:val="99"/>
    <w:rsid w:val="00244044"/>
    <w:pPr>
      <w:spacing w:after="120" w:line="480" w:lineRule="auto"/>
      <w:ind w:left="283"/>
    </w:pPr>
    <w:rPr>
      <w:kern w:val="0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kern w:val="28"/>
      <w:sz w:val="28"/>
      <w:szCs w:val="28"/>
    </w:rPr>
  </w:style>
  <w:style w:type="paragraph" w:styleId="a5">
    <w:name w:val="footer"/>
    <w:basedOn w:val="a"/>
    <w:link w:val="a6"/>
    <w:uiPriority w:val="99"/>
    <w:rsid w:val="002440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kern w:val="28"/>
      <w:sz w:val="28"/>
      <w:szCs w:val="28"/>
    </w:rPr>
  </w:style>
  <w:style w:type="character" w:styleId="a7">
    <w:name w:val="page number"/>
    <w:uiPriority w:val="99"/>
    <w:rsid w:val="00244044"/>
    <w:rPr>
      <w:rFonts w:cs="Times New Roman"/>
    </w:rPr>
  </w:style>
  <w:style w:type="paragraph" w:styleId="a8">
    <w:name w:val="header"/>
    <w:basedOn w:val="a"/>
    <w:link w:val="a9"/>
    <w:uiPriority w:val="99"/>
    <w:rsid w:val="00211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211614"/>
    <w:rPr>
      <w:rFonts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1%8B%D0%BC%D0%BF%D0%B5%D0%BB%D0%9A%D0%BE%D0%BC" TargetMode="External"/><Relationship Id="rId13" Type="http://schemas.openxmlformats.org/officeDocument/2006/relationships/hyperlink" Target="http://ru.wikipedia.org/wiki/%D0%A0%D0%BE%D1%81%D0%BD%D0%B5%D1%84%D1%82%D1%8C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1.wmf"/><Relationship Id="rId42" Type="http://schemas.openxmlformats.org/officeDocument/2006/relationships/theme" Target="theme/theme1.xml"/><Relationship Id="rId7" Type="http://schemas.openxmlformats.org/officeDocument/2006/relationships/hyperlink" Target="http://ru.wikipedia.org/wiki/1997_%D0%B3%D0%BE%D0%B4" TargetMode="External"/><Relationship Id="rId12" Type="http://schemas.openxmlformats.org/officeDocument/2006/relationships/hyperlink" Target="http://ru.wikipedia.org/wiki/%D0%90%D1%80%D1%81%D0%B0%D0%B3%D0%B5%D1%80%D0%B0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B%D0%B5%D0%B1%D0%B5%D0%B4%D1%8F%D0%BD%D1%81%D0%BA%D0%B8%D0%B9" TargetMode="External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2.bin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10" Type="http://schemas.openxmlformats.org/officeDocument/2006/relationships/hyperlink" Target="http://ru.wikipedia.org/wiki/%D0%98%D1%80%D0%BA%D1%83%D1%82_(%D0%BA%D0%BE%D0%BC%D0%BF%D0%B0%D0%BD%D0%B8%D1%8F)" TargetMode="External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2007_%D0%B3%D0%BE%D0%B4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9294</CharactersWithSpaces>
  <SharedDoc>false</SharedDoc>
  <HLinks>
    <vt:vector size="42" baseType="variant">
      <vt:variant>
        <vt:i4>720925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http://ru.wikipedia.org/wiki/%D0%A0%D0%BE%D1%81%D0%BD%D0%B5%D1%84%D1%82%D1%8C</vt:lpwstr>
      </vt:variant>
      <vt:variant>
        <vt:lpwstr/>
      </vt:variant>
      <vt:variant>
        <vt:i4>524313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http://ru.wikipedia.org/wiki/%D0%90%D1%80%D1%81%D0%B0%D0%B3%D0%B5%D1%80%D0%B0</vt:lpwstr>
      </vt:variant>
      <vt:variant>
        <vt:lpwstr/>
      </vt:variant>
      <vt:variant>
        <vt:i4>2359394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http://ru.wikipedia.org/wiki/%D0%9B%D0%B5%D0%B1%D0%B5%D0%B4%D1%8F%D0%BD%D1%81%D0%BA%D0%B8%D0%B9</vt:lpwstr>
      </vt:variant>
      <vt:variant>
        <vt:lpwstr/>
      </vt:variant>
      <vt:variant>
        <vt:i4>5373988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http://ru.wikipedia.org/wiki/%D0%98%D1%80%D0%BA%D1%83%D1%82_(%D0%BA%D0%BE%D0%BC%D0%BF%D0%B0%D0%BD%D0%B8%D1%8F)</vt:lpwstr>
      </vt:variant>
      <vt:variant>
        <vt:lpwstr/>
      </vt:variant>
      <vt:variant>
        <vt:i4>7733342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http://ru.wikipedia.org/wiki/2007_%D0%B3%D0%BE%D0%B4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http://ru.wikipedia.org/wiki/%D0%92%D1%8B%D0%BC%D0%BF%D0%B5%D0%BB%D0%9A%D0%BE%D0%BC</vt:lpwstr>
      </vt:variant>
      <vt:variant>
        <vt:lpwstr/>
      </vt:variant>
      <vt:variant>
        <vt:i4>8126551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http://ru.wikipedia.org/wiki/1997_%D0%B3%D0%BE%D0%B4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ьброл</dc:creator>
  <cp:keywords/>
  <dc:description/>
  <cp:lastModifiedBy>admin</cp:lastModifiedBy>
  <cp:revision>2</cp:revision>
  <dcterms:created xsi:type="dcterms:W3CDTF">2014-03-26T10:06:00Z</dcterms:created>
  <dcterms:modified xsi:type="dcterms:W3CDTF">2014-03-26T10:06:00Z</dcterms:modified>
</cp:coreProperties>
</file>