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D6" w:rsidRPr="00DA3A19" w:rsidRDefault="00962AE2" w:rsidP="00DA3A19">
      <w:pPr>
        <w:pStyle w:val="11"/>
        <w:spacing w:after="0"/>
        <w:ind w:firstLine="737"/>
        <w:jc w:val="both"/>
        <w:rPr>
          <w:noProof/>
        </w:rPr>
      </w:pPr>
      <w:r w:rsidRPr="00DA3A19">
        <w:t>Содержание:</w:t>
      </w:r>
    </w:p>
    <w:p w:rsidR="00962AE2" w:rsidRPr="00DA3A19" w:rsidRDefault="00962AE2" w:rsidP="00DA3A19">
      <w:pPr>
        <w:pStyle w:val="a4"/>
        <w:spacing w:before="0" w:line="360" w:lineRule="auto"/>
        <w:ind w:firstLine="737"/>
        <w:jc w:val="both"/>
        <w:rPr>
          <w:rFonts w:ascii="Times New Roman" w:hAnsi="Times New Roman"/>
          <w:color w:val="auto"/>
        </w:rPr>
      </w:pPr>
    </w:p>
    <w:p w:rsidR="00962AE2" w:rsidRPr="00DA3A19" w:rsidRDefault="00962AE2" w:rsidP="00DA3A19">
      <w:pPr>
        <w:pStyle w:val="11"/>
        <w:spacing w:after="0"/>
        <w:ind w:firstLine="737"/>
        <w:jc w:val="both"/>
        <w:rPr>
          <w:b w:val="0"/>
          <w:noProof/>
          <w:lang w:eastAsia="ru-RU"/>
        </w:rPr>
      </w:pPr>
      <w:r w:rsidRPr="00C01648">
        <w:rPr>
          <w:rStyle w:val="a5"/>
          <w:b w:val="0"/>
          <w:noProof/>
        </w:rPr>
        <w:t>Введение</w:t>
      </w:r>
    </w:p>
    <w:p w:rsidR="00962AE2" w:rsidRPr="00DA3A19" w:rsidRDefault="00962AE2" w:rsidP="00DA3A19">
      <w:pPr>
        <w:pStyle w:val="11"/>
        <w:spacing w:after="0"/>
        <w:ind w:firstLine="737"/>
        <w:jc w:val="both"/>
        <w:rPr>
          <w:b w:val="0"/>
          <w:noProof/>
          <w:lang w:eastAsia="ru-RU"/>
        </w:rPr>
      </w:pPr>
      <w:r w:rsidRPr="00C01648">
        <w:rPr>
          <w:rStyle w:val="a5"/>
          <w:b w:val="0"/>
          <w:noProof/>
        </w:rPr>
        <w:t>1.</w:t>
      </w:r>
      <w:r w:rsidR="00A17DE1" w:rsidRPr="00C01648">
        <w:rPr>
          <w:rStyle w:val="a5"/>
          <w:b w:val="0"/>
          <w:noProof/>
        </w:rPr>
        <w:t xml:space="preserve"> </w:t>
      </w:r>
      <w:r w:rsidRPr="00C01648">
        <w:rPr>
          <w:rStyle w:val="a5"/>
          <w:b w:val="0"/>
          <w:noProof/>
        </w:rPr>
        <w:t>Понятие</w:t>
      </w:r>
      <w:r w:rsidR="00F06D56" w:rsidRPr="00C01648">
        <w:rPr>
          <w:rStyle w:val="a5"/>
          <w:b w:val="0"/>
          <w:noProof/>
        </w:rPr>
        <w:t xml:space="preserve"> </w:t>
      </w:r>
      <w:r w:rsidRPr="00C01648">
        <w:rPr>
          <w:rStyle w:val="a5"/>
          <w:b w:val="0"/>
          <w:noProof/>
        </w:rPr>
        <w:t>и принципы составления платежного баланса.</w:t>
      </w:r>
    </w:p>
    <w:p w:rsidR="00962AE2" w:rsidRPr="00DA3A19" w:rsidRDefault="00962AE2" w:rsidP="00DA3A19">
      <w:pPr>
        <w:pStyle w:val="11"/>
        <w:spacing w:after="0"/>
        <w:ind w:firstLine="737"/>
        <w:jc w:val="both"/>
        <w:rPr>
          <w:b w:val="0"/>
          <w:noProof/>
          <w:lang w:eastAsia="ru-RU"/>
        </w:rPr>
      </w:pPr>
      <w:r w:rsidRPr="00C01648">
        <w:rPr>
          <w:rStyle w:val="a5"/>
          <w:b w:val="0"/>
          <w:noProof/>
        </w:rPr>
        <w:t>2. Структура платежного баланса.</w:t>
      </w:r>
    </w:p>
    <w:p w:rsidR="00962AE2" w:rsidRPr="00DA3A19" w:rsidRDefault="00962AE2" w:rsidP="00DA3A19">
      <w:pPr>
        <w:pStyle w:val="11"/>
        <w:spacing w:after="0"/>
        <w:ind w:firstLine="737"/>
        <w:jc w:val="both"/>
        <w:rPr>
          <w:b w:val="0"/>
          <w:noProof/>
          <w:lang w:eastAsia="ru-RU"/>
        </w:rPr>
      </w:pPr>
      <w:r w:rsidRPr="00C01648">
        <w:rPr>
          <w:rStyle w:val="a5"/>
          <w:b w:val="0"/>
          <w:noProof/>
        </w:rPr>
        <w:t>3.</w:t>
      </w:r>
      <w:r w:rsidR="00A17DE1" w:rsidRPr="00C01648">
        <w:rPr>
          <w:rStyle w:val="a5"/>
          <w:b w:val="0"/>
          <w:noProof/>
        </w:rPr>
        <w:t xml:space="preserve"> </w:t>
      </w:r>
      <w:r w:rsidRPr="00C01648">
        <w:rPr>
          <w:rStyle w:val="a5"/>
          <w:b w:val="0"/>
          <w:noProof/>
        </w:rPr>
        <w:t>Поддержание устойчивого равновесия платежного баланса.</w:t>
      </w:r>
    </w:p>
    <w:p w:rsidR="00962AE2" w:rsidRPr="00DA3A19" w:rsidRDefault="00962AE2" w:rsidP="00DA3A19">
      <w:pPr>
        <w:pStyle w:val="11"/>
        <w:spacing w:after="0"/>
        <w:ind w:firstLine="737"/>
        <w:jc w:val="both"/>
        <w:rPr>
          <w:b w:val="0"/>
          <w:noProof/>
          <w:lang w:eastAsia="ru-RU"/>
        </w:rPr>
      </w:pPr>
      <w:r w:rsidRPr="00C01648">
        <w:rPr>
          <w:rStyle w:val="a5"/>
          <w:b w:val="0"/>
          <w:noProof/>
        </w:rPr>
        <w:t>Заключение.</w:t>
      </w:r>
    </w:p>
    <w:p w:rsidR="00962AE2" w:rsidRPr="00DA3A19" w:rsidRDefault="00962AE2" w:rsidP="00DA3A19">
      <w:pPr>
        <w:pStyle w:val="11"/>
        <w:spacing w:after="0"/>
        <w:ind w:firstLine="737"/>
        <w:jc w:val="both"/>
        <w:rPr>
          <w:b w:val="0"/>
          <w:noProof/>
          <w:lang w:val="en-US" w:eastAsia="ru-RU"/>
        </w:rPr>
      </w:pPr>
      <w:r w:rsidRPr="00C01648">
        <w:rPr>
          <w:rStyle w:val="a5"/>
          <w:b w:val="0"/>
          <w:noProof/>
        </w:rPr>
        <w:t>Список литературы</w:t>
      </w:r>
    </w:p>
    <w:p w:rsidR="00EB7632" w:rsidRPr="00DA3A19" w:rsidRDefault="00DA3A19" w:rsidP="00DA3A19">
      <w:pPr>
        <w:spacing w:after="0" w:line="360" w:lineRule="auto"/>
        <w:ind w:left="709" w:firstLine="28"/>
        <w:jc w:val="both"/>
        <w:rPr>
          <w:rFonts w:ascii="Times New Roman" w:hAnsi="Times New Roman"/>
          <w:b/>
          <w:sz w:val="28"/>
          <w:szCs w:val="28"/>
        </w:rPr>
      </w:pPr>
      <w:r w:rsidRPr="00DA3A19">
        <w:br w:type="page"/>
      </w:r>
      <w:bookmarkStart w:id="0" w:name="_Toc215462356"/>
      <w:bookmarkStart w:id="1" w:name="_Toc215462488"/>
      <w:r w:rsidR="004E07B2" w:rsidRPr="00DA3A19">
        <w:rPr>
          <w:rFonts w:ascii="Times New Roman" w:hAnsi="Times New Roman"/>
          <w:b/>
          <w:sz w:val="28"/>
          <w:szCs w:val="28"/>
        </w:rPr>
        <w:t>Введение</w:t>
      </w:r>
      <w:bookmarkEnd w:id="0"/>
      <w:bookmarkEnd w:id="1"/>
    </w:p>
    <w:p w:rsidR="00DA3A19" w:rsidRDefault="00DA3A19" w:rsidP="00DA3A19">
      <w:pPr>
        <w:spacing w:after="0" w:line="360" w:lineRule="auto"/>
        <w:ind w:firstLine="737"/>
        <w:jc w:val="both"/>
        <w:rPr>
          <w:rFonts w:ascii="Times New Roman" w:hAnsi="Times New Roman"/>
          <w:sz w:val="28"/>
          <w:szCs w:val="28"/>
          <w:lang w:val="en-US"/>
        </w:rPr>
      </w:pPr>
    </w:p>
    <w:p w:rsidR="004E07B2" w:rsidRPr="00DA3A19" w:rsidRDefault="004E07B2"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Внешнеэкономические связи в своем развитии проходят определенные этапы, смена которых характеризует усиление целостности мирового хозяйства, усложнение содержания международных экономических отношений: от торговли и услуг - к вызову капитала и последующему созданию международного производства, далее - к формированию единого мирового рынка валют, кредитов, ценных бумаг. Помимо экономических отношений существуют политические, военные, культурные и другие отношения между странами, которые порождают денежные платежи и поступления. Многогранный комплекс международных отношений страны находит отражение в балансовом счете ее международных операций, который по традиции называется платежным балансом.</w:t>
      </w:r>
    </w:p>
    <w:p w:rsidR="002525CC" w:rsidRPr="00DA3A19" w:rsidRDefault="002525CC"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Все легальные перемещения стоимостей между хозяйствующими субъектами разных стран записываются по определенной форме и образуют итоговый документ, именуемый платежным балансом. В зависимости от того, за какой период этот документ составляется, он может отражать международные сделки за месяц, квартал, год. Большинство стран публикует платежный баланс за год. </w:t>
      </w:r>
    </w:p>
    <w:p w:rsidR="002525CC" w:rsidRPr="00DA3A19" w:rsidRDefault="002525CC"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Из платежного баланса можно узнать, является ли страна в большей мере экспортером или импортером, какой вид услуг преимущественно экспортирует или импортирует, выплачивает больше процентов на капитал иностранцам или сама получает больше от инвестиций за рубежом, увеличилась или уменьшилась внешняя задолженность, увеличились или уменьшились валютные резервы и много другой информации, весьма полезной при принятии решений о международном сотрудничестве. </w:t>
      </w:r>
    </w:p>
    <w:p w:rsidR="004E07B2" w:rsidRPr="00DA3A19" w:rsidRDefault="00DA3A19" w:rsidP="00DA3A19">
      <w:pPr>
        <w:spacing w:after="0" w:line="360" w:lineRule="auto"/>
        <w:ind w:firstLine="737"/>
        <w:jc w:val="both"/>
        <w:rPr>
          <w:rFonts w:ascii="Times New Roman" w:hAnsi="Times New Roman"/>
          <w:b/>
          <w:sz w:val="28"/>
          <w:szCs w:val="28"/>
        </w:rPr>
      </w:pPr>
      <w:r>
        <w:rPr>
          <w:rFonts w:ascii="Times New Roman" w:hAnsi="Times New Roman"/>
          <w:sz w:val="28"/>
          <w:szCs w:val="28"/>
        </w:rPr>
        <w:br w:type="page"/>
      </w:r>
      <w:bookmarkStart w:id="2" w:name="_Toc215462357"/>
      <w:bookmarkStart w:id="3" w:name="_Toc215462489"/>
      <w:r w:rsidRPr="00DA3A19">
        <w:rPr>
          <w:rFonts w:ascii="Times New Roman" w:hAnsi="Times New Roman"/>
          <w:b/>
          <w:sz w:val="28"/>
          <w:szCs w:val="28"/>
        </w:rPr>
        <w:t xml:space="preserve">1. </w:t>
      </w:r>
      <w:r w:rsidR="004E07B2" w:rsidRPr="00DA3A19">
        <w:rPr>
          <w:rFonts w:ascii="Times New Roman" w:hAnsi="Times New Roman"/>
          <w:b/>
          <w:sz w:val="28"/>
          <w:szCs w:val="28"/>
        </w:rPr>
        <w:t>Понятие и принципы составления платежного баланса.</w:t>
      </w:r>
      <w:bookmarkEnd w:id="2"/>
      <w:bookmarkEnd w:id="3"/>
    </w:p>
    <w:p w:rsidR="00DA3A19" w:rsidRDefault="00DA3A19" w:rsidP="00DA3A19">
      <w:pPr>
        <w:spacing w:after="0" w:line="360" w:lineRule="auto"/>
        <w:ind w:firstLine="737"/>
        <w:jc w:val="both"/>
        <w:rPr>
          <w:rFonts w:ascii="Times New Roman" w:hAnsi="Times New Roman"/>
          <w:sz w:val="28"/>
          <w:szCs w:val="28"/>
        </w:rPr>
      </w:pPr>
    </w:p>
    <w:p w:rsidR="008B0DD1" w:rsidRPr="00DA3A19" w:rsidRDefault="002525CC"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В платежном балансе отражаются экономические отношения данной страны с другими странами. Очень важно, чтобы форма производимых в нем записей имела относительно высокую степень унификации и давала возможность производить сопоставления. Поэтому при составлении странами платежного баланса за основу принимаются методические рекомендации международного валютного фонда. Согласно п. 13 части </w:t>
      </w:r>
      <w:r w:rsidRPr="00DA3A19">
        <w:rPr>
          <w:rFonts w:ascii="Times New Roman" w:hAnsi="Times New Roman"/>
          <w:sz w:val="28"/>
          <w:szCs w:val="28"/>
          <w:lang w:val="en-US"/>
        </w:rPr>
        <w:t>II</w:t>
      </w:r>
      <w:r w:rsidRPr="00DA3A19">
        <w:rPr>
          <w:rFonts w:ascii="Times New Roman" w:hAnsi="Times New Roman"/>
          <w:sz w:val="28"/>
          <w:szCs w:val="28"/>
        </w:rPr>
        <w:t xml:space="preserve"> рекомендаций МВФ</w:t>
      </w:r>
      <w:r w:rsidR="008B0DD1" w:rsidRPr="00DA3A19">
        <w:rPr>
          <w:rFonts w:ascii="Times New Roman" w:hAnsi="Times New Roman"/>
          <w:sz w:val="28"/>
          <w:szCs w:val="28"/>
        </w:rPr>
        <w:t>, «платежный баланс представляет собой статистическую сводку, системно суммирующую экономические сделки страны с остальным миром за определенный период». Это самое простое и самое лаконичное определение термина «платежный баланс». Далее в этом же параграфе методических рекомендаций дается расширенная трактовка платежного баланса, в которой отмечается, что он показывает «операции между резидентами нерезидентами, касающиеся товаров, услуг и доходов, финансовых обязательств и требований данной страны к остальному миру, а также дары, классифицируемые как трансферты…».</w:t>
      </w:r>
    </w:p>
    <w:p w:rsidR="004E07B2" w:rsidRPr="00DA3A19" w:rsidRDefault="008B0DD1"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При составлении платежного баланса все участники международных сделок делятся на две категории – резидентов и нерезидентов. С позиций конкретной страны все остальные ее партнеры по международным экономическим сделкам являются нерезидентами и, соответственно, резидентами своих стран. В Российской Федерации согласно </w:t>
      </w:r>
      <w:r w:rsidR="00A45D85" w:rsidRPr="00DA3A19">
        <w:rPr>
          <w:rFonts w:ascii="Times New Roman" w:hAnsi="Times New Roman"/>
          <w:sz w:val="28"/>
          <w:szCs w:val="28"/>
        </w:rPr>
        <w:t xml:space="preserve">п.6 ст.1 </w:t>
      </w:r>
      <w:r w:rsidRPr="00DA3A19">
        <w:rPr>
          <w:rFonts w:ascii="Times New Roman" w:hAnsi="Times New Roman"/>
          <w:sz w:val="28"/>
          <w:szCs w:val="28"/>
        </w:rPr>
        <w:t>Закон</w:t>
      </w:r>
      <w:r w:rsidR="00A45D85" w:rsidRPr="00DA3A19">
        <w:rPr>
          <w:rFonts w:ascii="Times New Roman" w:hAnsi="Times New Roman"/>
          <w:sz w:val="28"/>
          <w:szCs w:val="28"/>
        </w:rPr>
        <w:t>а</w:t>
      </w:r>
      <w:r w:rsidRPr="00DA3A19">
        <w:rPr>
          <w:rFonts w:ascii="Times New Roman" w:hAnsi="Times New Roman"/>
          <w:sz w:val="28"/>
          <w:szCs w:val="28"/>
        </w:rPr>
        <w:t xml:space="preserve"> «О валютном регулировании и валютном контроле» от </w:t>
      </w:r>
      <w:r w:rsidR="00A45D85" w:rsidRPr="00DA3A19">
        <w:rPr>
          <w:rFonts w:ascii="Times New Roman" w:hAnsi="Times New Roman"/>
          <w:sz w:val="28"/>
          <w:szCs w:val="28"/>
        </w:rPr>
        <w:t>10</w:t>
      </w:r>
      <w:r w:rsidRPr="00DA3A19">
        <w:rPr>
          <w:rFonts w:ascii="Times New Roman" w:hAnsi="Times New Roman"/>
          <w:sz w:val="28"/>
          <w:szCs w:val="28"/>
        </w:rPr>
        <w:t>.</w:t>
      </w:r>
      <w:r w:rsidR="00A45D85" w:rsidRPr="00DA3A19">
        <w:rPr>
          <w:rFonts w:ascii="Times New Roman" w:hAnsi="Times New Roman"/>
          <w:sz w:val="28"/>
          <w:szCs w:val="28"/>
        </w:rPr>
        <w:t>12</w:t>
      </w:r>
      <w:r w:rsidRPr="00DA3A19">
        <w:rPr>
          <w:rFonts w:ascii="Times New Roman" w:hAnsi="Times New Roman"/>
          <w:sz w:val="28"/>
          <w:szCs w:val="28"/>
        </w:rPr>
        <w:t>.200</w:t>
      </w:r>
      <w:r w:rsidR="00A45D85" w:rsidRPr="00DA3A19">
        <w:rPr>
          <w:rFonts w:ascii="Times New Roman" w:hAnsi="Times New Roman"/>
          <w:sz w:val="28"/>
          <w:szCs w:val="28"/>
        </w:rPr>
        <w:t>3</w:t>
      </w:r>
      <w:r w:rsidRPr="00DA3A19">
        <w:rPr>
          <w:rFonts w:ascii="Times New Roman" w:hAnsi="Times New Roman"/>
          <w:sz w:val="28"/>
          <w:szCs w:val="28"/>
        </w:rPr>
        <w:t xml:space="preserve"> N 1</w:t>
      </w:r>
      <w:r w:rsidR="00A45D85" w:rsidRPr="00DA3A19">
        <w:rPr>
          <w:rFonts w:ascii="Times New Roman" w:hAnsi="Times New Roman"/>
          <w:sz w:val="28"/>
          <w:szCs w:val="28"/>
        </w:rPr>
        <w:t>73</w:t>
      </w:r>
      <w:r w:rsidRPr="00DA3A19">
        <w:rPr>
          <w:rFonts w:ascii="Times New Roman" w:hAnsi="Times New Roman"/>
          <w:sz w:val="28"/>
          <w:szCs w:val="28"/>
        </w:rPr>
        <w:t xml:space="preserve">-ФЗ, резидентами являются: </w:t>
      </w:r>
    </w:p>
    <w:p w:rsidR="008B0DD1" w:rsidRPr="00DA3A19" w:rsidRDefault="008B0DD1"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а) физические лица, являющиеся гражданами Российской Федерации, за исключением граждан Российской Федерации, признаваемых постоянно проживающими в иностранном государстве в соответствии с законодательством этого государства;</w:t>
      </w:r>
    </w:p>
    <w:p w:rsidR="008B0DD1" w:rsidRPr="00DA3A19" w:rsidRDefault="008B0DD1"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б) постоянно проживающие в Российской Федерации на основании вида на жительство, предусмотренного законодательством Российской Федерации, иностранные граждане и лица без гражданства;</w:t>
      </w:r>
    </w:p>
    <w:p w:rsidR="008B0DD1" w:rsidRPr="00DA3A19" w:rsidRDefault="008B0DD1"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в) юридические лица, созданные в соответствии с законодательством Российской Федерации;</w:t>
      </w:r>
    </w:p>
    <w:p w:rsidR="008B0DD1" w:rsidRPr="00DA3A19" w:rsidRDefault="008B0DD1"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г) находящиеся за пределами территории Российской Федерации филиалы, представительства и иные подразделения резидентов, указанных в подпункте "в" настоящего пункта;</w:t>
      </w:r>
    </w:p>
    <w:p w:rsidR="008B0DD1" w:rsidRPr="00DA3A19" w:rsidRDefault="008B0DD1"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д) дипломатические представительства, консульские учреждения Российской Федерации и иные официальные представительства Российской Федерации, находящиеся за пределами территории Российской Федерации, а также постоянные представительства Российской Федерации при межгосударственных или межправительственных организациях;</w:t>
      </w:r>
    </w:p>
    <w:p w:rsidR="008B0DD1" w:rsidRPr="00DA3A19" w:rsidRDefault="008B0DD1"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е) 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w:t>
      </w:r>
      <w:r w:rsidR="00A45D85" w:rsidRPr="00DA3A19">
        <w:rPr>
          <w:rFonts w:ascii="Times New Roman" w:hAnsi="Times New Roman"/>
          <w:sz w:val="28"/>
          <w:szCs w:val="28"/>
        </w:rPr>
        <w:t>и нормативными правовыми актами.</w:t>
      </w:r>
    </w:p>
    <w:p w:rsidR="00A45D85" w:rsidRPr="00DA3A19" w:rsidRDefault="00A45D8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Таким образом, к категории резидентов прежде всего относятся российские граждане, имеющие постоянное место жительства на территории России. Их принадлежность к российскому гражданству определятся российским паспортом. Место нахождения юридического лица определяется, как правило, местом его государственной регистрации. </w:t>
      </w:r>
    </w:p>
    <w:p w:rsidR="00A45D85" w:rsidRPr="00DA3A19" w:rsidRDefault="00A45D8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К нерезидентам согласно российскому законодательству относятся</w:t>
      </w:r>
    </w:p>
    <w:p w:rsidR="00A45D85" w:rsidRPr="00DA3A19" w:rsidRDefault="00A45D8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а) физические лица, не являющиеся резидентами в соответствии с подпунктами "а" и "б" пункта 6 настоящей части;</w:t>
      </w:r>
    </w:p>
    <w:p w:rsidR="00A45D85" w:rsidRPr="00DA3A19" w:rsidRDefault="00A45D8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б)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A45D85" w:rsidRPr="00DA3A19" w:rsidRDefault="00A45D8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в) 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A45D85" w:rsidRPr="00DA3A19" w:rsidRDefault="00A45D8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г) 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w:t>
      </w:r>
    </w:p>
    <w:p w:rsidR="00A45D85" w:rsidRPr="00DA3A19" w:rsidRDefault="00A45D8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д) межгосударственные и межправительственные организации, их филиалы и постоянные представительства в Российской Федерации;</w:t>
      </w:r>
    </w:p>
    <w:p w:rsidR="00A45D85" w:rsidRPr="00DA3A19" w:rsidRDefault="00A45D8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е) находящиеся на территории Российской Федерации филиалы, постоянные представительства и другие обособленные или самостоятельные структурные подразделения нерезидентов, указанных в подпунктах "б" и "в" настоящего пункта;</w:t>
      </w:r>
    </w:p>
    <w:p w:rsidR="002525CC" w:rsidRPr="00DA3A19" w:rsidRDefault="00A45D8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ж) иные лица, не указанные в пункте 6 настоящей части.</w:t>
      </w:r>
    </w:p>
    <w:p w:rsidR="002525CC" w:rsidRPr="00DA3A19" w:rsidRDefault="003D0CC9"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Теперь важно определить, что означает понятие «экономическая сделка». Исторически в основе этого понятия лежала купля-продажа товаров и услуг на международном рынке. Этот вид сделки и сегодня является важнейшим. В большинстве случаев такая сделка выглядит в виде поставки (обмена) товаров против финансовых активов (денег, долговых обязательств), либо в виде бартера (поставки товара одной страны против товара другой страны). С наступлением эпохи вывоза капитала понятие «экономическая сделка» стало распространяться на обмен финансовых активов одной страны на финансовые активы другой страны в виде купли-продажи акций иностранных предприятий, государственных долговых обязательств и других иностранных ценных бумаг. К такого рода сделкам относятся также поставки за границу товаров, услуг и финансовых активов без возмещения, которые обычно именуют трансфертами.</w:t>
      </w:r>
    </w:p>
    <w:p w:rsidR="003D0CC9" w:rsidRPr="00DA3A19" w:rsidRDefault="003D0CC9"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Необходимо обратить внимание на то, что, как видно из определений платежного баланса, экономическая сделка предполагает смену собственника товара, услуги, финансового актива. Обычно так и происходит. Однако расширение деятельности транснациональных компаний (ТНК) нарушило однозначность такого подхода. Товары перемещаются из одной страны в другую, оставаясь в собственности одного и того же юридического лица</w:t>
      </w:r>
      <w:r w:rsidR="00C810EC" w:rsidRPr="00DA3A19">
        <w:rPr>
          <w:rFonts w:ascii="Times New Roman" w:hAnsi="Times New Roman"/>
          <w:sz w:val="28"/>
          <w:szCs w:val="28"/>
        </w:rPr>
        <w:t>. Например, узлы автомобиля, собранные на заводе «Форд» в США, перевозятся в Мексику для сборки там автомобиля на его дочернем предприятии. Во избежание такой коллизии при создании подобных дочерних предприятий необходимо, чтобы они либо создавались на основе местного законодательства и были зарегистрированы на территории страны пребывания, что придает им статус резидента данной страны, либо имели четкий статус нерезидента. В большинстве случаев заграничные филиалы и дочерние предприятия компаний развитых стран считаются для этих стран нерезидентами.</w:t>
      </w:r>
    </w:p>
    <w:p w:rsidR="00C810EC" w:rsidRPr="00DA3A19" w:rsidRDefault="00C810EC"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Поскольку платежный баланс относится к такого рода документу, который представляет собой разновидность бухгалтерского балансового тождества, принципом его составления является классический принцип составления бухгалтерского баланса – принцип двойной записи, или двойной проводки. Одна запись оформляется под рубрикой «кредит» и сумма записывается со знаком (+), другая – под рубрикой «дебет» и сумма сделки записывается со знаком (-). На кредит записываются все платежи, которые поступают в страну, а на дебет – платежи, которые страна должна осуществлять за границу. Таким образом, по кредиту записываются сделки по экспорту товаров и услуг</w:t>
      </w:r>
      <w:r w:rsidR="00A1703B" w:rsidRPr="00DA3A19">
        <w:rPr>
          <w:rFonts w:ascii="Times New Roman" w:hAnsi="Times New Roman"/>
          <w:sz w:val="28"/>
          <w:szCs w:val="28"/>
        </w:rPr>
        <w:t xml:space="preserve">, односторонние переводы в данную страну и потоки финансовых ресурсов в страну, которые увеличивают ее международные обязательства или уменьшают ее международные активы. По дебету, соответственно, записываются сделки по импорту товаров и услуг, односторонние переводы за границу и потоки финансовых ресурсов из страны, которые уменьшают ее международные обязательства или увеличивают ее международные активы. </w:t>
      </w:r>
    </w:p>
    <w:p w:rsidR="00A1703B" w:rsidRPr="00DA3A19" w:rsidRDefault="00A1703B"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Принцип двойной записи международных сделок не означает, что каждая такая сделка, пройдя первичную запись, тут же просматривается во второй записи. Например, когда вы приехали на отдых в Испанию, вы могли не менять рубли, а прибыть с дорожными чеками и расплачиваться ими за услуги, предоставляемые испанской туристической фирмой</w:t>
      </w:r>
      <w:r w:rsidR="000F6FE8" w:rsidRPr="00DA3A19">
        <w:rPr>
          <w:rFonts w:ascii="Times New Roman" w:hAnsi="Times New Roman"/>
          <w:sz w:val="28"/>
          <w:szCs w:val="28"/>
        </w:rPr>
        <w:t>. Платеж нерезиденту будет записан в виде первичной записи на дебет платежного баланса России, а где может появиться вторая запись, четкой определенности нет. Теперь чек находится в руках испанской туристической фирмы. Она может поместить его в российский банк, и это будет означать, что фирма приобретает актив в виде депозита российского банка, что записывается на кредит платежного баланса России. Таким образом, однажды совершенная сделка и получившая первичную запись в платежном балансе, например на кредите</w:t>
      </w:r>
      <w:r w:rsidR="00922BDD" w:rsidRPr="00DA3A19">
        <w:rPr>
          <w:rFonts w:ascii="Times New Roman" w:hAnsi="Times New Roman"/>
          <w:sz w:val="28"/>
          <w:szCs w:val="28"/>
        </w:rPr>
        <w:t>, тем или иным путем получит свое подтверждение в виде записи на дебете платежного баланса страны.</w:t>
      </w:r>
    </w:p>
    <w:p w:rsidR="00922BDD" w:rsidRPr="00DA3A19" w:rsidRDefault="007A1C5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Поскольку возникают подобные ситуации, очень важным является момент регистрации сделки, данные о которой записываются в платежный баланс. В идеале обе записи должны производиться одновременно. Но это не всегда удается из-за различий в оценке момента сделки. Наиболее распространенными моментами сделки считаются даты подписания контракта, прохождения таможенных процедур, отгрузки товара, акта выполнения услуг, оформления платежа.</w:t>
      </w:r>
    </w:p>
    <w:p w:rsidR="002525CC" w:rsidRPr="00DA3A19" w:rsidRDefault="00DA3A19" w:rsidP="00DA3A19">
      <w:pPr>
        <w:spacing w:after="0" w:line="360" w:lineRule="auto"/>
        <w:ind w:firstLine="737"/>
        <w:jc w:val="both"/>
        <w:rPr>
          <w:rFonts w:ascii="Times New Roman" w:hAnsi="Times New Roman"/>
          <w:b/>
          <w:sz w:val="28"/>
          <w:szCs w:val="28"/>
        </w:rPr>
      </w:pPr>
      <w:r>
        <w:rPr>
          <w:rFonts w:ascii="Times New Roman" w:hAnsi="Times New Roman"/>
          <w:sz w:val="28"/>
          <w:szCs w:val="28"/>
        </w:rPr>
        <w:br w:type="page"/>
      </w:r>
      <w:bookmarkStart w:id="4" w:name="_Toc215462358"/>
      <w:bookmarkStart w:id="5" w:name="_Toc215462490"/>
      <w:r w:rsidR="006009D0" w:rsidRPr="00DA3A19">
        <w:rPr>
          <w:rFonts w:ascii="Times New Roman" w:hAnsi="Times New Roman"/>
          <w:b/>
          <w:sz w:val="28"/>
          <w:szCs w:val="28"/>
        </w:rPr>
        <w:t>2. Структура платежного баланса.</w:t>
      </w:r>
      <w:bookmarkEnd w:id="4"/>
      <w:bookmarkEnd w:id="5"/>
    </w:p>
    <w:p w:rsidR="00DA3A19" w:rsidRDefault="00DA3A19" w:rsidP="00DA3A19">
      <w:pPr>
        <w:spacing w:after="0" w:line="360" w:lineRule="auto"/>
        <w:ind w:firstLine="737"/>
        <w:jc w:val="both"/>
        <w:rPr>
          <w:rFonts w:ascii="Times New Roman" w:hAnsi="Times New Roman"/>
          <w:sz w:val="28"/>
          <w:szCs w:val="28"/>
        </w:rPr>
      </w:pP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Структуру платежного баланса в несколько упрощенном виде можно представить следующим образом: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I. Текущий платежный баланс или баланс текущих операций.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II. Баланс движения капиталов (ввоз-вывоз капитала).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III. Официальные резервы страны.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I. Статьи текущего платежного баланса являются основными; сальдо этих статей характеризует страну как чистого экспортера или импортера капитала. Остальные статьи считаются балансирующими, т.е. они регулируют сальдо текущего платежного баланса. Хроническое положительное сальдо текущего платежного баланса, как правило, свидетельствует о заниженном валютном курсе национальной валюты, который при плавающем (рыночном) режиме будет дорожать (ревальвироваться).</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Напротив, хронический дефицит текущего платежного баланса является показателем завышенного обменного курса национальной валюты, которая будет дешеветь (девальвироваться), если ее не будут поддерживать законодательно или интервенциями центрального банка, который будет скупать национальную валюту за доллары или иную свободно конвертируемую валюту.</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1. Первая статья текущего платежного баланса - это доходы от экспорта товаров и платежи по импорту товаров, выраженные в ценах "фоб", т.е. без учета стоимости страхования и транспортировки в отличие от таможенной статистики, которая показывает импорт в ценах "сиф", включающих страхование и фрахт.</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2. Другие статьи текущего платежного баланса - это платежи и поступления от предоставления и получения различных услуг.</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Сюда входят: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платежи-поступления по транспорту, страхованию, связи, деловым поездкам, туризм, научно-технический обмен (патенты, лицензии, роялти и др.), лизинг (долгосрочная аренда оборудования, машин и пр.);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доходы от государственного и частного, краткосрочного и долгосрочного капитала, вывезенного за рубеж, и платежи по иностранному капиталу, инвестированному в том или ином виде в экономику данной страны. Эта статья показывает приток-отток не самих капиталов, а доходов-расходов по капиталу - движение процентов, дивидендов, прибыли; сюда включаются и реинвестированные доходы, которые не репатриируются;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в текущий платежный баланс включаются также государственные административные, военные и иные расходы за рубежом, включая содержание посольств и других представительств, военных баз на чужих территориях; ведение военных операций, в частности по борьбе с терроризмом; безвозвратная и льготная помощь иностранным государствам (военная, техническая, продовольственная и другая), взносы в международные организации; другие односторонние переводы: государственные пенсии, частные денежные переводы иностранных рабочих, специалистов.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Сальдо текущего платежного баланса может быть отрицательным (дефицитным) или положительным. Хронический дефицит текущего платежного баланса обычно влияет на обменный курс национальной валюты в сторону его понижения. Понижение валютного курса выгодно национальным экспортерам товаров, т.к. они получают ценовое преимущество на рынке, а заработанная иностранная валюта обменивается на национальную валюту по высокому курсу. Низкий валютный курс невыгоден импортерам, т.к. импортные товары дорожают на внутреннем рынке и их сбыт сокращается.</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Напротив, хронический актив (профицит) текущего платежного баланса вызовет повышение валютного курса национальной валюты, что крайне нежелательно для экспортеров, т.к. их товары и услуги подорожают на внешних рынках, а валюта будет обмениваться на национальную валюту по низкому курсу. Высокий валютный курс будет стимулировать вывоз капитала и импорт товаров.</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Дефицит обязательно должен быть покрыт либо из официальных резервов, либо путем привлечения иностранного капитала из частных или официальных источников. Покрытие отрицательного сальдо иностранными заемными ресурсами (кредитами, займами) образует внешнюю задолженность (внешние долги). Страны заимствуют из внешних источников не только на покрытие дефицита платежного баланса, но и на внутренние нужды: на пополнение государственного бюджета, проведение экономических реформ и т.д. Развитые страны, более половины развивающихся стран и некоторые страны Центральной и Восточной Европы (ЦВЕ) являются состоятельными должниками, т.е. они своевременно погашают свои долговые обязательства.</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55 развивающихся государств, бывшие республики СССР и некоторые страны ЦВЕ нарушают свои долговые обязательства, допускают просрочки, обращаются к МВФ, иностранным государствам-кредиторам и банкам-кредиторам с просьбой о списании (прощении) части долгов, о переносе сроков платежей, о конверсии долгов в акции и другие активы.</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II. Баланс движения капиталов показывает движение долгосрочного и краткосрочного капитала.</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Он включает следующие статьи: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"Прямые инвестиции и прочий долгосрочный капитал". В эту статью включаются: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а) прямые и портфельные инвестиции;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б) прочий долгосрочный капитал, в том числе: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долгосрочные государственные и частные банковские займы;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выплату (получение) основной части долга по ранее полученным (предоставленным) займам;</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подписку на облигации международных банков и финансовых организаций.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"Краткосрочный капитал". Эта статья отражает движение инвестиций сроком до одного года, преимущественно движение краткосрочных государственных ценных бумаг и обязательств, банковских депозитов и межбанковской задолженности, краткосрочных займов.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Статья "ошибки и пропуски" включает также контрабанду и нелегальную утечку капитала.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Ш. Официальные резервы включают: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1) иностранные валютные активы;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2) государственный золотой запас в миллионах унций;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3) специальные права заимствования (СПЗ);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4) резервную позицию в МВФ; </w:t>
      </w:r>
    </w:p>
    <w:p w:rsidR="006009D0"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5) прочие требования. </w:t>
      </w:r>
    </w:p>
    <w:p w:rsidR="002525CC" w:rsidRPr="00DA3A19" w:rsidRDefault="006009D0"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Официальные резервы выполняют важную функцию, особенно в странах с неконвертируемой валютой и не являющихся первоклассными заемщиками. Они повышают доверие к платежеспособности страны, служат средством поддержания валютного курса. Совокупность официальных резервов всех стран мира образует международную ликвидность. Золото демонетизировано, т.е. оно не является валютой, им нельзя расплачиваться, оно не обладает высокой ликвидностью, его нелегко обратить в наличные деньги; тем не менее все страны, и прежде всего развитые страны, держат золото в качестве официального резерва.</w:t>
      </w:r>
    </w:p>
    <w:p w:rsidR="002525CC" w:rsidRPr="00DA3A19" w:rsidRDefault="00DA3A19" w:rsidP="00DA3A19">
      <w:pPr>
        <w:spacing w:after="0" w:line="360" w:lineRule="auto"/>
        <w:ind w:firstLine="737"/>
        <w:jc w:val="both"/>
        <w:rPr>
          <w:rFonts w:ascii="Times New Roman" w:hAnsi="Times New Roman"/>
          <w:b/>
          <w:sz w:val="28"/>
          <w:szCs w:val="28"/>
        </w:rPr>
      </w:pPr>
      <w:r>
        <w:rPr>
          <w:rFonts w:ascii="Times New Roman" w:hAnsi="Times New Roman"/>
          <w:sz w:val="28"/>
          <w:szCs w:val="28"/>
        </w:rPr>
        <w:br w:type="page"/>
      </w:r>
      <w:bookmarkStart w:id="6" w:name="_Toc215462359"/>
      <w:bookmarkStart w:id="7" w:name="_Toc215462491"/>
      <w:r w:rsidRPr="00DA3A19">
        <w:rPr>
          <w:rFonts w:ascii="Times New Roman" w:hAnsi="Times New Roman"/>
          <w:b/>
          <w:sz w:val="28"/>
          <w:szCs w:val="28"/>
        </w:rPr>
        <w:t xml:space="preserve">3. </w:t>
      </w:r>
      <w:r w:rsidR="006009D0" w:rsidRPr="00DA3A19">
        <w:rPr>
          <w:rFonts w:ascii="Times New Roman" w:hAnsi="Times New Roman"/>
          <w:b/>
          <w:sz w:val="28"/>
          <w:szCs w:val="28"/>
        </w:rPr>
        <w:t>Поддержание устойчивого равновесия платежного баланса.</w:t>
      </w:r>
      <w:bookmarkEnd w:id="6"/>
      <w:bookmarkEnd w:id="7"/>
    </w:p>
    <w:p w:rsidR="00DA3A19" w:rsidRDefault="00DA3A19" w:rsidP="00DA3A19">
      <w:pPr>
        <w:spacing w:after="0" w:line="360" w:lineRule="auto"/>
        <w:ind w:firstLine="737"/>
        <w:jc w:val="both"/>
        <w:rPr>
          <w:rFonts w:ascii="Times New Roman" w:hAnsi="Times New Roman"/>
          <w:sz w:val="28"/>
          <w:szCs w:val="28"/>
        </w:rPr>
      </w:pPr>
    </w:p>
    <w:p w:rsidR="002525CC" w:rsidRPr="00DA3A19" w:rsidRDefault="00652A9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При всей сложности </w:t>
      </w:r>
      <w:r w:rsidR="008C135E" w:rsidRPr="00DA3A19">
        <w:rPr>
          <w:rFonts w:ascii="Times New Roman" w:hAnsi="Times New Roman"/>
          <w:sz w:val="28"/>
          <w:szCs w:val="28"/>
        </w:rPr>
        <w:t>получения информации о внешнеэкономических сделках и трудностях составления платежного баланса его данные необходимы для выработки макроэкономической</w:t>
      </w:r>
      <w:r w:rsidR="00F06D56">
        <w:rPr>
          <w:rFonts w:ascii="Times New Roman" w:hAnsi="Times New Roman"/>
          <w:sz w:val="28"/>
          <w:szCs w:val="28"/>
        </w:rPr>
        <w:t xml:space="preserve"> </w:t>
      </w:r>
      <w:r w:rsidR="008C135E" w:rsidRPr="00DA3A19">
        <w:rPr>
          <w:rFonts w:ascii="Times New Roman" w:hAnsi="Times New Roman"/>
          <w:sz w:val="28"/>
          <w:szCs w:val="28"/>
        </w:rPr>
        <w:t>политики и принятия решений по ее реализации. Величина располагаемого дохода страны напрямую зависит от сальдо счета текущих операций. Если сальдо положительное, располагаемый доход страны увеличивается, если отрицательное – уменьшается. Следовательно, длительный дефицит по балансу текущих операций неизбежно приведет к замедлению экономического роста. Чтобы этого не случилось, перед правительством стоит задача как минимум избежать продолжительного дефицита баланса текущих операций. Решить эту задачу не просто, поскольку ее решение зависит не только от состояния экономики данной страны, но и от экономических процессов в остальном мире. Такие факторы, как экономические циклы и их неравномерное распространение по странам</w:t>
      </w:r>
      <w:r w:rsidR="003843E5" w:rsidRPr="00DA3A19">
        <w:rPr>
          <w:rFonts w:ascii="Times New Roman" w:hAnsi="Times New Roman"/>
          <w:sz w:val="28"/>
          <w:szCs w:val="28"/>
        </w:rPr>
        <w:t xml:space="preserve">, события на мировом финансовом рынке, могут существенно снизить эффективность правительственных мер по достижению уравновешенного баланса текущих операций. Эти меры тем эффективнее, чем они своевременнее, разнообразнее и искуснее в применении. </w:t>
      </w:r>
    </w:p>
    <w:p w:rsidR="003843E5" w:rsidRPr="00DA3A19" w:rsidRDefault="003843E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Наиболее распространенным методом регулирования платежного баланса является понижение цены национальной денежной единицы. Эта мера способствует стимулированию экспорта и снижению импорта, действует в направлении сокращения отрицательного сальдо торгового баланса. Она эффективна тогда, когда имеется экспортный потенциал и потенциал для развития производств, замещающих импорт. Такую ситуацию можно было наблюдать в России после кризиса в августе 1998г. Однако девальвация может не дать желаемого результата и даже иметь негативные последствия, если, например, страна в это время импортирует оборудование. Удорожание импортного </w:t>
      </w:r>
      <w:r w:rsidR="00DA3A19" w:rsidRPr="00DA3A19">
        <w:rPr>
          <w:rFonts w:ascii="Times New Roman" w:hAnsi="Times New Roman"/>
          <w:sz w:val="28"/>
          <w:szCs w:val="28"/>
        </w:rPr>
        <w:t>оборудования,</w:t>
      </w:r>
      <w:r w:rsidRPr="00DA3A19">
        <w:rPr>
          <w:rFonts w:ascii="Times New Roman" w:hAnsi="Times New Roman"/>
          <w:sz w:val="28"/>
          <w:szCs w:val="28"/>
        </w:rPr>
        <w:t xml:space="preserve"> в конечном </w:t>
      </w:r>
      <w:r w:rsidR="00DA3A19" w:rsidRPr="00DA3A19">
        <w:rPr>
          <w:rFonts w:ascii="Times New Roman" w:hAnsi="Times New Roman"/>
          <w:sz w:val="28"/>
          <w:szCs w:val="28"/>
        </w:rPr>
        <w:t>счете,</w:t>
      </w:r>
      <w:r w:rsidRPr="00DA3A19">
        <w:rPr>
          <w:rFonts w:ascii="Times New Roman" w:hAnsi="Times New Roman"/>
          <w:sz w:val="28"/>
          <w:szCs w:val="28"/>
        </w:rPr>
        <w:t xml:space="preserve"> приведет к росту цен на выпускаемую продукцию, к инфляции издержек.</w:t>
      </w:r>
    </w:p>
    <w:p w:rsidR="003843E5" w:rsidRPr="00DA3A19" w:rsidRDefault="003843E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На стимулирование экспорта направлены такие меры государственного регулирования, как предоставление налоговых льгот, льготного режима амортизации основного капитала, целевых экспортных кредитов, государственное страхование экспорта, оказание консультационных и рекламных услуг. Все это способствует снижению издержек, повышению конкурентоспособности товаров, росту экспорта и положительному влиянию на платежный баланс страны. </w:t>
      </w:r>
    </w:p>
    <w:p w:rsidR="003843E5" w:rsidRPr="00DA3A19" w:rsidRDefault="003843E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К мерам государственного регулирования платежного баланса страны относится валютный контроль. Он включает обязательную продажу валюты экспортерами, депонирование части валюты при импорте товаров, согласование контрактов по импорту с институтами регулирования денежного обращения, ограничения по конвертируемости валюты, по ввозу и вывозу наличной валюты.</w:t>
      </w:r>
    </w:p>
    <w:p w:rsidR="002525CC" w:rsidRPr="00DA3A19" w:rsidRDefault="003843E5"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 xml:space="preserve">В последние годы в связи с ростом влияния мирового финансового рынка на экономику отдельных стран все большее </w:t>
      </w:r>
      <w:r w:rsidR="00FF41F2" w:rsidRPr="00DA3A19">
        <w:rPr>
          <w:rFonts w:ascii="Times New Roman" w:hAnsi="Times New Roman"/>
          <w:sz w:val="28"/>
          <w:szCs w:val="28"/>
        </w:rPr>
        <w:t xml:space="preserve">значение приобретает межгосударственное регулирование платежного баланса, которое включает согласование условий предоставления государственных экспортных кредитов, двусторонние кредиты сектора государственного управления, взаимные кредиты центральных банков в национальных валютах, кредиты международных финансовых институтов. </w:t>
      </w:r>
    </w:p>
    <w:p w:rsidR="00FF41F2" w:rsidRDefault="00DA3A19" w:rsidP="00DA3A19">
      <w:pPr>
        <w:spacing w:after="0" w:line="360" w:lineRule="auto"/>
        <w:ind w:firstLine="737"/>
        <w:jc w:val="both"/>
        <w:rPr>
          <w:rFonts w:ascii="Times New Roman" w:hAnsi="Times New Roman"/>
          <w:b/>
          <w:sz w:val="28"/>
          <w:szCs w:val="28"/>
        </w:rPr>
      </w:pPr>
      <w:r>
        <w:rPr>
          <w:rFonts w:ascii="Times New Roman" w:hAnsi="Times New Roman"/>
          <w:sz w:val="28"/>
          <w:szCs w:val="28"/>
        </w:rPr>
        <w:br w:type="page"/>
      </w:r>
      <w:bookmarkStart w:id="8" w:name="_Toc215462360"/>
      <w:bookmarkStart w:id="9" w:name="_Toc215462492"/>
      <w:r w:rsidR="00FF41F2" w:rsidRPr="00DA3A19">
        <w:rPr>
          <w:rFonts w:ascii="Times New Roman" w:hAnsi="Times New Roman"/>
          <w:b/>
          <w:sz w:val="28"/>
          <w:szCs w:val="28"/>
        </w:rPr>
        <w:t>Заключение.</w:t>
      </w:r>
      <w:bookmarkEnd w:id="8"/>
      <w:bookmarkEnd w:id="9"/>
    </w:p>
    <w:p w:rsidR="00DA3A19" w:rsidRPr="00DA3A19" w:rsidRDefault="00DA3A19" w:rsidP="00DA3A19">
      <w:pPr>
        <w:spacing w:after="0" w:line="360" w:lineRule="auto"/>
        <w:ind w:firstLine="737"/>
        <w:jc w:val="both"/>
        <w:rPr>
          <w:rFonts w:ascii="Times New Roman" w:hAnsi="Times New Roman"/>
          <w:b/>
          <w:sz w:val="28"/>
          <w:szCs w:val="28"/>
        </w:rPr>
      </w:pPr>
    </w:p>
    <w:p w:rsidR="002525CC" w:rsidRPr="00DA3A19" w:rsidRDefault="00FF41F2" w:rsidP="00DA3A19">
      <w:pPr>
        <w:spacing w:after="0" w:line="360" w:lineRule="auto"/>
        <w:ind w:firstLine="737"/>
        <w:jc w:val="both"/>
        <w:rPr>
          <w:rFonts w:ascii="Times New Roman" w:hAnsi="Times New Roman"/>
          <w:sz w:val="28"/>
          <w:szCs w:val="28"/>
        </w:rPr>
      </w:pPr>
      <w:r w:rsidRPr="00DA3A19">
        <w:rPr>
          <w:rFonts w:ascii="Times New Roman" w:hAnsi="Times New Roman"/>
          <w:sz w:val="28"/>
          <w:szCs w:val="28"/>
        </w:rPr>
        <w:t>В заключении можно сделать следующие выводы:</w:t>
      </w:r>
    </w:p>
    <w:p w:rsidR="00FF41F2" w:rsidRPr="00DA3A19" w:rsidRDefault="00FF41F2" w:rsidP="00DA3A19">
      <w:pPr>
        <w:pStyle w:val="a3"/>
        <w:numPr>
          <w:ilvl w:val="0"/>
          <w:numId w:val="4"/>
        </w:numPr>
        <w:spacing w:after="0" w:line="360" w:lineRule="auto"/>
        <w:ind w:left="0" w:firstLine="737"/>
        <w:jc w:val="both"/>
        <w:rPr>
          <w:rFonts w:ascii="Times New Roman" w:hAnsi="Times New Roman"/>
          <w:sz w:val="28"/>
          <w:szCs w:val="28"/>
        </w:rPr>
      </w:pPr>
      <w:r w:rsidRPr="00DA3A19">
        <w:rPr>
          <w:rFonts w:ascii="Times New Roman" w:hAnsi="Times New Roman"/>
          <w:sz w:val="28"/>
          <w:szCs w:val="28"/>
        </w:rPr>
        <w:t>Платежный баланс представляет собой статистическую сводку, системно суммирующую экономические сделки страны с остальным миром за определенный период. При составлении платежного баланса страны за основу принимаются рекомендации МВФ, что дает возможность сопоставлять между странами основные показатели их внешнеэкономической деятельности. В платежный баланс заносятся все экономические сделки между резидентами и нерезидентами</w:t>
      </w:r>
      <w:r w:rsidR="00E37A19" w:rsidRPr="00DA3A19">
        <w:rPr>
          <w:rFonts w:ascii="Times New Roman" w:hAnsi="Times New Roman"/>
          <w:sz w:val="28"/>
          <w:szCs w:val="28"/>
        </w:rPr>
        <w:t>.</w:t>
      </w:r>
    </w:p>
    <w:p w:rsidR="00E37A19" w:rsidRPr="00DA3A19" w:rsidRDefault="00E37A19" w:rsidP="00DA3A19">
      <w:pPr>
        <w:pStyle w:val="a3"/>
        <w:numPr>
          <w:ilvl w:val="0"/>
          <w:numId w:val="4"/>
        </w:numPr>
        <w:spacing w:after="0" w:line="360" w:lineRule="auto"/>
        <w:ind w:left="0" w:firstLine="737"/>
        <w:jc w:val="both"/>
        <w:rPr>
          <w:rFonts w:ascii="Times New Roman" w:hAnsi="Times New Roman"/>
          <w:sz w:val="28"/>
          <w:szCs w:val="28"/>
        </w:rPr>
      </w:pPr>
      <w:r w:rsidRPr="00DA3A19">
        <w:rPr>
          <w:rFonts w:ascii="Times New Roman" w:hAnsi="Times New Roman"/>
          <w:sz w:val="28"/>
          <w:szCs w:val="28"/>
        </w:rPr>
        <w:t>На платежный баланс оказывает сильное влияние международная обстановка.</w:t>
      </w:r>
    </w:p>
    <w:p w:rsidR="008B0DD1" w:rsidRPr="00DA3A19" w:rsidRDefault="00E37A19" w:rsidP="00DA3A19">
      <w:pPr>
        <w:pStyle w:val="a3"/>
        <w:numPr>
          <w:ilvl w:val="0"/>
          <w:numId w:val="4"/>
        </w:numPr>
        <w:spacing w:after="0" w:line="360" w:lineRule="auto"/>
        <w:ind w:left="0" w:firstLine="737"/>
        <w:jc w:val="both"/>
        <w:rPr>
          <w:rFonts w:ascii="Times New Roman" w:hAnsi="Times New Roman"/>
          <w:sz w:val="28"/>
          <w:szCs w:val="28"/>
        </w:rPr>
      </w:pPr>
      <w:r w:rsidRPr="00DA3A19">
        <w:rPr>
          <w:rFonts w:ascii="Times New Roman" w:hAnsi="Times New Roman"/>
          <w:sz w:val="28"/>
          <w:szCs w:val="28"/>
        </w:rPr>
        <w:t>Одной из основных задач макроэкономической политики является избежание значительных отклонений от равновесного состояния</w:t>
      </w:r>
      <w:r w:rsidR="00057BD6" w:rsidRPr="00DA3A19">
        <w:rPr>
          <w:rFonts w:ascii="Times New Roman" w:hAnsi="Times New Roman"/>
          <w:sz w:val="28"/>
          <w:szCs w:val="28"/>
        </w:rPr>
        <w:t xml:space="preserve"> платежного баланса, что называют иногда поддержанием внешнего равновесия. Обычно правительство больше беспокоит отрицательное число по счету текущих операций. Чтобы уменьшить или вообще устранить отрицательную величину баланса текущих операций, правительства применяют экономические и административные меры, нацеленные на изменение курса национальной денежной единицы, повышение конкурентоспособности местных билетов. </w:t>
      </w:r>
    </w:p>
    <w:p w:rsidR="002525CC" w:rsidRDefault="00DA3A19" w:rsidP="00DA3A19">
      <w:pPr>
        <w:pStyle w:val="1"/>
        <w:spacing w:before="0" w:line="360" w:lineRule="auto"/>
        <w:ind w:firstLine="1418"/>
        <w:jc w:val="both"/>
        <w:rPr>
          <w:rFonts w:ascii="Times New Roman" w:hAnsi="Times New Roman"/>
          <w:color w:val="auto"/>
        </w:rPr>
      </w:pPr>
      <w:bookmarkStart w:id="10" w:name="_Toc215462361"/>
      <w:bookmarkStart w:id="11" w:name="_Toc215462493"/>
      <w:r>
        <w:rPr>
          <w:rFonts w:ascii="Times New Roman" w:hAnsi="Times New Roman"/>
          <w:color w:val="auto"/>
        </w:rPr>
        <w:br w:type="page"/>
      </w:r>
      <w:r w:rsidR="002525CC" w:rsidRPr="00DA3A19">
        <w:rPr>
          <w:rFonts w:ascii="Times New Roman" w:hAnsi="Times New Roman"/>
          <w:color w:val="auto"/>
        </w:rPr>
        <w:t>Список литературы</w:t>
      </w:r>
      <w:bookmarkEnd w:id="10"/>
      <w:bookmarkEnd w:id="11"/>
    </w:p>
    <w:p w:rsidR="00DA3A19" w:rsidRPr="00DA3A19" w:rsidRDefault="00DA3A19" w:rsidP="00DA3A19"/>
    <w:p w:rsidR="002525CC" w:rsidRPr="00DA3A19" w:rsidRDefault="008B0DD1" w:rsidP="00DA3A19">
      <w:pPr>
        <w:pStyle w:val="a3"/>
        <w:numPr>
          <w:ilvl w:val="0"/>
          <w:numId w:val="1"/>
        </w:numPr>
        <w:spacing w:after="0" w:line="360" w:lineRule="auto"/>
        <w:ind w:left="1418" w:hanging="681"/>
        <w:jc w:val="both"/>
        <w:rPr>
          <w:rFonts w:ascii="Times New Roman" w:hAnsi="Times New Roman"/>
          <w:sz w:val="28"/>
          <w:szCs w:val="28"/>
        </w:rPr>
      </w:pPr>
      <w:r w:rsidRPr="00DA3A19">
        <w:rPr>
          <w:rFonts w:ascii="Times New Roman" w:hAnsi="Times New Roman"/>
          <w:sz w:val="28"/>
          <w:szCs w:val="28"/>
        </w:rPr>
        <w:t xml:space="preserve">Федеральный закон </w:t>
      </w:r>
      <w:r w:rsidR="002525CC" w:rsidRPr="00DA3A19">
        <w:rPr>
          <w:rFonts w:ascii="Times New Roman" w:hAnsi="Times New Roman"/>
          <w:sz w:val="28"/>
          <w:szCs w:val="28"/>
        </w:rPr>
        <w:t xml:space="preserve">"О </w:t>
      </w:r>
      <w:r w:rsidRPr="00DA3A19">
        <w:rPr>
          <w:rFonts w:ascii="Times New Roman" w:hAnsi="Times New Roman"/>
          <w:sz w:val="28"/>
          <w:szCs w:val="28"/>
        </w:rPr>
        <w:t>Валютном регулировании и валютном контроле</w:t>
      </w:r>
      <w:r w:rsidR="002525CC" w:rsidRPr="00DA3A19">
        <w:rPr>
          <w:rFonts w:ascii="Times New Roman" w:hAnsi="Times New Roman"/>
          <w:sz w:val="28"/>
          <w:szCs w:val="28"/>
        </w:rPr>
        <w:t>"</w:t>
      </w:r>
      <w:r w:rsidRPr="00DA3A19">
        <w:rPr>
          <w:rFonts w:ascii="Times New Roman" w:hAnsi="Times New Roman"/>
          <w:sz w:val="28"/>
          <w:szCs w:val="28"/>
        </w:rPr>
        <w:t xml:space="preserve"> </w:t>
      </w:r>
      <w:r w:rsidR="002525CC" w:rsidRPr="00DA3A19">
        <w:rPr>
          <w:rFonts w:ascii="Times New Roman" w:hAnsi="Times New Roman"/>
          <w:sz w:val="28"/>
          <w:szCs w:val="28"/>
        </w:rPr>
        <w:t xml:space="preserve">от </w:t>
      </w:r>
      <w:r w:rsidR="00A45D85" w:rsidRPr="00DA3A19">
        <w:rPr>
          <w:rFonts w:ascii="Times New Roman" w:hAnsi="Times New Roman"/>
          <w:sz w:val="28"/>
          <w:szCs w:val="28"/>
        </w:rPr>
        <w:t>10</w:t>
      </w:r>
      <w:r w:rsidR="002525CC" w:rsidRPr="00DA3A19">
        <w:rPr>
          <w:rFonts w:ascii="Times New Roman" w:hAnsi="Times New Roman"/>
          <w:sz w:val="28"/>
          <w:szCs w:val="28"/>
        </w:rPr>
        <w:t>.</w:t>
      </w:r>
      <w:r w:rsidR="00A45D85" w:rsidRPr="00DA3A19">
        <w:rPr>
          <w:rFonts w:ascii="Times New Roman" w:hAnsi="Times New Roman"/>
          <w:sz w:val="28"/>
          <w:szCs w:val="28"/>
        </w:rPr>
        <w:t>12</w:t>
      </w:r>
      <w:r w:rsidR="002525CC" w:rsidRPr="00DA3A19">
        <w:rPr>
          <w:rFonts w:ascii="Times New Roman" w:hAnsi="Times New Roman"/>
          <w:sz w:val="28"/>
          <w:szCs w:val="28"/>
        </w:rPr>
        <w:t>.200</w:t>
      </w:r>
      <w:r w:rsidR="00A45D85" w:rsidRPr="00DA3A19">
        <w:rPr>
          <w:rFonts w:ascii="Times New Roman" w:hAnsi="Times New Roman"/>
          <w:sz w:val="28"/>
          <w:szCs w:val="28"/>
        </w:rPr>
        <w:t>3</w:t>
      </w:r>
      <w:r w:rsidR="002525CC" w:rsidRPr="00DA3A19">
        <w:rPr>
          <w:rFonts w:ascii="Times New Roman" w:hAnsi="Times New Roman"/>
          <w:sz w:val="28"/>
          <w:szCs w:val="28"/>
        </w:rPr>
        <w:t xml:space="preserve"> N 1</w:t>
      </w:r>
      <w:r w:rsidR="00A45D85" w:rsidRPr="00DA3A19">
        <w:rPr>
          <w:rFonts w:ascii="Times New Roman" w:hAnsi="Times New Roman"/>
          <w:sz w:val="28"/>
          <w:szCs w:val="28"/>
        </w:rPr>
        <w:t>73</w:t>
      </w:r>
      <w:r w:rsidR="002525CC" w:rsidRPr="00DA3A19">
        <w:rPr>
          <w:rFonts w:ascii="Times New Roman" w:hAnsi="Times New Roman"/>
          <w:sz w:val="28"/>
          <w:szCs w:val="28"/>
        </w:rPr>
        <w:t>-ФЗ</w:t>
      </w:r>
    </w:p>
    <w:p w:rsidR="00652A95" w:rsidRPr="00DA3A19" w:rsidRDefault="00652A95" w:rsidP="00DA3A19">
      <w:pPr>
        <w:pStyle w:val="a3"/>
        <w:numPr>
          <w:ilvl w:val="0"/>
          <w:numId w:val="1"/>
        </w:numPr>
        <w:spacing w:after="0" w:line="360" w:lineRule="auto"/>
        <w:ind w:left="1418" w:hanging="681"/>
        <w:jc w:val="both"/>
        <w:rPr>
          <w:rFonts w:ascii="Times New Roman" w:hAnsi="Times New Roman"/>
          <w:sz w:val="28"/>
          <w:szCs w:val="28"/>
        </w:rPr>
      </w:pPr>
      <w:r w:rsidRPr="00DA3A19">
        <w:rPr>
          <w:rFonts w:ascii="Times New Roman" w:hAnsi="Times New Roman"/>
          <w:sz w:val="28"/>
          <w:szCs w:val="28"/>
        </w:rPr>
        <w:t>Международная экономика.</w:t>
      </w:r>
      <w:r w:rsidR="00F06D56">
        <w:rPr>
          <w:rFonts w:ascii="Times New Roman" w:hAnsi="Times New Roman"/>
          <w:sz w:val="28"/>
          <w:szCs w:val="28"/>
        </w:rPr>
        <w:t xml:space="preserve"> </w:t>
      </w:r>
      <w:r w:rsidRPr="00DA3A19">
        <w:rPr>
          <w:rFonts w:ascii="Times New Roman" w:hAnsi="Times New Roman"/>
          <w:sz w:val="28"/>
          <w:szCs w:val="28"/>
        </w:rPr>
        <w:t xml:space="preserve">Колесов В.П., Кулаков М.В. </w:t>
      </w:r>
      <w:r w:rsidR="003843E5" w:rsidRPr="00DA3A19">
        <w:rPr>
          <w:rFonts w:ascii="Times New Roman" w:hAnsi="Times New Roman"/>
          <w:sz w:val="28"/>
          <w:szCs w:val="28"/>
        </w:rPr>
        <w:t>М.: ИНФРА-М, 2005</w:t>
      </w:r>
      <w:r w:rsidRPr="00DA3A19">
        <w:rPr>
          <w:rFonts w:ascii="Times New Roman" w:hAnsi="Times New Roman"/>
          <w:sz w:val="28"/>
          <w:szCs w:val="28"/>
        </w:rPr>
        <w:t>. — 474 с.</w:t>
      </w:r>
      <w:r w:rsidR="008C135E" w:rsidRPr="00DA3A19">
        <w:rPr>
          <w:rFonts w:ascii="Times New Roman" w:hAnsi="Times New Roman"/>
          <w:sz w:val="28"/>
          <w:szCs w:val="28"/>
        </w:rPr>
        <w:t xml:space="preserve"> </w:t>
      </w:r>
    </w:p>
    <w:p w:rsidR="003843E5" w:rsidRPr="00DA3A19" w:rsidRDefault="003843E5" w:rsidP="00DA3A19">
      <w:pPr>
        <w:pStyle w:val="a3"/>
        <w:numPr>
          <w:ilvl w:val="0"/>
          <w:numId w:val="1"/>
        </w:numPr>
        <w:spacing w:after="0" w:line="360" w:lineRule="auto"/>
        <w:ind w:left="1418" w:hanging="681"/>
        <w:jc w:val="both"/>
        <w:rPr>
          <w:rFonts w:ascii="Times New Roman" w:hAnsi="Times New Roman"/>
          <w:sz w:val="28"/>
          <w:szCs w:val="28"/>
        </w:rPr>
      </w:pPr>
      <w:r w:rsidRPr="00DA3A19">
        <w:rPr>
          <w:rFonts w:ascii="Times New Roman" w:hAnsi="Times New Roman"/>
          <w:sz w:val="28"/>
          <w:szCs w:val="28"/>
        </w:rPr>
        <w:t xml:space="preserve">Козырев В.М. Основы современной экономики: Учебник. - М.: Финансы и статистика, 2006. </w:t>
      </w:r>
    </w:p>
    <w:p w:rsidR="003843E5" w:rsidRPr="00DA3A19" w:rsidRDefault="003843E5" w:rsidP="00DA3A19">
      <w:pPr>
        <w:pStyle w:val="a3"/>
        <w:numPr>
          <w:ilvl w:val="0"/>
          <w:numId w:val="1"/>
        </w:numPr>
        <w:spacing w:after="0" w:line="360" w:lineRule="auto"/>
        <w:ind w:left="1418" w:hanging="681"/>
        <w:jc w:val="both"/>
        <w:rPr>
          <w:rFonts w:ascii="Times New Roman" w:hAnsi="Times New Roman"/>
          <w:sz w:val="28"/>
          <w:szCs w:val="28"/>
        </w:rPr>
      </w:pPr>
      <w:r w:rsidRPr="00DA3A19">
        <w:rPr>
          <w:rFonts w:ascii="Times New Roman" w:hAnsi="Times New Roman"/>
          <w:sz w:val="28"/>
          <w:szCs w:val="28"/>
        </w:rPr>
        <w:t>Сальваторе Д. Международная экономика. - М.: 2007.</w:t>
      </w:r>
      <w:bookmarkStart w:id="12" w:name="_GoBack"/>
      <w:bookmarkEnd w:id="12"/>
    </w:p>
    <w:sectPr w:rsidR="003843E5" w:rsidRPr="00DA3A19" w:rsidSect="00DA3A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D2219"/>
    <w:multiLevelType w:val="hybridMultilevel"/>
    <w:tmpl w:val="CEA4DD9A"/>
    <w:lvl w:ilvl="0" w:tplc="5F5E2E4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156649C"/>
    <w:multiLevelType w:val="hybridMultilevel"/>
    <w:tmpl w:val="38962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E3522F"/>
    <w:multiLevelType w:val="hybridMultilevel"/>
    <w:tmpl w:val="759E99A0"/>
    <w:lvl w:ilvl="0" w:tplc="197E4DD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47FE158E"/>
    <w:multiLevelType w:val="hybridMultilevel"/>
    <w:tmpl w:val="6728034E"/>
    <w:lvl w:ilvl="0" w:tplc="96FA8D48">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7B2"/>
    <w:rsid w:val="00057BD6"/>
    <w:rsid w:val="00076650"/>
    <w:rsid w:val="000F6FE8"/>
    <w:rsid w:val="002525CC"/>
    <w:rsid w:val="003843E5"/>
    <w:rsid w:val="003D0CC9"/>
    <w:rsid w:val="004E07B2"/>
    <w:rsid w:val="005B55C3"/>
    <w:rsid w:val="006009D0"/>
    <w:rsid w:val="00652A95"/>
    <w:rsid w:val="007A1C55"/>
    <w:rsid w:val="008B0DD1"/>
    <w:rsid w:val="008C135E"/>
    <w:rsid w:val="00922BDD"/>
    <w:rsid w:val="00962AE2"/>
    <w:rsid w:val="00A1703B"/>
    <w:rsid w:val="00A17DE1"/>
    <w:rsid w:val="00A45D85"/>
    <w:rsid w:val="00C01648"/>
    <w:rsid w:val="00C810EC"/>
    <w:rsid w:val="00DA3A19"/>
    <w:rsid w:val="00E37A19"/>
    <w:rsid w:val="00EB7632"/>
    <w:rsid w:val="00F06D56"/>
    <w:rsid w:val="00FF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17C87F-F21D-4550-94B1-E94D9BD7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632"/>
    <w:pPr>
      <w:spacing w:after="200" w:line="276" w:lineRule="auto"/>
    </w:pPr>
    <w:rPr>
      <w:sz w:val="22"/>
      <w:szCs w:val="22"/>
      <w:lang w:eastAsia="en-US"/>
    </w:rPr>
  </w:style>
  <w:style w:type="paragraph" w:styleId="1">
    <w:name w:val="heading 1"/>
    <w:basedOn w:val="a"/>
    <w:next w:val="a"/>
    <w:link w:val="10"/>
    <w:uiPriority w:val="9"/>
    <w:qFormat/>
    <w:rsid w:val="004E07B2"/>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E07B2"/>
    <w:rPr>
      <w:rFonts w:ascii="Cambria" w:hAnsi="Cambria" w:cs="Times New Roman"/>
      <w:b/>
      <w:bCs/>
      <w:color w:val="365F91"/>
      <w:sz w:val="28"/>
      <w:szCs w:val="28"/>
    </w:rPr>
  </w:style>
  <w:style w:type="paragraph" w:styleId="a3">
    <w:name w:val="List Paragraph"/>
    <w:basedOn w:val="a"/>
    <w:uiPriority w:val="34"/>
    <w:qFormat/>
    <w:rsid w:val="002525CC"/>
    <w:pPr>
      <w:ind w:left="720"/>
      <w:contextualSpacing/>
    </w:pPr>
  </w:style>
  <w:style w:type="paragraph" w:styleId="11">
    <w:name w:val="toc 1"/>
    <w:basedOn w:val="a"/>
    <w:next w:val="a"/>
    <w:autoRedefine/>
    <w:uiPriority w:val="39"/>
    <w:unhideWhenUsed/>
    <w:rsid w:val="00962AE2"/>
    <w:pPr>
      <w:tabs>
        <w:tab w:val="right" w:leader="dot" w:pos="9345"/>
      </w:tabs>
      <w:spacing w:after="100" w:line="360" w:lineRule="auto"/>
      <w:jc w:val="center"/>
    </w:pPr>
    <w:rPr>
      <w:rFonts w:ascii="Times New Roman" w:hAnsi="Times New Roman"/>
      <w:b/>
      <w:sz w:val="28"/>
      <w:szCs w:val="28"/>
    </w:rPr>
  </w:style>
  <w:style w:type="paragraph" w:styleId="a4">
    <w:name w:val="TOC Heading"/>
    <w:basedOn w:val="1"/>
    <w:next w:val="a"/>
    <w:uiPriority w:val="39"/>
    <w:unhideWhenUsed/>
    <w:qFormat/>
    <w:rsid w:val="00962AE2"/>
    <w:pPr>
      <w:outlineLvl w:val="9"/>
    </w:pPr>
  </w:style>
  <w:style w:type="character" w:styleId="a5">
    <w:name w:val="Hyperlink"/>
    <w:uiPriority w:val="99"/>
    <w:unhideWhenUsed/>
    <w:rsid w:val="00962AE2"/>
    <w:rPr>
      <w:rFonts w:cs="Times New Roman"/>
      <w:color w:val="0000FF"/>
      <w:u w:val="single"/>
    </w:rPr>
  </w:style>
  <w:style w:type="paragraph" w:styleId="a6">
    <w:name w:val="Balloon Text"/>
    <w:basedOn w:val="a"/>
    <w:link w:val="a7"/>
    <w:uiPriority w:val="99"/>
    <w:semiHidden/>
    <w:unhideWhenUsed/>
    <w:rsid w:val="00962AE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62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53F8-220B-4D55-99EF-A9A008F0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3122</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Котофейка</dc:creator>
  <cp:keywords/>
  <dc:description/>
  <cp:lastModifiedBy>admin</cp:lastModifiedBy>
  <cp:revision>2</cp:revision>
  <dcterms:created xsi:type="dcterms:W3CDTF">2014-02-28T04:31:00Z</dcterms:created>
  <dcterms:modified xsi:type="dcterms:W3CDTF">2014-02-28T04:31:00Z</dcterms:modified>
</cp:coreProperties>
</file>