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E2" w:rsidRDefault="009459E2" w:rsidP="00E172E2">
      <w:pPr>
        <w:spacing w:line="360" w:lineRule="auto"/>
        <w:ind w:firstLine="709"/>
        <w:jc w:val="center"/>
        <w:rPr>
          <w:color w:val="000000"/>
          <w:sz w:val="28"/>
          <w:szCs w:val="28"/>
        </w:rPr>
      </w:pPr>
      <w:r w:rsidRPr="00E172E2">
        <w:rPr>
          <w:color w:val="000000"/>
          <w:sz w:val="28"/>
          <w:szCs w:val="28"/>
        </w:rPr>
        <w:t>Кафедра бухгалтерского учета и аудита</w:t>
      </w: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Default="009459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Pr="00E172E2" w:rsidRDefault="00E172E2" w:rsidP="00E172E2">
      <w:pPr>
        <w:spacing w:line="360" w:lineRule="auto"/>
        <w:ind w:firstLine="709"/>
        <w:jc w:val="center"/>
        <w:rPr>
          <w:color w:val="000000"/>
          <w:sz w:val="28"/>
          <w:szCs w:val="28"/>
          <w:lang w:val="en-US"/>
        </w:rPr>
      </w:pPr>
    </w:p>
    <w:p w:rsidR="009459E2" w:rsidRPr="00E172E2" w:rsidRDefault="009459E2" w:rsidP="00E172E2">
      <w:pPr>
        <w:spacing w:line="360" w:lineRule="auto"/>
        <w:ind w:firstLine="709"/>
        <w:jc w:val="center"/>
        <w:rPr>
          <w:color w:val="000000"/>
          <w:sz w:val="28"/>
          <w:szCs w:val="28"/>
        </w:rPr>
      </w:pPr>
      <w:r w:rsidRPr="00E172E2">
        <w:rPr>
          <w:color w:val="000000"/>
          <w:sz w:val="28"/>
          <w:szCs w:val="28"/>
        </w:rPr>
        <w:t>Контрольная работа №1</w:t>
      </w: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r w:rsidRPr="00E172E2">
        <w:rPr>
          <w:color w:val="000000"/>
          <w:sz w:val="28"/>
          <w:szCs w:val="28"/>
        </w:rPr>
        <w:t>по Законодательству в области бухгалтерского учета, финансов и ценных бумаг</w:t>
      </w:r>
    </w:p>
    <w:p w:rsidR="009459E2" w:rsidRPr="00E172E2" w:rsidRDefault="009459E2" w:rsidP="00E172E2">
      <w:pPr>
        <w:spacing w:line="360" w:lineRule="auto"/>
        <w:ind w:firstLine="709"/>
        <w:jc w:val="center"/>
        <w:rPr>
          <w:color w:val="000000"/>
          <w:sz w:val="28"/>
          <w:szCs w:val="28"/>
        </w:rPr>
      </w:pPr>
    </w:p>
    <w:p w:rsidR="00327851" w:rsidRPr="00E172E2" w:rsidRDefault="00327851" w:rsidP="00E172E2">
      <w:pPr>
        <w:widowControl w:val="0"/>
        <w:autoSpaceDE w:val="0"/>
        <w:autoSpaceDN w:val="0"/>
        <w:adjustRightInd w:val="0"/>
        <w:spacing w:line="360" w:lineRule="auto"/>
        <w:ind w:firstLine="709"/>
        <w:jc w:val="center"/>
        <w:rPr>
          <w:color w:val="000000"/>
          <w:sz w:val="28"/>
          <w:szCs w:val="28"/>
        </w:rPr>
      </w:pPr>
      <w:r w:rsidRPr="00E172E2">
        <w:rPr>
          <w:color w:val="000000"/>
          <w:sz w:val="28"/>
          <w:szCs w:val="28"/>
        </w:rPr>
        <w:t>на тему «Правила отражения в бухгалтерском учете событий после отчетной даты»</w:t>
      </w:r>
    </w:p>
    <w:p w:rsidR="009459E2" w:rsidRDefault="009459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Default="00E172E2" w:rsidP="00E172E2">
      <w:pPr>
        <w:spacing w:line="360" w:lineRule="auto"/>
        <w:ind w:firstLine="709"/>
        <w:jc w:val="center"/>
        <w:rPr>
          <w:color w:val="000000"/>
          <w:sz w:val="28"/>
          <w:szCs w:val="28"/>
          <w:lang w:val="en-US"/>
        </w:rPr>
      </w:pPr>
    </w:p>
    <w:p w:rsidR="00E172E2" w:rsidRPr="00E172E2" w:rsidRDefault="00E172E2" w:rsidP="00E172E2">
      <w:pPr>
        <w:spacing w:line="360" w:lineRule="auto"/>
        <w:ind w:firstLine="709"/>
        <w:jc w:val="center"/>
        <w:rPr>
          <w:color w:val="000000"/>
          <w:sz w:val="28"/>
          <w:szCs w:val="28"/>
          <w:lang w:val="en-US"/>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p>
    <w:p w:rsidR="009459E2" w:rsidRPr="00E172E2" w:rsidRDefault="009459E2" w:rsidP="00E172E2">
      <w:pPr>
        <w:spacing w:line="360" w:lineRule="auto"/>
        <w:ind w:firstLine="709"/>
        <w:jc w:val="center"/>
        <w:rPr>
          <w:color w:val="000000"/>
          <w:sz w:val="28"/>
          <w:szCs w:val="28"/>
        </w:rPr>
      </w:pPr>
      <w:r w:rsidRPr="00E172E2">
        <w:rPr>
          <w:color w:val="000000"/>
          <w:sz w:val="28"/>
          <w:szCs w:val="28"/>
        </w:rPr>
        <w:t>2010</w:t>
      </w:r>
    </w:p>
    <w:p w:rsidR="000C4DF5" w:rsidRPr="00E172E2" w:rsidRDefault="00E172E2" w:rsidP="00E172E2">
      <w:pPr>
        <w:spacing w:line="360" w:lineRule="auto"/>
        <w:ind w:firstLine="709"/>
        <w:jc w:val="both"/>
        <w:rPr>
          <w:b/>
          <w:bCs/>
          <w:color w:val="000000"/>
          <w:sz w:val="28"/>
          <w:szCs w:val="28"/>
          <w:lang w:val="en-US"/>
        </w:rPr>
      </w:pPr>
      <w:r>
        <w:rPr>
          <w:color w:val="000000"/>
          <w:sz w:val="28"/>
          <w:szCs w:val="28"/>
        </w:rPr>
        <w:br w:type="page"/>
      </w:r>
      <w:r w:rsidRPr="00E172E2">
        <w:rPr>
          <w:b/>
          <w:bCs/>
          <w:color w:val="000000"/>
          <w:sz w:val="28"/>
          <w:szCs w:val="28"/>
        </w:rPr>
        <w:t>Содержание</w:t>
      </w:r>
    </w:p>
    <w:p w:rsidR="00E172E2" w:rsidRDefault="00E172E2" w:rsidP="00E172E2">
      <w:pPr>
        <w:spacing w:line="360" w:lineRule="auto"/>
        <w:ind w:firstLine="709"/>
        <w:jc w:val="both"/>
        <w:rPr>
          <w:color w:val="000000"/>
          <w:sz w:val="28"/>
          <w:szCs w:val="28"/>
          <w:lang w:val="en-US"/>
        </w:rPr>
      </w:pPr>
    </w:p>
    <w:p w:rsidR="00E172E2" w:rsidRPr="00E172E2" w:rsidRDefault="00E172E2" w:rsidP="00E172E2">
      <w:pPr>
        <w:spacing w:line="360" w:lineRule="auto"/>
        <w:rPr>
          <w:color w:val="000000"/>
          <w:sz w:val="28"/>
          <w:szCs w:val="28"/>
        </w:rPr>
      </w:pPr>
      <w:r w:rsidRPr="00E172E2">
        <w:rPr>
          <w:color w:val="000000"/>
          <w:sz w:val="28"/>
          <w:szCs w:val="28"/>
        </w:rPr>
        <w:t>1. Понятие и классификация событий после отчетной даты</w:t>
      </w:r>
    </w:p>
    <w:p w:rsidR="00E172E2" w:rsidRPr="00E172E2" w:rsidRDefault="00E172E2" w:rsidP="00E172E2">
      <w:pPr>
        <w:spacing w:line="360" w:lineRule="auto"/>
        <w:rPr>
          <w:color w:val="000000"/>
          <w:sz w:val="28"/>
          <w:szCs w:val="28"/>
        </w:rPr>
      </w:pPr>
      <w:r w:rsidRPr="00E172E2">
        <w:rPr>
          <w:color w:val="000000"/>
          <w:sz w:val="28"/>
          <w:szCs w:val="28"/>
        </w:rPr>
        <w:t>2. Примеры отражения событий после отчетной даты и их последствий</w:t>
      </w:r>
    </w:p>
    <w:p w:rsidR="00E172E2" w:rsidRDefault="00E172E2" w:rsidP="00E172E2">
      <w:pPr>
        <w:spacing w:line="360" w:lineRule="auto"/>
        <w:rPr>
          <w:color w:val="000000"/>
          <w:sz w:val="28"/>
          <w:szCs w:val="28"/>
          <w:lang w:val="en-US"/>
        </w:rPr>
      </w:pPr>
      <w:r w:rsidRPr="00E172E2">
        <w:rPr>
          <w:color w:val="000000"/>
          <w:sz w:val="28"/>
          <w:szCs w:val="28"/>
        </w:rPr>
        <w:t>Список использованной литературы</w:t>
      </w:r>
    </w:p>
    <w:p w:rsidR="009459E2" w:rsidRPr="00E172E2" w:rsidRDefault="009459E2" w:rsidP="00E172E2">
      <w:pPr>
        <w:spacing w:line="360" w:lineRule="auto"/>
        <w:ind w:firstLine="709"/>
        <w:jc w:val="both"/>
        <w:rPr>
          <w:color w:val="000000"/>
          <w:sz w:val="28"/>
          <w:szCs w:val="28"/>
        </w:rPr>
      </w:pPr>
    </w:p>
    <w:p w:rsidR="0048212B" w:rsidRPr="00E172E2" w:rsidRDefault="00E172E2" w:rsidP="00E172E2">
      <w:pPr>
        <w:shd w:val="clear" w:color="auto" w:fill="FFFFFF"/>
        <w:spacing w:line="360" w:lineRule="auto"/>
        <w:ind w:firstLine="709"/>
        <w:jc w:val="both"/>
        <w:rPr>
          <w:b/>
          <w:bCs/>
          <w:color w:val="000000"/>
          <w:sz w:val="28"/>
          <w:szCs w:val="28"/>
        </w:rPr>
      </w:pPr>
      <w:r>
        <w:rPr>
          <w:color w:val="000000"/>
          <w:sz w:val="28"/>
          <w:szCs w:val="28"/>
        </w:rPr>
        <w:br w:type="page"/>
      </w:r>
      <w:r w:rsidR="0048212B" w:rsidRPr="00E172E2">
        <w:rPr>
          <w:b/>
          <w:bCs/>
          <w:color w:val="000000"/>
          <w:sz w:val="28"/>
          <w:szCs w:val="28"/>
        </w:rPr>
        <w:t>1. Понятие и классификация событий после отчетной даты</w:t>
      </w:r>
    </w:p>
    <w:p w:rsidR="00E172E2" w:rsidRDefault="00E172E2" w:rsidP="00E172E2">
      <w:pPr>
        <w:shd w:val="clear" w:color="auto" w:fill="FFFFFF"/>
        <w:spacing w:line="360" w:lineRule="auto"/>
        <w:ind w:firstLine="709"/>
        <w:jc w:val="both"/>
        <w:rPr>
          <w:color w:val="000000"/>
          <w:sz w:val="28"/>
          <w:szCs w:val="28"/>
          <w:lang w:val="en-US"/>
        </w:rPr>
      </w:pP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Включению в бухгалтерскую отчетность подлежат не только события, произошедшие до отчетной даты, но и более поздние факты, Требования к отражению такой информации в бухгалтерском учете и отчетности установлены Положением по бухгалтерскому учету «События после отчетной даты» ПБУ 7/98 (утвержденным приказом Минфина России от 25 ноября 1998 г. №</w:t>
      </w:r>
      <w:r w:rsidR="0048212B" w:rsidRPr="00E172E2">
        <w:rPr>
          <w:color w:val="000000"/>
          <w:sz w:val="28"/>
          <w:szCs w:val="28"/>
        </w:rPr>
        <w:t xml:space="preserve"> </w:t>
      </w:r>
      <w:r w:rsidRPr="00E172E2">
        <w:rPr>
          <w:color w:val="000000"/>
          <w:sz w:val="28"/>
          <w:szCs w:val="28"/>
        </w:rPr>
        <w:t>56н, в ред. на 20 декабря 2007 г,),</w:t>
      </w:r>
    </w:p>
    <w:p w:rsidR="00591F98" w:rsidRPr="00E172E2" w:rsidRDefault="00591F98" w:rsidP="00E172E2">
      <w:pPr>
        <w:shd w:val="clear" w:color="auto" w:fill="FFFFFF"/>
        <w:tabs>
          <w:tab w:val="left" w:pos="6173"/>
        </w:tabs>
        <w:spacing w:line="360" w:lineRule="auto"/>
        <w:ind w:firstLine="709"/>
        <w:jc w:val="both"/>
        <w:rPr>
          <w:color w:val="000000"/>
          <w:sz w:val="28"/>
          <w:szCs w:val="28"/>
        </w:rPr>
      </w:pPr>
      <w:r w:rsidRPr="00E172E2">
        <w:rPr>
          <w:color w:val="000000"/>
          <w:sz w:val="28"/>
          <w:szCs w:val="28"/>
        </w:rPr>
        <w:t>Событием после отчетной даты признается факт хозяйственной</w:t>
      </w:r>
      <w:r w:rsidR="00E172E2" w:rsidRPr="00E172E2">
        <w:rPr>
          <w:color w:val="000000"/>
          <w:sz w:val="28"/>
          <w:szCs w:val="28"/>
        </w:rPr>
        <w:t xml:space="preserve"> </w:t>
      </w:r>
      <w:r w:rsidRPr="00E172E2">
        <w:rPr>
          <w:color w:val="000000"/>
          <w:sz w:val="28"/>
          <w:szCs w:val="28"/>
        </w:rPr>
        <w:t>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 При этом датой подписания бухгалтерской отчетности считается дата, указанная в бухгалтерской отчетности при подписании ее в установленном порядке. Событием после отчетной даты признается также объявление годовых дивидендов по результатам деятельности акционерного общества за отчетный год.</w:t>
      </w:r>
    </w:p>
    <w:p w:rsidR="00E172E2" w:rsidRDefault="00591F98" w:rsidP="00E172E2">
      <w:pPr>
        <w:shd w:val="clear" w:color="auto" w:fill="FFFFFF"/>
        <w:tabs>
          <w:tab w:val="left" w:pos="6216"/>
        </w:tabs>
        <w:spacing w:line="360" w:lineRule="auto"/>
        <w:ind w:firstLine="709"/>
        <w:jc w:val="both"/>
        <w:rPr>
          <w:color w:val="000000"/>
          <w:sz w:val="28"/>
          <w:szCs w:val="28"/>
        </w:rPr>
      </w:pPr>
      <w:r w:rsidRPr="00E172E2">
        <w:rPr>
          <w:color w:val="000000"/>
          <w:sz w:val="28"/>
          <w:szCs w:val="28"/>
        </w:rPr>
        <w:t>Для целей бухгалтерского учета события после отчетной даты под</w:t>
      </w:r>
      <w:r w:rsidR="00E172E2" w:rsidRPr="00E172E2">
        <w:rPr>
          <w:color w:val="000000"/>
          <w:sz w:val="28"/>
          <w:szCs w:val="28"/>
        </w:rPr>
        <w:t xml:space="preserve"> </w:t>
      </w:r>
      <w:r w:rsidRPr="00E172E2">
        <w:rPr>
          <w:color w:val="000000"/>
          <w:sz w:val="28"/>
          <w:szCs w:val="28"/>
        </w:rPr>
        <w:t>разделяются на две группы:</w:t>
      </w: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1) события, подтверждающие существовавшие на отчетную дату. хозяйственные условия, в которых орга</w:t>
      </w:r>
      <w:r w:rsidR="00E172E2">
        <w:rPr>
          <w:color w:val="000000"/>
          <w:sz w:val="28"/>
          <w:szCs w:val="28"/>
        </w:rPr>
        <w:t>низация вела свою деятельность;</w:t>
      </w:r>
    </w:p>
    <w:p w:rsidR="00591F98" w:rsidRPr="00E172E2" w:rsidRDefault="00591F98" w:rsidP="00E172E2">
      <w:pPr>
        <w:widowControl w:val="0"/>
        <w:numPr>
          <w:ilvl w:val="0"/>
          <w:numId w:val="14"/>
        </w:numPr>
        <w:shd w:val="clear" w:color="auto" w:fill="FFFFFF"/>
        <w:tabs>
          <w:tab w:val="left" w:pos="955"/>
        </w:tabs>
        <w:autoSpaceDE w:val="0"/>
        <w:autoSpaceDN w:val="0"/>
        <w:adjustRightInd w:val="0"/>
        <w:spacing w:line="360" w:lineRule="auto"/>
        <w:ind w:firstLine="709"/>
        <w:jc w:val="both"/>
        <w:rPr>
          <w:color w:val="000000"/>
          <w:sz w:val="28"/>
          <w:szCs w:val="28"/>
        </w:rPr>
      </w:pPr>
      <w:r w:rsidRPr="00E172E2">
        <w:rPr>
          <w:color w:val="000000"/>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591F98" w:rsidRPr="00E172E2" w:rsidRDefault="00591F98" w:rsidP="00E172E2">
      <w:pPr>
        <w:widowControl w:val="0"/>
        <w:numPr>
          <w:ilvl w:val="0"/>
          <w:numId w:val="14"/>
        </w:numPr>
        <w:shd w:val="clear" w:color="auto" w:fill="FFFFFF"/>
        <w:tabs>
          <w:tab w:val="left" w:pos="955"/>
        </w:tabs>
        <w:autoSpaceDE w:val="0"/>
        <w:autoSpaceDN w:val="0"/>
        <w:adjustRightInd w:val="0"/>
        <w:spacing w:line="360" w:lineRule="auto"/>
        <w:ind w:firstLine="709"/>
        <w:jc w:val="both"/>
        <w:rPr>
          <w:color w:val="000000"/>
          <w:sz w:val="28"/>
          <w:szCs w:val="28"/>
        </w:rPr>
      </w:pPr>
      <w:r w:rsidRPr="00E172E2">
        <w:rPr>
          <w:color w:val="000000"/>
          <w:sz w:val="28"/>
          <w:szCs w:val="28"/>
        </w:rPr>
        <w:t>произведенная после отчетной даты оценка активов, результаты которой свидетельствуют об устойчивом и существен; ном снижении их стоимости, определенной по состоянию на отчетную дату,</w:t>
      </w:r>
    </w:p>
    <w:p w:rsidR="00591F98" w:rsidRPr="00E172E2" w:rsidRDefault="00591F98" w:rsidP="00E172E2">
      <w:pPr>
        <w:widowControl w:val="0"/>
        <w:numPr>
          <w:ilvl w:val="0"/>
          <w:numId w:val="14"/>
        </w:numPr>
        <w:shd w:val="clear" w:color="auto" w:fill="FFFFFF"/>
        <w:tabs>
          <w:tab w:val="left" w:pos="955"/>
          <w:tab w:val="left" w:pos="4723"/>
          <w:tab w:val="left" w:pos="6288"/>
        </w:tabs>
        <w:autoSpaceDE w:val="0"/>
        <w:autoSpaceDN w:val="0"/>
        <w:adjustRightInd w:val="0"/>
        <w:spacing w:line="360" w:lineRule="auto"/>
        <w:ind w:firstLine="709"/>
        <w:jc w:val="both"/>
        <w:rPr>
          <w:color w:val="000000"/>
          <w:sz w:val="28"/>
          <w:szCs w:val="28"/>
        </w:rPr>
      </w:pPr>
      <w:r w:rsidRPr="00E172E2">
        <w:rPr>
          <w:color w:val="000000"/>
          <w:sz w:val="28"/>
          <w:szCs w:val="28"/>
        </w:rPr>
        <w:t>получение информации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подтверждающей устойчивое и существенное снижение стоимости долгосрочных финансовых вложений организации,</w:t>
      </w:r>
    </w:p>
    <w:p w:rsidR="00E172E2" w:rsidRDefault="00591F98" w:rsidP="00E172E2">
      <w:pPr>
        <w:widowControl w:val="0"/>
        <w:numPr>
          <w:ilvl w:val="0"/>
          <w:numId w:val="14"/>
        </w:numPr>
        <w:shd w:val="clear" w:color="auto" w:fill="FFFFFF"/>
        <w:tabs>
          <w:tab w:val="left" w:pos="955"/>
        </w:tabs>
        <w:autoSpaceDE w:val="0"/>
        <w:autoSpaceDN w:val="0"/>
        <w:adjustRightInd w:val="0"/>
        <w:spacing w:line="360" w:lineRule="auto"/>
        <w:ind w:firstLine="709"/>
        <w:jc w:val="both"/>
        <w:rPr>
          <w:color w:val="000000"/>
          <w:sz w:val="28"/>
          <w:szCs w:val="28"/>
        </w:rPr>
      </w:pPr>
      <w:r w:rsidRPr="00E172E2">
        <w:rPr>
          <w:color w:val="000000"/>
          <w:sz w:val="28"/>
          <w:szCs w:val="28"/>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591F98" w:rsidRPr="00E172E2" w:rsidRDefault="00591F98" w:rsidP="00E172E2">
      <w:pPr>
        <w:widowControl w:val="0"/>
        <w:numPr>
          <w:ilvl w:val="0"/>
          <w:numId w:val="14"/>
        </w:numPr>
        <w:shd w:val="clear" w:color="auto" w:fill="FFFFFF"/>
        <w:tabs>
          <w:tab w:val="left" w:pos="955"/>
        </w:tabs>
        <w:autoSpaceDE w:val="0"/>
        <w:autoSpaceDN w:val="0"/>
        <w:adjustRightInd w:val="0"/>
        <w:spacing w:line="360" w:lineRule="auto"/>
        <w:ind w:firstLine="709"/>
        <w:jc w:val="both"/>
        <w:rPr>
          <w:color w:val="000000"/>
          <w:sz w:val="28"/>
          <w:szCs w:val="28"/>
        </w:rPr>
      </w:pPr>
      <w:r w:rsidRPr="00E172E2">
        <w:rPr>
          <w:color w:val="000000"/>
          <w:sz w:val="28"/>
          <w:szCs w:val="28"/>
        </w:rPr>
        <w:t>объявление дивидендов дочерними и зависимыми обществами за периоды, предшествовавшие отчетной дате,</w:t>
      </w:r>
    </w:p>
    <w:p w:rsidR="00591F98" w:rsidRPr="00E172E2" w:rsidRDefault="00591F98" w:rsidP="00E172E2">
      <w:pPr>
        <w:shd w:val="clear" w:color="auto" w:fill="FFFFFF"/>
        <w:tabs>
          <w:tab w:val="left" w:pos="797"/>
        </w:tabs>
        <w:spacing w:line="360" w:lineRule="auto"/>
        <w:ind w:firstLine="709"/>
        <w:jc w:val="both"/>
        <w:rPr>
          <w:color w:val="000000"/>
          <w:sz w:val="28"/>
          <w:szCs w:val="28"/>
        </w:rPr>
      </w:pPr>
      <w:r w:rsidRPr="00E172E2">
        <w:rPr>
          <w:color w:val="000000"/>
          <w:sz w:val="28"/>
          <w:szCs w:val="28"/>
        </w:rPr>
        <w:t>— 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необоснован,</w:t>
      </w:r>
    </w:p>
    <w:p w:rsidR="00591F98" w:rsidRPr="00E172E2" w:rsidRDefault="00591F98" w:rsidP="00E172E2">
      <w:pPr>
        <w:shd w:val="clear" w:color="auto" w:fill="FFFFFF"/>
        <w:tabs>
          <w:tab w:val="left" w:pos="797"/>
        </w:tabs>
        <w:spacing w:line="360" w:lineRule="auto"/>
        <w:ind w:firstLine="709"/>
        <w:jc w:val="both"/>
        <w:rPr>
          <w:color w:val="000000"/>
          <w:sz w:val="28"/>
          <w:szCs w:val="28"/>
        </w:rPr>
      </w:pPr>
      <w:r w:rsidRPr="00E172E2">
        <w:rPr>
          <w:color w:val="000000"/>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591F98" w:rsidRPr="00E172E2" w:rsidRDefault="00591F98" w:rsidP="00E172E2">
      <w:pPr>
        <w:shd w:val="clear" w:color="auto" w:fill="FFFFFF"/>
        <w:tabs>
          <w:tab w:val="left" w:pos="792"/>
        </w:tabs>
        <w:spacing w:line="360" w:lineRule="auto"/>
        <w:ind w:firstLine="709"/>
        <w:jc w:val="both"/>
        <w:rPr>
          <w:color w:val="000000"/>
          <w:sz w:val="28"/>
          <w:szCs w:val="28"/>
        </w:rPr>
      </w:pPr>
      <w:r w:rsidRPr="00E172E2">
        <w:rPr>
          <w:color w:val="000000"/>
          <w:sz w:val="28"/>
          <w:szCs w:val="28"/>
        </w:rPr>
        <w:t>— обнаружение после отчетной даты существенной ошибки</w:t>
      </w:r>
      <w:r w:rsidR="00E172E2" w:rsidRPr="00E172E2">
        <w:rPr>
          <w:color w:val="000000"/>
          <w:sz w:val="28"/>
          <w:szCs w:val="28"/>
        </w:rPr>
        <w:t xml:space="preserve"> </w:t>
      </w:r>
      <w:r w:rsidRPr="00E172E2">
        <w:rPr>
          <w:color w:val="000000"/>
          <w:sz w:val="28"/>
          <w:szCs w:val="28"/>
        </w:rPr>
        <w:t>в бухгалтерском учете или нарушения законодательства при</w:t>
      </w:r>
      <w:r w:rsidR="00E172E2" w:rsidRPr="00E172E2">
        <w:rPr>
          <w:color w:val="000000"/>
          <w:sz w:val="28"/>
          <w:szCs w:val="28"/>
        </w:rPr>
        <w:t xml:space="preserve"> </w:t>
      </w:r>
      <w:r w:rsidRPr="00E172E2">
        <w:rPr>
          <w:color w:val="000000"/>
          <w:sz w:val="28"/>
          <w:szCs w:val="28"/>
        </w:rPr>
        <w:t>осуществлении деятельности организации, которые ведут</w:t>
      </w:r>
    </w:p>
    <w:p w:rsidR="00591F98" w:rsidRPr="00E172E2" w:rsidRDefault="00591F98" w:rsidP="00E172E2">
      <w:pPr>
        <w:shd w:val="clear" w:color="auto" w:fill="FFFFFF"/>
        <w:tabs>
          <w:tab w:val="left" w:pos="806"/>
        </w:tabs>
        <w:spacing w:line="360" w:lineRule="auto"/>
        <w:ind w:firstLine="709"/>
        <w:jc w:val="both"/>
        <w:rPr>
          <w:color w:val="000000"/>
          <w:sz w:val="28"/>
          <w:szCs w:val="28"/>
        </w:rPr>
      </w:pPr>
      <w:r w:rsidRPr="00E172E2">
        <w:rPr>
          <w:color w:val="000000"/>
          <w:sz w:val="28"/>
          <w:szCs w:val="28"/>
        </w:rPr>
        <w:t>к искажению бухгалтерской отчетности за отчетный период;</w:t>
      </w:r>
    </w:p>
    <w:p w:rsid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2) события, свидетельствующие о возникших после отчетной даты хозяйственных условиях, в которых организация ведет свою деятельность:</w:t>
      </w: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 принятие решения о реорганизации организации,</w:t>
      </w:r>
    </w:p>
    <w:p w:rsidR="00E172E2" w:rsidRPr="00E172E2" w:rsidRDefault="00591F98" w:rsidP="00E172E2">
      <w:pPr>
        <w:shd w:val="clear" w:color="auto" w:fill="FFFFFF"/>
        <w:tabs>
          <w:tab w:val="left" w:pos="811"/>
        </w:tabs>
        <w:spacing w:line="360" w:lineRule="auto"/>
        <w:ind w:firstLine="709"/>
        <w:jc w:val="both"/>
        <w:rPr>
          <w:color w:val="000000"/>
          <w:sz w:val="28"/>
          <w:szCs w:val="28"/>
        </w:rPr>
      </w:pPr>
      <w:r w:rsidRPr="00E172E2">
        <w:rPr>
          <w:color w:val="000000"/>
          <w:sz w:val="28"/>
          <w:szCs w:val="28"/>
        </w:rPr>
        <w:t>—приобретение предприятия как имущественного комплекса,</w:t>
      </w:r>
    </w:p>
    <w:p w:rsidR="00E172E2" w:rsidRDefault="00591F98" w:rsidP="00E172E2">
      <w:pPr>
        <w:shd w:val="clear" w:color="auto" w:fill="FFFFFF"/>
        <w:tabs>
          <w:tab w:val="left" w:pos="811"/>
        </w:tabs>
        <w:spacing w:line="360" w:lineRule="auto"/>
        <w:ind w:firstLine="709"/>
        <w:jc w:val="both"/>
        <w:rPr>
          <w:color w:val="000000"/>
          <w:sz w:val="28"/>
          <w:szCs w:val="28"/>
        </w:rPr>
      </w:pPr>
      <w:r w:rsidRPr="00E172E2">
        <w:rPr>
          <w:color w:val="000000"/>
          <w:sz w:val="28"/>
          <w:szCs w:val="28"/>
        </w:rPr>
        <w:t>— реконструкция или планируемая реконструкция,</w:t>
      </w:r>
    </w:p>
    <w:p w:rsidR="00E172E2" w:rsidRDefault="00591F98" w:rsidP="00E172E2">
      <w:pPr>
        <w:shd w:val="clear" w:color="auto" w:fill="FFFFFF"/>
        <w:tabs>
          <w:tab w:val="left" w:pos="830"/>
        </w:tabs>
        <w:spacing w:line="360" w:lineRule="auto"/>
        <w:ind w:firstLine="709"/>
        <w:jc w:val="both"/>
        <w:rPr>
          <w:color w:val="000000"/>
          <w:sz w:val="28"/>
          <w:szCs w:val="28"/>
          <w:lang w:val="en-US"/>
        </w:rPr>
      </w:pPr>
      <w:r w:rsidRPr="00E172E2">
        <w:rPr>
          <w:color w:val="000000"/>
          <w:sz w:val="28"/>
          <w:szCs w:val="28"/>
        </w:rPr>
        <w:t>— принятие решения об эмиссии акций и. иных ценных бумаг,</w:t>
      </w:r>
    </w:p>
    <w:p w:rsidR="00E172E2" w:rsidRDefault="00591F98" w:rsidP="00E172E2">
      <w:pPr>
        <w:shd w:val="clear" w:color="auto" w:fill="FFFFFF"/>
        <w:tabs>
          <w:tab w:val="left" w:pos="830"/>
        </w:tabs>
        <w:spacing w:line="360" w:lineRule="auto"/>
        <w:ind w:firstLine="709"/>
        <w:jc w:val="both"/>
        <w:rPr>
          <w:color w:val="000000"/>
          <w:sz w:val="28"/>
          <w:szCs w:val="28"/>
        </w:rPr>
      </w:pPr>
      <w:r w:rsidRPr="00E172E2">
        <w:rPr>
          <w:color w:val="000000"/>
          <w:sz w:val="28"/>
          <w:szCs w:val="28"/>
        </w:rPr>
        <w:t>— крупная сделка, связанная с приобретением и выбытием основных средств и финансовых вложений,</w:t>
      </w:r>
    </w:p>
    <w:p w:rsidR="00E172E2" w:rsidRDefault="00591F98" w:rsidP="00E172E2">
      <w:pPr>
        <w:shd w:val="clear" w:color="auto" w:fill="FFFFFF"/>
        <w:tabs>
          <w:tab w:val="left" w:pos="830"/>
        </w:tabs>
        <w:spacing w:line="360" w:lineRule="auto"/>
        <w:ind w:firstLine="709"/>
        <w:jc w:val="both"/>
        <w:rPr>
          <w:color w:val="000000"/>
          <w:sz w:val="28"/>
          <w:szCs w:val="28"/>
        </w:rPr>
      </w:pPr>
      <w:r w:rsidRPr="00E172E2">
        <w:rPr>
          <w:color w:val="000000"/>
          <w:sz w:val="28"/>
          <w:szCs w:val="28"/>
        </w:rPr>
        <w:t>— пожар, авария, стихийное бедствие или другая чрезвычайная</w:t>
      </w:r>
      <w:r w:rsidR="00E172E2" w:rsidRPr="00E172E2">
        <w:rPr>
          <w:color w:val="000000"/>
          <w:sz w:val="28"/>
          <w:szCs w:val="28"/>
        </w:rPr>
        <w:t xml:space="preserve"> </w:t>
      </w:r>
      <w:r w:rsidRPr="00E172E2">
        <w:rPr>
          <w:color w:val="000000"/>
          <w:sz w:val="28"/>
          <w:szCs w:val="28"/>
        </w:rPr>
        <w:t>ситуация, в результате которой уничтожена значительная</w:t>
      </w:r>
      <w:r w:rsidR="00E172E2" w:rsidRPr="00E172E2">
        <w:rPr>
          <w:color w:val="000000"/>
          <w:sz w:val="28"/>
          <w:szCs w:val="28"/>
        </w:rPr>
        <w:t xml:space="preserve"> </w:t>
      </w:r>
      <w:r w:rsidRPr="00E172E2">
        <w:rPr>
          <w:color w:val="000000"/>
          <w:sz w:val="28"/>
          <w:szCs w:val="28"/>
        </w:rPr>
        <w:t>часть активов организации,</w:t>
      </w:r>
    </w:p>
    <w:p w:rsidR="00591F98" w:rsidRPr="00E172E2" w:rsidRDefault="00591F98" w:rsidP="00E172E2">
      <w:pPr>
        <w:shd w:val="clear" w:color="auto" w:fill="FFFFFF"/>
        <w:tabs>
          <w:tab w:val="left" w:pos="830"/>
        </w:tabs>
        <w:spacing w:line="360" w:lineRule="auto"/>
        <w:ind w:firstLine="709"/>
        <w:jc w:val="both"/>
        <w:rPr>
          <w:color w:val="000000"/>
          <w:sz w:val="28"/>
          <w:szCs w:val="28"/>
        </w:rPr>
      </w:pPr>
      <w:r w:rsidRPr="00E172E2">
        <w:rPr>
          <w:color w:val="000000"/>
          <w:sz w:val="28"/>
          <w:szCs w:val="28"/>
        </w:rPr>
        <w:t>— прекращение существенной части основной деятельности организации, если это нельзя было предвидеть по состоянию на отчетную дату,</w:t>
      </w:r>
    </w:p>
    <w:p w:rsidR="00591F98" w:rsidRPr="00E172E2" w:rsidRDefault="00591F98" w:rsidP="00E172E2">
      <w:pPr>
        <w:shd w:val="clear" w:color="auto" w:fill="FFFFFF"/>
        <w:tabs>
          <w:tab w:val="left" w:pos="830"/>
        </w:tabs>
        <w:spacing w:line="360" w:lineRule="auto"/>
        <w:ind w:firstLine="709"/>
        <w:jc w:val="both"/>
        <w:rPr>
          <w:color w:val="000000"/>
          <w:sz w:val="28"/>
          <w:szCs w:val="28"/>
        </w:rPr>
      </w:pPr>
      <w:r w:rsidRPr="00E172E2">
        <w:rPr>
          <w:color w:val="000000"/>
          <w:sz w:val="28"/>
          <w:szCs w:val="28"/>
        </w:rPr>
        <w:t>—существенное снижение стоимости основных средств, если это снижение имело место после отчетной даты,</w:t>
      </w:r>
    </w:p>
    <w:p w:rsidR="00591F98" w:rsidRPr="00E172E2" w:rsidRDefault="00591F98" w:rsidP="00E172E2">
      <w:pPr>
        <w:shd w:val="clear" w:color="auto" w:fill="FFFFFF"/>
        <w:tabs>
          <w:tab w:val="left" w:pos="614"/>
        </w:tabs>
        <w:spacing w:line="360" w:lineRule="auto"/>
        <w:ind w:firstLine="709"/>
        <w:jc w:val="both"/>
        <w:rPr>
          <w:color w:val="000000"/>
          <w:sz w:val="28"/>
          <w:szCs w:val="28"/>
        </w:rPr>
      </w:pPr>
      <w:r w:rsidRPr="00E172E2">
        <w:rPr>
          <w:color w:val="000000"/>
          <w:sz w:val="28"/>
          <w:szCs w:val="28"/>
        </w:rPr>
        <w:t>— непрогнозируемое изменение курсов иностранных валют после отчетной даты,</w:t>
      </w:r>
    </w:p>
    <w:p w:rsidR="00591F98" w:rsidRPr="00E172E2" w:rsidRDefault="00591F98" w:rsidP="00E172E2">
      <w:pPr>
        <w:shd w:val="clear" w:color="auto" w:fill="FFFFFF"/>
        <w:tabs>
          <w:tab w:val="left" w:pos="830"/>
        </w:tabs>
        <w:spacing w:line="360" w:lineRule="auto"/>
        <w:ind w:firstLine="709"/>
        <w:jc w:val="both"/>
        <w:rPr>
          <w:color w:val="000000"/>
          <w:sz w:val="28"/>
          <w:szCs w:val="28"/>
        </w:rPr>
      </w:pPr>
      <w:r w:rsidRPr="00E172E2">
        <w:rPr>
          <w:color w:val="000000"/>
          <w:sz w:val="28"/>
          <w:szCs w:val="28"/>
        </w:rPr>
        <w:t>—действия органов государственной власти (национализация и т.п.).</w:t>
      </w: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В бухгалтерской отчетности за отчетный год отражаются существенные события после отчетной даты. Такое событие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 Степень существенности события организация определяет самостоятельно исходя из общих требований к бухгалтерской отчетности.</w:t>
      </w: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Существенные события первой группы отражаются в отчетности путем уточнения учетных показателей, а события второй группы раскрываются в пояснениях к бухгалтерскому балансу. Но в любом случае последствия события после отчетной даты оцениваются в денежном выражении, для чего организация делает соответствующий расчет, который должен быть подтвержден организацией,</w:t>
      </w:r>
    </w:p>
    <w:p w:rsidR="00591F98" w:rsidRPr="00E172E2" w:rsidRDefault="00591F98" w:rsidP="00E172E2">
      <w:pPr>
        <w:shd w:val="clear" w:color="auto" w:fill="FFFFFF"/>
        <w:spacing w:line="360" w:lineRule="auto"/>
        <w:ind w:firstLine="709"/>
        <w:jc w:val="both"/>
        <w:rPr>
          <w:color w:val="000000"/>
          <w:sz w:val="28"/>
          <w:szCs w:val="28"/>
        </w:rPr>
      </w:pPr>
      <w:r w:rsidRPr="00E172E2">
        <w:rPr>
          <w:color w:val="000000"/>
          <w:sz w:val="28"/>
          <w:szCs w:val="28"/>
        </w:rPr>
        <w:t>Данные об активах, обязательствах, капитале, доходах и расходах организации отражаются в бухгалтерской отчетности с учетом:</w:t>
      </w:r>
    </w:p>
    <w:p w:rsidR="00591F98" w:rsidRPr="00E172E2" w:rsidRDefault="00591F98" w:rsidP="00E172E2">
      <w:pPr>
        <w:widowControl w:val="0"/>
        <w:numPr>
          <w:ilvl w:val="0"/>
          <w:numId w:val="14"/>
        </w:numPr>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событий после отчетной даты, подтверждающих существовавшие на отчетную дату хозяйственные условия, в которых организация ведет свою деятельность;</w:t>
      </w:r>
    </w:p>
    <w:p w:rsidR="00591F98" w:rsidRPr="00E172E2" w:rsidRDefault="00591F98" w:rsidP="00E172E2">
      <w:pPr>
        <w:widowControl w:val="0"/>
        <w:numPr>
          <w:ilvl w:val="0"/>
          <w:numId w:val="14"/>
        </w:numPr>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или событий,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предприятия к деятельности организации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утверждения годовой бухгалтерской отчетности в установленном порядке.</w:t>
      </w:r>
    </w:p>
    <w:p w:rsidR="00E172E2" w:rsidRDefault="00E172E2"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lang w:val="en-US"/>
        </w:rPr>
      </w:pPr>
    </w:p>
    <w:p w:rsidR="004C178F" w:rsidRPr="00E172E2" w:rsidRDefault="004C178F"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Документы, содержащие информацию о СПОД.</w:t>
      </w:r>
      <w:r w:rsidR="00C13F74" w:rsidRPr="00E172E2">
        <w:rPr>
          <w:color w:val="000000"/>
          <w:sz w:val="28"/>
          <w:szCs w:val="28"/>
        </w:rPr>
        <w:t xml:space="preserve"> (табл.1)</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3450"/>
      </w:tblGrid>
      <w:tr w:rsidR="004C178F" w:rsidRPr="00706ECF" w:rsidTr="00706ECF">
        <w:tc>
          <w:tcPr>
            <w:tcW w:w="1701" w:type="dxa"/>
            <w:shd w:val="clear" w:color="auto" w:fill="auto"/>
          </w:tcPr>
          <w:p w:rsidR="004C178F"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Вид документов</w:t>
            </w:r>
          </w:p>
        </w:tc>
        <w:tc>
          <w:tcPr>
            <w:tcW w:w="3969" w:type="dxa"/>
            <w:shd w:val="clear" w:color="auto" w:fill="auto"/>
          </w:tcPr>
          <w:p w:rsidR="004C178F"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На что следует обратить внимание</w:t>
            </w:r>
          </w:p>
        </w:tc>
        <w:tc>
          <w:tcPr>
            <w:tcW w:w="3450" w:type="dxa"/>
            <w:shd w:val="clear" w:color="auto" w:fill="auto"/>
          </w:tcPr>
          <w:p w:rsidR="004C178F"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Комментарий</w:t>
            </w:r>
          </w:p>
        </w:tc>
      </w:tr>
      <w:tr w:rsidR="00C13F74" w:rsidRPr="00706ECF" w:rsidTr="00706ECF">
        <w:tc>
          <w:tcPr>
            <w:tcW w:w="1701"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Протоколы</w:t>
            </w:r>
          </w:p>
        </w:tc>
        <w:tc>
          <w:tcPr>
            <w:tcW w:w="3969"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Протоколы собраний акционеров (участников), совета директоров и исполнительных органов организации, проведенных после подготовки баланса</w:t>
            </w:r>
          </w:p>
        </w:tc>
        <w:tc>
          <w:tcPr>
            <w:tcW w:w="345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Эти документы могут содержать информацию о крупных сделках и грозящих финансовых трудностях</w:t>
            </w:r>
          </w:p>
        </w:tc>
      </w:tr>
      <w:tr w:rsidR="00C13F74" w:rsidRPr="00706ECF" w:rsidTr="00706ECF">
        <w:tc>
          <w:tcPr>
            <w:tcW w:w="1701"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Акты проверок и заключения</w:t>
            </w:r>
          </w:p>
        </w:tc>
        <w:tc>
          <w:tcPr>
            <w:tcW w:w="3969"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Акты проверок налоговыми, таможенными, лицензирующими и надзорными органами</w:t>
            </w:r>
          </w:p>
        </w:tc>
        <w:tc>
          <w:tcPr>
            <w:tcW w:w="345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Может быть, получена информация о причитающихся к уплате штрафных санкциях и пенях, а также о фактах нарушения действующего законодательства</w:t>
            </w:r>
          </w:p>
        </w:tc>
      </w:tr>
      <w:tr w:rsidR="00C13F74" w:rsidRPr="00706ECF" w:rsidTr="00706ECF">
        <w:tc>
          <w:tcPr>
            <w:tcW w:w="1701"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Планы и прогнозы</w:t>
            </w:r>
          </w:p>
        </w:tc>
        <w:tc>
          <w:tcPr>
            <w:tcW w:w="3969"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долго-, средне- и краткосрочные планы развития; бюджеты по направлениям деятельности; прогнозы финансового и имущественного состояния организации</w:t>
            </w:r>
          </w:p>
        </w:tc>
        <w:tc>
          <w:tcPr>
            <w:tcW w:w="345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Указанные документы содержат предположения специалистов относительно наиболее вероятного значения финансового результата, активов, обязательств и иных показателей финансово-хозяйственной деятельности</w:t>
            </w:r>
          </w:p>
        </w:tc>
      </w:tr>
      <w:tr w:rsidR="00C13F74" w:rsidRPr="00706ECF" w:rsidTr="00706ECF">
        <w:tc>
          <w:tcPr>
            <w:tcW w:w="1701"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Договоры</w:t>
            </w:r>
          </w:p>
        </w:tc>
        <w:tc>
          <w:tcPr>
            <w:tcW w:w="3969"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долгосрочные хозяйственные договоры; договоры, предусматривающие существенные финансовые санкции за нарушение их условий; соглашения о намерениях и проекты сделок</w:t>
            </w:r>
          </w:p>
        </w:tc>
        <w:tc>
          <w:tcPr>
            <w:tcW w:w="345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Такие документы могут помочь в формировании общего представления о состоянии договорной и претензионной работы. Особое внимание следует обратить на исполнение организацией условий хозяйственных договоров, в особенности тех из них, которые предусматривают значительные финансовые санкции</w:t>
            </w:r>
          </w:p>
        </w:tc>
      </w:tr>
      <w:tr w:rsidR="00C13F74" w:rsidRPr="00706ECF" w:rsidTr="00706ECF">
        <w:tc>
          <w:tcPr>
            <w:tcW w:w="1701"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Переписка</w:t>
            </w:r>
          </w:p>
        </w:tc>
        <w:tc>
          <w:tcPr>
            <w:tcW w:w="3969"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представителям общего собрания акционеров, банкам, займодавцам, крупным кредиторам, юристу (юридической фирме)</w:t>
            </w:r>
          </w:p>
        </w:tc>
        <w:tc>
          <w:tcPr>
            <w:tcW w:w="345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Из запросов, направленных специалистам и контрагентам, может быть получена информация о деталях взаимоотношений организации с контрагентами и акционерами, уточнены вопросы, недостаточно освященные в иных источниках информации</w:t>
            </w:r>
          </w:p>
        </w:tc>
      </w:tr>
    </w:tbl>
    <w:p w:rsidR="00E172E2" w:rsidRDefault="00E172E2"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lang w:val="en-US"/>
        </w:rPr>
      </w:pPr>
    </w:p>
    <w:p w:rsidR="00C13F74" w:rsidRPr="00E172E2" w:rsidRDefault="00C13F74"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Одним из способов получения достоверной информации об исполнении организацией своих обязательств является направление запросов деловым партнерам (см. таблицу 2).</w:t>
      </w:r>
    </w:p>
    <w:p w:rsidR="00750B90" w:rsidRPr="00E172E2" w:rsidRDefault="00750B90"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p>
    <w:p w:rsidR="004C178F" w:rsidRPr="00E172E2" w:rsidRDefault="00C13F74"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Перечень запросов (табл.2)</w:t>
      </w:r>
    </w:p>
    <w:tbl>
      <w:tblPr>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986"/>
        <w:gridCol w:w="2814"/>
      </w:tblGrid>
      <w:tr w:rsidR="00C13F74" w:rsidRPr="00706ECF" w:rsidTr="00706ECF">
        <w:tc>
          <w:tcPr>
            <w:tcW w:w="1440"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Контактное лицо</w:t>
            </w:r>
          </w:p>
        </w:tc>
        <w:tc>
          <w:tcPr>
            <w:tcW w:w="4986"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Примерный круг вопросов</w:t>
            </w:r>
          </w:p>
        </w:tc>
        <w:tc>
          <w:tcPr>
            <w:tcW w:w="2814" w:type="dxa"/>
            <w:shd w:val="clear" w:color="auto" w:fill="auto"/>
          </w:tcPr>
          <w:p w:rsidR="00C13F74" w:rsidRPr="00706ECF" w:rsidRDefault="00C13F74" w:rsidP="00706ECF">
            <w:pPr>
              <w:widowControl w:val="0"/>
              <w:spacing w:line="360" w:lineRule="auto"/>
              <w:rPr>
                <w:color w:val="000000"/>
                <w:sz w:val="20"/>
                <w:szCs w:val="20"/>
              </w:rPr>
            </w:pPr>
            <w:r w:rsidRPr="00706ECF">
              <w:rPr>
                <w:color w:val="000000"/>
                <w:sz w:val="20"/>
                <w:szCs w:val="20"/>
              </w:rPr>
              <w:t>Комментарий</w:t>
            </w:r>
          </w:p>
        </w:tc>
      </w:tr>
      <w:tr w:rsidR="00C13F74" w:rsidRPr="00706ECF" w:rsidTr="00706ECF">
        <w:tc>
          <w:tcPr>
            <w:tcW w:w="1440"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Акционеры</w:t>
            </w:r>
          </w:p>
        </w:tc>
        <w:tc>
          <w:tcPr>
            <w:tcW w:w="4986" w:type="dxa"/>
            <w:shd w:val="clear" w:color="auto" w:fill="auto"/>
          </w:tcPr>
          <w:p w:rsidR="00C13F74" w:rsidRPr="00706ECF" w:rsidRDefault="00C13F74"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какие основные проблемы обсуждались на собраниях акционеров после подготовки баланса;</w:t>
            </w:r>
          </w:p>
          <w:p w:rsidR="00C13F74" w:rsidRPr="00706ECF" w:rsidRDefault="00C13F74"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планы в части эмиссии или выкупа ценных бумаг;</w:t>
            </w:r>
          </w:p>
          <w:p w:rsidR="00C13F74" w:rsidRPr="00706ECF" w:rsidRDefault="00C13F74"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перспективные направления развития организации</w:t>
            </w:r>
          </w:p>
        </w:tc>
        <w:tc>
          <w:tcPr>
            <w:tcW w:w="2814"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Особое внимание следует уделить вопросам, по которым нет протоколов собрания акционеров</w:t>
            </w:r>
          </w:p>
        </w:tc>
      </w:tr>
      <w:tr w:rsidR="00C13F74" w:rsidRPr="00706ECF" w:rsidTr="00706ECF">
        <w:tc>
          <w:tcPr>
            <w:tcW w:w="1440"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Инвесторы</w:t>
            </w:r>
          </w:p>
        </w:tc>
        <w:tc>
          <w:tcPr>
            <w:tcW w:w="4986" w:type="dxa"/>
            <w:shd w:val="clear" w:color="auto" w:fill="auto"/>
          </w:tcPr>
          <w:p w:rsidR="00C13F74" w:rsidRPr="00706ECF" w:rsidRDefault="00C13F74"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предполагается ли в ближайшее время расторжение инвестиционных соглашений или резкое уменьшение</w:t>
            </w:r>
            <w:r w:rsidR="00750B90" w:rsidRPr="00706ECF">
              <w:rPr>
                <w:color w:val="000000"/>
                <w:sz w:val="20"/>
                <w:szCs w:val="20"/>
              </w:rPr>
              <w:t xml:space="preserve"> </w:t>
            </w:r>
            <w:r w:rsidRPr="00706ECF">
              <w:rPr>
                <w:color w:val="000000"/>
                <w:sz w:val="20"/>
                <w:szCs w:val="20"/>
              </w:rPr>
              <w:t>финансирования в рамках существующих соглашений;</w:t>
            </w:r>
          </w:p>
          <w:p w:rsidR="00C13F74" w:rsidRPr="00706ECF" w:rsidRDefault="00C13F74"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 ли место факты нарушения условий инвестиционных соглашений со стороны клиента;</w:t>
            </w:r>
          </w:p>
          <w:p w:rsidR="00C13F74" w:rsidRPr="00706ECF" w:rsidRDefault="00C13F74"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перспективы реализации инвестиционных проектов;</w:t>
            </w:r>
          </w:p>
          <w:p w:rsidR="00C13F74" w:rsidRPr="00706ECF" w:rsidRDefault="00C13F74"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предполагается ли осуществление новых инвестиционных проектов</w:t>
            </w:r>
          </w:p>
        </w:tc>
        <w:tc>
          <w:tcPr>
            <w:tcW w:w="2814"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Представляет интерес оценка инвесторами перспектив развития организации, в частности, ее способности продолжать деятельность</w:t>
            </w:r>
          </w:p>
        </w:tc>
      </w:tr>
      <w:tr w:rsidR="00C13F74" w:rsidRPr="00706ECF" w:rsidTr="00706ECF">
        <w:tc>
          <w:tcPr>
            <w:tcW w:w="1440"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Кредиторы и займодавцы</w:t>
            </w:r>
          </w:p>
        </w:tc>
        <w:tc>
          <w:tcPr>
            <w:tcW w:w="4986" w:type="dxa"/>
            <w:shd w:val="clear" w:color="auto" w:fill="auto"/>
          </w:tcPr>
          <w:p w:rsidR="00C13F74" w:rsidRPr="00706ECF" w:rsidRDefault="00C13F74"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существуют ли проблемы, связанные с несоблюдением графика возврата полученных кредитов (займов);</w:t>
            </w:r>
          </w:p>
          <w:p w:rsidR="00C13F74" w:rsidRPr="00706ECF" w:rsidRDefault="00C13F74"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имеется ли просроченная задолженность по кредитным соглашениям (соглашениям о предоставлении займов);</w:t>
            </w:r>
          </w:p>
          <w:p w:rsidR="00C13F74" w:rsidRPr="00706ECF" w:rsidRDefault="00C13F74"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были ли отмечены факты нарушения иных условий кредитных соглашений;</w:t>
            </w:r>
          </w:p>
          <w:p w:rsidR="00C13F74" w:rsidRPr="00706ECF" w:rsidRDefault="00C13F74"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существуют ли достаточные основания предполагать, что в ближайшее время условия таких соглашений будут нарушены в связи с тем, что организация будет не в состоянии исполнять их условия;</w:t>
            </w:r>
          </w:p>
        </w:tc>
        <w:tc>
          <w:tcPr>
            <w:tcW w:w="2814"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Оценка кредиторами (займодавцами) способности организации своевременно погашать свои долги может быть положена в основу решения о вероятности нарушений условий соответствующих договоров, приводящих к финансовым санкциям</w:t>
            </w:r>
          </w:p>
        </w:tc>
      </w:tr>
      <w:tr w:rsidR="00C13F74" w:rsidRPr="00706ECF" w:rsidTr="00706ECF">
        <w:tc>
          <w:tcPr>
            <w:tcW w:w="1440"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Привлекав</w:t>
            </w:r>
            <w:r w:rsidR="00423451" w:rsidRPr="00706ECF">
              <w:rPr>
                <w:color w:val="000000"/>
                <w:sz w:val="20"/>
                <w:szCs w:val="20"/>
              </w:rPr>
              <w:t>-</w:t>
            </w:r>
            <w:r w:rsidRPr="00706ECF">
              <w:rPr>
                <w:color w:val="000000"/>
                <w:sz w:val="20"/>
                <w:szCs w:val="20"/>
              </w:rPr>
              <w:t>шиеся юристы (юридичес</w:t>
            </w:r>
            <w:r w:rsidR="00423451" w:rsidRPr="00706ECF">
              <w:rPr>
                <w:color w:val="000000"/>
                <w:sz w:val="20"/>
                <w:szCs w:val="20"/>
              </w:rPr>
              <w:t>-</w:t>
            </w:r>
            <w:r w:rsidRPr="00706ECF">
              <w:rPr>
                <w:color w:val="000000"/>
                <w:sz w:val="20"/>
                <w:szCs w:val="20"/>
              </w:rPr>
              <w:t>кие фирмы)</w:t>
            </w:r>
          </w:p>
        </w:tc>
        <w:tc>
          <w:tcPr>
            <w:tcW w:w="4986" w:type="dxa"/>
            <w:shd w:val="clear" w:color="auto" w:fill="auto"/>
          </w:tcPr>
          <w:p w:rsidR="00C13F74" w:rsidRPr="00706ECF" w:rsidRDefault="00C13F74"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на дату запроса судебные разбирательства с участием организации и каков их предполагаемый исход;</w:t>
            </w:r>
          </w:p>
          <w:p w:rsidR="00C13F74" w:rsidRPr="00706ECF" w:rsidRDefault="00C13F74"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велика ли вероятность возбуждения судебных разбирательств против организации в ближайшем будущем;</w:t>
            </w:r>
          </w:p>
          <w:p w:rsidR="00C13F74" w:rsidRPr="00706ECF" w:rsidRDefault="00C13F74"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проекты каких крупных сделок находятся в стадии оформления;</w:t>
            </w:r>
          </w:p>
          <w:p w:rsidR="00C13F74" w:rsidRPr="00706ECF" w:rsidRDefault="00C13F74"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условия каких хозяйственных договоров предполагается изменить в ближайшее время в сторону ухудшения позиции организации</w:t>
            </w:r>
          </w:p>
        </w:tc>
        <w:tc>
          <w:tcPr>
            <w:tcW w:w="2814" w:type="dxa"/>
            <w:shd w:val="clear" w:color="auto" w:fill="auto"/>
          </w:tcPr>
          <w:p w:rsidR="00C13F74" w:rsidRPr="00706ECF" w:rsidRDefault="00C13F74"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Представляет интерес оценка юристом уровня договорной дисциплины и перспектив существующих договорных отношений. На основе ответа на такой запрос можно сделать выводы о наличии судебных разбирательств с участием проверяемого экономического субъекта и их наиболее вероятных исходах, а также о возможности возбуждения судебных разбирательств в ближайшем будущем</w:t>
            </w:r>
          </w:p>
        </w:tc>
      </w:tr>
    </w:tbl>
    <w:p w:rsidR="00C13F74" w:rsidRPr="00E172E2" w:rsidRDefault="00C13F74"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p>
    <w:p w:rsidR="00415998" w:rsidRPr="00E172E2" w:rsidRDefault="00415998"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Следует иметь в виду, что ответы на запросы далеко не всегда содержат полную информацию, поскольку ответ на запрос не является обязательным, и ответственность за некорректность содержащихся в нем сведений не предусмотрена. Такие технические ограничения можно устранить путем изучения переписки организации, содержащей указания на намерения сторон урегулировать просроченную задолженность, сведения о готовящейся реструктуризации, предполагаемом прощении долгов, наличии нарушений условий хозяйственных договоров, которые в ближайшем будущем повлекут за собой выставление претензий, начисление штрафных санкций или разрыв отношений и др.</w:t>
      </w:r>
    </w:p>
    <w:p w:rsidR="00591F98" w:rsidRPr="00E172E2" w:rsidRDefault="00415998"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Процедуры,</w:t>
      </w:r>
      <w:r w:rsidR="00423451" w:rsidRPr="00E172E2">
        <w:rPr>
          <w:color w:val="000000"/>
          <w:sz w:val="28"/>
          <w:szCs w:val="28"/>
        </w:rPr>
        <w:t xml:space="preserve"> направленные на выявление СПОД</w:t>
      </w:r>
      <w:r w:rsidRPr="00E172E2">
        <w:rPr>
          <w:color w:val="000000"/>
          <w:sz w:val="28"/>
          <w:szCs w:val="28"/>
        </w:rPr>
        <w:t>, следует проводить как можно ближе к дате составления бухгалтерской отчетности для обеспечения соблюдения предпосылки полноты. При этом особое внимание должно быть уделено выявлению условных убытков, так как даже в самых успешно управляемых предприятиях условный убыток, который требует оценки, может быть упущен из виду. Для этого должны быть получены такие документы как договоры, протоколы, акты и др., проведена беседа с руководством, направлены запросы наиболее крупным покупателям, поставщикам, кредиторам (займодавцам) и юристу (юридической фирме). Часть информации о СПОД можно получить в ходе составления баланса и проведения процедур закрытия отчетного периода. Чтобы упорядочить сбор информации, бухгалтер може</w:t>
      </w:r>
      <w:r w:rsidR="00423451" w:rsidRPr="00E172E2">
        <w:rPr>
          <w:color w:val="000000"/>
          <w:sz w:val="28"/>
          <w:szCs w:val="28"/>
        </w:rPr>
        <w:t>т провести опросы (см. табл. 3</w:t>
      </w:r>
      <w:r w:rsidRPr="00E172E2">
        <w:rPr>
          <w:color w:val="000000"/>
          <w:sz w:val="28"/>
          <w:szCs w:val="28"/>
        </w:rPr>
        <w:t>) и предложить ответственным сотрудникам в письменной форме ответить на вопросы.</w:t>
      </w:r>
    </w:p>
    <w:p w:rsidR="00E172E2" w:rsidRDefault="00E172E2"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lang w:val="en-US"/>
        </w:rPr>
      </w:pPr>
    </w:p>
    <w:p w:rsidR="00423451" w:rsidRPr="00E172E2" w:rsidRDefault="00423451"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Примерный план опросов (табл.3)</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7"/>
        <w:gridCol w:w="2722"/>
      </w:tblGrid>
      <w:tr w:rsidR="00423451" w:rsidRPr="00706ECF" w:rsidTr="00706ECF">
        <w:tc>
          <w:tcPr>
            <w:tcW w:w="1134" w:type="dxa"/>
            <w:shd w:val="clear" w:color="auto" w:fill="auto"/>
          </w:tcPr>
          <w:p w:rsidR="00423451" w:rsidRPr="00706ECF" w:rsidRDefault="00423451" w:rsidP="00706ECF">
            <w:pPr>
              <w:widowControl w:val="0"/>
              <w:spacing w:line="360" w:lineRule="auto"/>
              <w:rPr>
                <w:color w:val="000000"/>
                <w:sz w:val="20"/>
                <w:szCs w:val="20"/>
              </w:rPr>
            </w:pPr>
            <w:r w:rsidRPr="00706ECF">
              <w:rPr>
                <w:color w:val="000000"/>
                <w:sz w:val="20"/>
                <w:szCs w:val="20"/>
              </w:rPr>
              <w:t>Контакт-ное лицо</w:t>
            </w:r>
          </w:p>
        </w:tc>
        <w:tc>
          <w:tcPr>
            <w:tcW w:w="5387" w:type="dxa"/>
            <w:shd w:val="clear" w:color="auto" w:fill="auto"/>
          </w:tcPr>
          <w:p w:rsidR="00423451" w:rsidRPr="00706ECF" w:rsidRDefault="00423451" w:rsidP="00706ECF">
            <w:pPr>
              <w:widowControl w:val="0"/>
              <w:spacing w:line="360" w:lineRule="auto"/>
              <w:rPr>
                <w:color w:val="000000"/>
                <w:sz w:val="20"/>
                <w:szCs w:val="20"/>
              </w:rPr>
            </w:pPr>
            <w:r w:rsidRPr="00706ECF">
              <w:rPr>
                <w:color w:val="000000"/>
                <w:sz w:val="20"/>
                <w:szCs w:val="20"/>
              </w:rPr>
              <w:t>Примерный круг вопросов</w:t>
            </w:r>
          </w:p>
        </w:tc>
        <w:tc>
          <w:tcPr>
            <w:tcW w:w="2722" w:type="dxa"/>
            <w:shd w:val="clear" w:color="auto" w:fill="auto"/>
          </w:tcPr>
          <w:p w:rsidR="00423451" w:rsidRPr="00706ECF" w:rsidRDefault="00423451" w:rsidP="00706ECF">
            <w:pPr>
              <w:widowControl w:val="0"/>
              <w:spacing w:line="360" w:lineRule="auto"/>
              <w:rPr>
                <w:color w:val="000000"/>
                <w:sz w:val="20"/>
                <w:szCs w:val="20"/>
              </w:rPr>
            </w:pPr>
            <w:r w:rsidRPr="00706ECF">
              <w:rPr>
                <w:color w:val="000000"/>
                <w:sz w:val="20"/>
                <w:szCs w:val="20"/>
              </w:rPr>
              <w:t>Комментарий</w:t>
            </w:r>
          </w:p>
        </w:tc>
      </w:tr>
      <w:tr w:rsidR="00423451" w:rsidRPr="00706ECF" w:rsidTr="00706ECF">
        <w:tc>
          <w:tcPr>
            <w:tcW w:w="1134"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Руково-дитель органи-зации</w:t>
            </w:r>
          </w:p>
        </w:tc>
        <w:tc>
          <w:tcPr>
            <w:tcW w:w="5387" w:type="dxa"/>
            <w:shd w:val="clear" w:color="auto" w:fill="auto"/>
          </w:tcPr>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планируются ли какие-нибудь шаги по реализации активов или производственных единиц,</w:t>
            </w:r>
          </w:p>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планируются ли какие-нибудь мероприятия по выпуску новых акций, реорганизации или ликвидацию организации или ее структурных подразделений, существенному сокращению штата;</w:t>
            </w:r>
          </w:p>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предпринимались ли меры по страхованию сфер деятельности организации, связанных с высоким риском или непредвиденным обстоятельствам;</w:t>
            </w:r>
          </w:p>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риски непогашения задолженности перед крупными кредитор</w:t>
            </w:r>
            <w:r w:rsidR="00750B90" w:rsidRPr="00706ECF">
              <w:rPr>
                <w:color w:val="000000"/>
                <w:sz w:val="20"/>
                <w:szCs w:val="20"/>
              </w:rPr>
              <w:t>ами</w:t>
            </w:r>
            <w:r w:rsidRPr="00706ECF">
              <w:rPr>
                <w:color w:val="000000"/>
                <w:sz w:val="20"/>
                <w:szCs w:val="20"/>
              </w:rPr>
              <w:t>, а также задолженности по полученным кредитам (займам);</w:t>
            </w:r>
          </w:p>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существует ли вероятность расторжения договорных отношений с контрагентами, которая может привести к существенным потерям;</w:t>
            </w:r>
          </w:p>
          <w:p w:rsidR="00423451" w:rsidRPr="00706ECF" w:rsidRDefault="00423451" w:rsidP="00706ECF">
            <w:pPr>
              <w:widowControl w:val="0"/>
              <w:numPr>
                <w:ilvl w:val="0"/>
                <w:numId w:val="16"/>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какова вероятность изменения договорных отношений с контрагентами в сторону ухудшения положения организации и др</w:t>
            </w:r>
          </w:p>
        </w:tc>
        <w:tc>
          <w:tcPr>
            <w:tcW w:w="2722"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Опрос руководства должен содержать наиболее широкий круг вопросов, некоторые из которых впоследствии будут либо переадресованы соответствующим ответственным исполнителям, либо оформлены как запросы</w:t>
            </w:r>
          </w:p>
        </w:tc>
      </w:tr>
      <w:tr w:rsidR="00423451" w:rsidRPr="00706ECF" w:rsidTr="00706ECF">
        <w:tc>
          <w:tcPr>
            <w:tcW w:w="1134"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Юрис-консульт</w:t>
            </w:r>
          </w:p>
        </w:tc>
        <w:tc>
          <w:tcPr>
            <w:tcW w:w="5387" w:type="dxa"/>
            <w:shd w:val="clear" w:color="auto" w:fill="auto"/>
          </w:tcPr>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существуют ли на дату опроса судебные разбирательства с участием организации;</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какова вероятность неблагоприятного исхода указанных разбирательств;</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наиболее вероятные величины потенциальных убытков;</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существуют ли разбирательства, по которым организация с большой вероятностью получит возмещения;</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 оценивается риск предъявления претензий к организации со стороны контрагентов, персонала и государственных органов;</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факты нарушения действующего законодательства, которые могут привести к наложению существенных штрафных санкций;</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возможности получения или уплаты штрафных санкций по условиям хозяйственных договоров,</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гарантии, выданные в пользу третьих лиц и какова вероятность выплат по таким гарантиям;</w:t>
            </w:r>
          </w:p>
          <w:p w:rsidR="00423451" w:rsidRPr="00706ECF" w:rsidRDefault="00423451" w:rsidP="00706ECF">
            <w:pPr>
              <w:widowControl w:val="0"/>
              <w:numPr>
                <w:ilvl w:val="0"/>
                <w:numId w:val="17"/>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выступает ли организация поручителем и какова вероятность выплат по договорам поручительства</w:t>
            </w:r>
          </w:p>
        </w:tc>
        <w:tc>
          <w:tcPr>
            <w:tcW w:w="2722"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Опрос юриста следует дополнить анализом документации, связанной с судебными разбирательствами, претензиями и требованиями. Сведения о незаявленных разбирательствах должны быть запротоколированы</w:t>
            </w:r>
          </w:p>
        </w:tc>
      </w:tr>
      <w:tr w:rsidR="00423451" w:rsidRPr="00706ECF" w:rsidTr="00706ECF">
        <w:tc>
          <w:tcPr>
            <w:tcW w:w="1134"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Руково-дители служб (цехов, отделов)</w:t>
            </w:r>
          </w:p>
        </w:tc>
        <w:tc>
          <w:tcPr>
            <w:tcW w:w="5387" w:type="dxa"/>
            <w:shd w:val="clear" w:color="auto" w:fill="auto"/>
          </w:tcPr>
          <w:p w:rsidR="00423451" w:rsidRPr="00706ECF" w:rsidRDefault="00423451"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основания полагать, что в ближайшее время произойдет существенное повышение цен на сырье (комплектующие, оборудование), используемые организацией;</w:t>
            </w:r>
          </w:p>
          <w:p w:rsidR="00423451" w:rsidRPr="00706ECF" w:rsidRDefault="00423451"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возможно ли существенное повышение цен (тарифов) на перевозки (коммунальные услуги, связь);</w:t>
            </w:r>
          </w:p>
          <w:p w:rsidR="00423451" w:rsidRPr="00706ECF" w:rsidRDefault="00423451"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возможно ли резкое падение цен на продукцию (работы, услуги), предлагаемые организацией;</w:t>
            </w:r>
          </w:p>
          <w:p w:rsidR="00423451" w:rsidRPr="00706ECF" w:rsidRDefault="00423451" w:rsidP="00706ECF">
            <w:pPr>
              <w:widowControl w:val="0"/>
              <w:numPr>
                <w:ilvl w:val="0"/>
                <w:numId w:val="18"/>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существуют ли условия, свидетельствующие о необходимости расформирования или существенного сокращения соответствующей службы (департамента).</w:t>
            </w:r>
          </w:p>
        </w:tc>
        <w:tc>
          <w:tcPr>
            <w:tcW w:w="2722"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Опрос имеет целью уточнение информации об отдельных СПОД, для оценки последствий которых необходимы специальные знания или информация</w:t>
            </w:r>
          </w:p>
        </w:tc>
      </w:tr>
      <w:tr w:rsidR="00423451" w:rsidRPr="00706ECF" w:rsidTr="00706ECF">
        <w:tc>
          <w:tcPr>
            <w:tcW w:w="1134"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Руково-дители струк-турных подраз-делений</w:t>
            </w:r>
          </w:p>
        </w:tc>
        <w:tc>
          <w:tcPr>
            <w:tcW w:w="5387" w:type="dxa"/>
            <w:shd w:val="clear" w:color="auto" w:fill="auto"/>
          </w:tcPr>
          <w:p w:rsidR="00423451" w:rsidRPr="00706ECF" w:rsidRDefault="00423451"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каковы тенденции продаж и расходов подразделения;</w:t>
            </w:r>
          </w:p>
          <w:p w:rsidR="00423451" w:rsidRPr="00706ECF" w:rsidRDefault="00423451"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негативные изменения в условиях функционирования подразделения;</w:t>
            </w:r>
          </w:p>
          <w:p w:rsidR="00423451" w:rsidRPr="00706ECF" w:rsidRDefault="00423451"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 ли место тенденции, ставящие под угрозу функционирование подразделения;</w:t>
            </w:r>
          </w:p>
          <w:p w:rsidR="00423451" w:rsidRPr="00706ECF" w:rsidRDefault="00423451" w:rsidP="00706ECF">
            <w:pPr>
              <w:widowControl w:val="0"/>
              <w:numPr>
                <w:ilvl w:val="0"/>
                <w:numId w:val="19"/>
              </w:numPr>
              <w:tabs>
                <w:tab w:val="clear" w:pos="720"/>
                <w:tab w:val="num" w:pos="0"/>
              </w:tabs>
              <w:autoSpaceDE w:val="0"/>
              <w:autoSpaceDN w:val="0"/>
              <w:adjustRightInd w:val="0"/>
              <w:spacing w:line="360" w:lineRule="auto"/>
              <w:ind w:left="0" w:firstLine="0"/>
              <w:rPr>
                <w:color w:val="000000"/>
                <w:sz w:val="20"/>
                <w:szCs w:val="20"/>
              </w:rPr>
            </w:pPr>
            <w:r w:rsidRPr="00706ECF">
              <w:rPr>
                <w:color w:val="000000"/>
                <w:sz w:val="20"/>
                <w:szCs w:val="20"/>
              </w:rPr>
              <w:t>имеются ли основания ожидать проведения регулирования со стороны государства, приводящего к затруднению оборота средств между организацией и подразделением</w:t>
            </w:r>
          </w:p>
        </w:tc>
        <w:tc>
          <w:tcPr>
            <w:tcW w:w="2722" w:type="dxa"/>
            <w:shd w:val="clear" w:color="auto" w:fill="auto"/>
          </w:tcPr>
          <w:p w:rsidR="00423451" w:rsidRPr="00706ECF" w:rsidRDefault="00423451" w:rsidP="00706ECF">
            <w:pPr>
              <w:widowControl w:val="0"/>
              <w:tabs>
                <w:tab w:val="left" w:pos="686"/>
              </w:tabs>
              <w:autoSpaceDE w:val="0"/>
              <w:autoSpaceDN w:val="0"/>
              <w:adjustRightInd w:val="0"/>
              <w:spacing w:line="360" w:lineRule="auto"/>
              <w:rPr>
                <w:color w:val="000000"/>
                <w:sz w:val="20"/>
                <w:szCs w:val="20"/>
              </w:rPr>
            </w:pPr>
            <w:r w:rsidRPr="00706ECF">
              <w:rPr>
                <w:color w:val="000000"/>
                <w:sz w:val="20"/>
                <w:szCs w:val="20"/>
              </w:rPr>
              <w:t>Опрос руководителей структурных подразделений позволяет выявить особенности хозяйственной деятельности таких подразделений, обусловленные неоднородностью окружающей экономико-политической среды, а также предоставленной им автономностью в части принятия управленческих решений</w:t>
            </w:r>
          </w:p>
        </w:tc>
      </w:tr>
    </w:tbl>
    <w:p w:rsidR="00423451" w:rsidRPr="00E172E2" w:rsidRDefault="00423451"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b/>
          <w:bCs/>
          <w:color w:val="000000"/>
          <w:sz w:val="28"/>
          <w:szCs w:val="28"/>
          <w:lang w:val="en-US"/>
        </w:rPr>
      </w:pPr>
      <w:r w:rsidRPr="00E172E2">
        <w:rPr>
          <w:b/>
          <w:bCs/>
          <w:color w:val="000000"/>
          <w:sz w:val="28"/>
          <w:szCs w:val="28"/>
        </w:rPr>
        <w:t xml:space="preserve">2. Примеры отражения событий после отчетной даты и их </w:t>
      </w:r>
    </w:p>
    <w:p w:rsidR="0048212B" w:rsidRPr="00E172E2" w:rsidRDefault="0048212B" w:rsidP="00E172E2">
      <w:pPr>
        <w:widowControl w:val="0"/>
        <w:shd w:val="clear" w:color="auto" w:fill="FFFFFF"/>
        <w:tabs>
          <w:tab w:val="left" w:pos="686"/>
        </w:tabs>
        <w:autoSpaceDE w:val="0"/>
        <w:autoSpaceDN w:val="0"/>
        <w:adjustRightInd w:val="0"/>
        <w:spacing w:line="360" w:lineRule="auto"/>
        <w:ind w:firstLine="709"/>
        <w:jc w:val="both"/>
        <w:rPr>
          <w:b/>
          <w:bCs/>
          <w:color w:val="000000"/>
          <w:sz w:val="28"/>
          <w:szCs w:val="28"/>
        </w:rPr>
      </w:pPr>
      <w:r w:rsidRPr="00E172E2">
        <w:rPr>
          <w:b/>
          <w:bCs/>
          <w:color w:val="000000"/>
          <w:sz w:val="28"/>
          <w:szCs w:val="28"/>
        </w:rPr>
        <w:t>последствий</w:t>
      </w:r>
    </w:p>
    <w:p w:rsidR="00E172E2" w:rsidRDefault="00E172E2"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lang w:val="en-US"/>
        </w:rPr>
      </w:pP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 ПБУ 7/98 приведен примерный перечень фактов хозяйственной деятельности, которые могут быть признаны событиями после отчетной даты. Рассмотрим на примерах порядок отражения отдельных событий после отчетной даты и их последствий в бухгалтерском учете и (или) бухгалтерской отчетности.</w:t>
      </w:r>
    </w:p>
    <w:p w:rsidR="0048212B" w:rsidRPr="00E172E2" w:rsidRDefault="0048212B" w:rsidP="00E172E2">
      <w:pPr>
        <w:widowControl w:val="0"/>
        <w:shd w:val="clear" w:color="auto" w:fill="FFFFFF"/>
        <w:tabs>
          <w:tab w:val="left" w:pos="686"/>
        </w:tabs>
        <w:autoSpaceDE w:val="0"/>
        <w:autoSpaceDN w:val="0"/>
        <w:adjustRightInd w:val="0"/>
        <w:spacing w:line="360" w:lineRule="auto"/>
        <w:ind w:firstLine="709"/>
        <w:jc w:val="both"/>
        <w:rPr>
          <w:b/>
          <w:bCs/>
          <w:color w:val="000000"/>
          <w:sz w:val="28"/>
          <w:szCs w:val="28"/>
        </w:rPr>
      </w:pPr>
      <w:r w:rsidRPr="00E172E2">
        <w:rPr>
          <w:b/>
          <w:bCs/>
          <w:color w:val="000000"/>
          <w:sz w:val="28"/>
          <w:szCs w:val="28"/>
        </w:rPr>
        <w:t>События первого вида и их последствия</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b/>
          <w:bCs/>
          <w:color w:val="000000"/>
          <w:sz w:val="28"/>
          <w:szCs w:val="28"/>
        </w:rPr>
        <w:t>Пример 1</w:t>
      </w:r>
      <w:r w:rsidRPr="00E172E2">
        <w:rPr>
          <w:color w:val="000000"/>
          <w:sz w:val="28"/>
          <w:szCs w:val="28"/>
        </w:rPr>
        <w:t>. По состоянию на 31 декабря 2007 г. в бухгалтерском учете ЗАО «Хризантема» отражена дебиторская задолженность ООО «Роза», возникшая в марте 2006 г., в отношении которого осуществлялась процедура банкротства, в сумме 3600 тыс. руб. В феврале 2008 г. ЗАО «Хризантема» получило информацию о том, что ООО «Роза» объявлено банкротом и исключено из ЕГРЮЛ. Учетной политикой на 2006 г. предусмотрено, что налоговая база по НДС определяется «по оплате». ЗАО «Хризантема» не является субъектом малого предпринимательства. Бухгалтерская отчетность ЗАО «Хризантема» на момент получения информации еще не подписана. Указанное событие обществом было квалифицировано как существенное.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Вопрос. Каким образом подлежит отражению указанное событие после отчетной даты в бухгалтерском учете и бухгалтерской отчетности (ограничимся Бухгалтерским балансом (форма № 1) и Отчетом о прибылях и убытках (форма № 2) ЗАО «Хризантема»?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Решение. В бухгалтерском учете ЗАО «Хризантема» делаются следующие записи: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в 200</w:t>
      </w:r>
      <w:r w:rsidR="00AC1B90" w:rsidRPr="00E172E2">
        <w:rPr>
          <w:color w:val="000000"/>
          <w:sz w:val="28"/>
          <w:szCs w:val="28"/>
        </w:rPr>
        <w:t>7</w:t>
      </w:r>
      <w:r w:rsidRPr="00E172E2">
        <w:rPr>
          <w:color w:val="000000"/>
          <w:sz w:val="28"/>
          <w:szCs w:val="28"/>
        </w:rPr>
        <w:t xml:space="preserve"> г. заключительными оборотами: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62 «Расчеты с покупателями и заказчиками» - 3600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налогу на прибыль», К-т 99 «Прибыли и убытки», субсчет «Условный расход» - 864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09 «Отложенный налоговый актив», К-т 68 «Расчеты по налогам и сборам», субсчет «Расчеты по налогу на прибыль» - 864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в феврале 200</w:t>
      </w:r>
      <w:r w:rsidR="00AC1B90" w:rsidRPr="00E172E2">
        <w:rPr>
          <w:color w:val="000000"/>
          <w:sz w:val="28"/>
          <w:szCs w:val="28"/>
        </w:rPr>
        <w:t>8</w:t>
      </w:r>
      <w:r w:rsidRPr="00E172E2">
        <w:rPr>
          <w:color w:val="000000"/>
          <w:sz w:val="28"/>
          <w:szCs w:val="28"/>
        </w:rPr>
        <w:t xml:space="preserve"> г.:</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62 «Расчеты с покупателями и заказчиками» - сторно 3600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62 «Расчеты с покупателями и заказчиками» - 3600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налогу на прибыль», К-т 09 «Отложенный налоговый актив» - 864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76 «Расчеты с прочими дебиторами и кредиторами», субсчет «Расчеты по отложенному НДС», К-т 68 «Расчеты по налогам и сборам», субсчет «Расчеты по НДС» - 600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По мнению авторов, примером указанного события после отчетной даты могут являться следующие факты:</w:t>
      </w:r>
    </w:p>
    <w:p w:rsidR="00E172E2" w:rsidRDefault="0048212B" w:rsidP="00E172E2">
      <w:pPr>
        <w:widowControl w:val="0"/>
        <w:numPr>
          <w:ilvl w:val="0"/>
          <w:numId w:val="15"/>
        </w:numPr>
        <w:shd w:val="clear" w:color="auto" w:fill="FFFFFF"/>
        <w:tabs>
          <w:tab w:val="clear" w:pos="1260"/>
          <w:tab w:val="num" w:pos="0"/>
          <w:tab w:val="left" w:pos="686"/>
        </w:tabs>
        <w:autoSpaceDE w:val="0"/>
        <w:autoSpaceDN w:val="0"/>
        <w:adjustRightInd w:val="0"/>
        <w:spacing w:line="360" w:lineRule="auto"/>
        <w:ind w:left="0" w:firstLine="709"/>
        <w:jc w:val="both"/>
        <w:rPr>
          <w:color w:val="000000"/>
          <w:sz w:val="28"/>
          <w:szCs w:val="28"/>
        </w:rPr>
      </w:pPr>
      <w:r w:rsidRPr="00E172E2">
        <w:rPr>
          <w:color w:val="000000"/>
          <w:sz w:val="28"/>
          <w:szCs w:val="28"/>
        </w:rPr>
        <w:t>проводимая организацией в общеустановленном порядке переоценка стоимости основных средств, результаты которой отражаются в бухгалтерской отчетности по состоянию на отчетную дату (п. 15 положения по бухгалтерскому учету «Учет основных средств» ПБУ 6/01, утвержденного приказом Минфина России от 30.03.01 г. № 26н);</w:t>
      </w:r>
    </w:p>
    <w:p w:rsidR="00E172E2" w:rsidRDefault="0048212B" w:rsidP="00E172E2">
      <w:pPr>
        <w:widowControl w:val="0"/>
        <w:numPr>
          <w:ilvl w:val="0"/>
          <w:numId w:val="15"/>
        </w:numPr>
        <w:shd w:val="clear" w:color="auto" w:fill="FFFFFF"/>
        <w:tabs>
          <w:tab w:val="clear" w:pos="1260"/>
          <w:tab w:val="num" w:pos="0"/>
          <w:tab w:val="left" w:pos="686"/>
        </w:tabs>
        <w:autoSpaceDE w:val="0"/>
        <w:autoSpaceDN w:val="0"/>
        <w:adjustRightInd w:val="0"/>
        <w:spacing w:line="360" w:lineRule="auto"/>
        <w:ind w:left="0" w:firstLine="709"/>
        <w:jc w:val="both"/>
        <w:rPr>
          <w:color w:val="000000"/>
          <w:sz w:val="28"/>
          <w:szCs w:val="28"/>
        </w:rPr>
      </w:pPr>
      <w:r w:rsidRPr="00E172E2">
        <w:rPr>
          <w:color w:val="000000"/>
          <w:sz w:val="28"/>
          <w:szCs w:val="28"/>
        </w:rPr>
        <w:t>существенное снижение стоимости материально-производственных запасов после отчетной даты: в бухгалтерском учете на конец года будет сформирован резерв под снижение стоимости материальных ценностей и отражен по состоянию на отчетную дату (п. 25 положения по бухгалтерскому учету «Учет материально-производственных запасов» ПБУ 5/01, утвержденного приказом Минфина России от 9.06.01 г. № 44н);</w:t>
      </w:r>
    </w:p>
    <w:p w:rsidR="00E172E2" w:rsidRDefault="0048212B" w:rsidP="00E172E2">
      <w:pPr>
        <w:widowControl w:val="0"/>
        <w:numPr>
          <w:ilvl w:val="0"/>
          <w:numId w:val="15"/>
        </w:numPr>
        <w:shd w:val="clear" w:color="auto" w:fill="FFFFFF"/>
        <w:tabs>
          <w:tab w:val="clear" w:pos="1260"/>
          <w:tab w:val="num" w:pos="0"/>
          <w:tab w:val="left" w:pos="686"/>
        </w:tabs>
        <w:autoSpaceDE w:val="0"/>
        <w:autoSpaceDN w:val="0"/>
        <w:adjustRightInd w:val="0"/>
        <w:spacing w:line="360" w:lineRule="auto"/>
        <w:ind w:left="0" w:firstLine="709"/>
        <w:jc w:val="both"/>
        <w:rPr>
          <w:color w:val="000000"/>
          <w:sz w:val="28"/>
          <w:szCs w:val="28"/>
        </w:rPr>
      </w:pPr>
      <w:r w:rsidRPr="00E172E2">
        <w:rPr>
          <w:color w:val="000000"/>
          <w:sz w:val="28"/>
          <w:szCs w:val="28"/>
        </w:rPr>
        <w:t>существенное снижение стоимости финансовых вложений, по которым не определяется их текущая рыночная стоимость, после отчетной даты: в бухгалтерском учете будет сформирован резерв под обесценение финансовых вложений и отражен по состоянию на отчетную дату (п. 38 положения по бухгалтерскому учету «Учет финансовых вложений» ПБУ 19/02, утвержденного приказом Минфина России от 10.12.02 г. № 126н).</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3. Получение информации о финансовом состоянии и результатах деятельности дочернего или зависимого общества (товарищества), ценные бумаги которого котируются на фондовых биржах, подтверждающей устойчивое и существенное снижение стоимости долгосрочных финансовых вложений организации.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4. 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Указанное событие после отчетной даты описано в примере 2 (при существенности оценки последствий событий после отчетной даты последние подлежали бы отражению в бухгалтерском учете и бухгалтерской отчетности ООО «Астра»).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5. Объявление дивидендов дочерними и зависимыми обществами за периоды, предшествовавшие отчетной дате.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b/>
          <w:bCs/>
          <w:color w:val="000000"/>
          <w:sz w:val="28"/>
          <w:szCs w:val="28"/>
        </w:rPr>
        <w:t xml:space="preserve">Пример </w:t>
      </w:r>
      <w:r w:rsidR="00AC1B90" w:rsidRPr="00E172E2">
        <w:rPr>
          <w:b/>
          <w:bCs/>
          <w:color w:val="000000"/>
          <w:sz w:val="28"/>
          <w:szCs w:val="28"/>
        </w:rPr>
        <w:t>2</w:t>
      </w:r>
      <w:r w:rsidRPr="00E172E2">
        <w:rPr>
          <w:color w:val="000000"/>
          <w:sz w:val="28"/>
          <w:szCs w:val="28"/>
        </w:rPr>
        <w:t>. В марте 200</w:t>
      </w:r>
      <w:r w:rsidR="00F67741" w:rsidRPr="00E172E2">
        <w:rPr>
          <w:color w:val="000000"/>
          <w:sz w:val="28"/>
          <w:szCs w:val="28"/>
        </w:rPr>
        <w:t>7</w:t>
      </w:r>
      <w:r w:rsidRPr="00E172E2">
        <w:rPr>
          <w:color w:val="000000"/>
          <w:sz w:val="28"/>
          <w:szCs w:val="28"/>
        </w:rPr>
        <w:t xml:space="preserve"> г. ОАО «Гвоздика», являющееся дочерней организацией ЗАО «Пион», провело годовое общее собрание акционеров и объявило о выплате дивидендов по итогам 200</w:t>
      </w:r>
      <w:r w:rsidR="00F67741" w:rsidRPr="00E172E2">
        <w:rPr>
          <w:color w:val="000000"/>
          <w:sz w:val="28"/>
          <w:szCs w:val="28"/>
        </w:rPr>
        <w:t>6</w:t>
      </w:r>
      <w:r w:rsidRPr="00E172E2">
        <w:rPr>
          <w:color w:val="000000"/>
          <w:sz w:val="28"/>
          <w:szCs w:val="28"/>
        </w:rPr>
        <w:t xml:space="preserve"> г. ЗАО «Пион» 20 марта получило выписку из протокола годового собрания акционеров, проведенного 15 марта 200</w:t>
      </w:r>
      <w:r w:rsidR="00F67741" w:rsidRPr="00E172E2">
        <w:rPr>
          <w:color w:val="000000"/>
          <w:sz w:val="28"/>
          <w:szCs w:val="28"/>
        </w:rPr>
        <w:t>7</w:t>
      </w:r>
      <w:r w:rsidRPr="00E172E2">
        <w:rPr>
          <w:color w:val="000000"/>
          <w:sz w:val="28"/>
          <w:szCs w:val="28"/>
        </w:rPr>
        <w:t xml:space="preserve"> г. Согласно выписке ОАО «Гвоздика» приняло решение направить чистую прибыль на выплату дивидендов в размере 100 руб. на одну акцию. Дивиденды получены ЗАО «Пион» 30 марта 200</w:t>
      </w:r>
      <w:r w:rsidR="00F67741" w:rsidRPr="00E172E2">
        <w:rPr>
          <w:color w:val="000000"/>
          <w:sz w:val="28"/>
          <w:szCs w:val="28"/>
        </w:rPr>
        <w:t>7</w:t>
      </w:r>
      <w:r w:rsidRPr="00E172E2">
        <w:rPr>
          <w:color w:val="000000"/>
          <w:sz w:val="28"/>
          <w:szCs w:val="28"/>
        </w:rPr>
        <w:t xml:space="preserve"> г. в сумме 9800 руб. Справочно: налог на доходы в виде дивидендов был рассчитан и удержан ОАО «Гвоздика» в соответствии со ст. 275 НК РФ, сумма налога оказалась меньше в связи с тем, что данное общество в свою очередь получало дивиденды от сторонней организации.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ЗАО «Пион» владеет 100 000 акциями ОАО «Гвоздика». ЗАО «Пион» не является субъектом малого предпринимательства. Бухгалтерская отчетность ЗАО «Пион» подписана 26 марта 200</w:t>
      </w:r>
      <w:r w:rsidR="00F67741" w:rsidRPr="00E172E2">
        <w:rPr>
          <w:color w:val="000000"/>
          <w:sz w:val="28"/>
          <w:szCs w:val="28"/>
        </w:rPr>
        <w:t>7</w:t>
      </w:r>
      <w:r w:rsidRPr="00E172E2">
        <w:rPr>
          <w:color w:val="000000"/>
          <w:sz w:val="28"/>
          <w:szCs w:val="28"/>
        </w:rPr>
        <w:t xml:space="preserve"> г. Указанное событие было квалифицировано как существенное.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Вопрос. Каким образом подлежит отражению указанное событие после отчетной даты в бухгалтерском учете и бухгалтерской отчетности (ограничимся Бухгалтерским балансом (форма № 1) и Отчетом о прибылях и убытках (форма № 2) ЗАО «Пион»?</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Решение. Денежная оценка последствий событий после отчетной даты составила 9100 тыс. руб. Расчет денежной оценки: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ЗАО «Пион» причитаются дивиденды в сумме 10 000 тыс. руб. (100 руб. х 100 000 акций).</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Сумма налога, удерживаемая налоговым агентом, по расчетам ЗАО «Пион» составила 900 тыс. руб. (10 тыс. руб. х 9%/100%). Поскольку на момент подписания бухгалтерской отчетности ЗАО не располагало информацией о величине удерживаемого налога у источника выплаты, сумма налога была исчислена с полной суммы причитающихся дивидендов.</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 xml:space="preserve">При расчете ЗАО «Пион» руководствовалось требованием осмотрительности (большая готовность к признанию в бухгалтерском учете расходов и обязательств, чем возможных доходов и активов, не допуская создания скрытых резервов), предусмотренным </w:t>
      </w:r>
      <w:r w:rsidR="00F14D94" w:rsidRPr="00E172E2">
        <w:rPr>
          <w:color w:val="000000"/>
          <w:sz w:val="28"/>
          <w:szCs w:val="28"/>
        </w:rPr>
        <w:t>положением по бухгалтерскому учету "Учетная политика организации" (ПБУ 1/2008)</w:t>
      </w:r>
      <w:r w:rsidR="00E172E2">
        <w:rPr>
          <w:color w:val="000000"/>
          <w:sz w:val="28"/>
          <w:szCs w:val="28"/>
        </w:rPr>
        <w:t xml:space="preserve"> </w:t>
      </w:r>
      <w:r w:rsidR="00F14D94" w:rsidRPr="00E172E2">
        <w:rPr>
          <w:color w:val="000000"/>
          <w:sz w:val="28"/>
          <w:szCs w:val="28"/>
        </w:rPr>
        <w:t>(утверждено приказом Минфина России от 06.10.2008 № 106н).</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3. Сумма дивидендов за вычетом налога составила 9100 тыс. руб. (10 000 тыс. руб. - 900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 бухгалтерском учете ЗАО «Пион» делаются следующие записи: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в 200</w:t>
      </w:r>
      <w:r w:rsidR="00F67741" w:rsidRPr="00E172E2">
        <w:rPr>
          <w:color w:val="000000"/>
          <w:sz w:val="28"/>
          <w:szCs w:val="28"/>
        </w:rPr>
        <w:t>6</w:t>
      </w:r>
      <w:r w:rsidRPr="00E172E2">
        <w:rPr>
          <w:color w:val="000000"/>
          <w:sz w:val="28"/>
          <w:szCs w:val="28"/>
        </w:rPr>
        <w:t xml:space="preserve"> г. заключительными оборотами: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76 «Расчеты с прочими дебиторами и кредиторами», К-т 91 «Прочие доходы и расходы» - 9100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99 «Прибыли и убытки», субсчет «Условный расход», К-т 68 «Расчеты по налогам и сборам», субсчет «Расчеты по налогу на прибыль» - 2184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налогу на прибыль», К-т 99 «Прибыли и убытки», субсчет «Постоянное налоговое обязательство (актив)» - 960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в марте 200</w:t>
      </w:r>
      <w:r w:rsidR="00F67741" w:rsidRPr="00E172E2">
        <w:rPr>
          <w:color w:val="000000"/>
          <w:sz w:val="28"/>
          <w:szCs w:val="28"/>
        </w:rPr>
        <w:t>7</w:t>
      </w:r>
      <w:r w:rsidRPr="00E172E2">
        <w:rPr>
          <w:color w:val="000000"/>
          <w:sz w:val="28"/>
          <w:szCs w:val="28"/>
        </w:rPr>
        <w:t xml:space="preserve"> г.:</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76 «Расчеты с прочими дебиторами и кредиторами», К-т 91 «Прочие доходы и расходы» - сторно 9100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76 «Расчеты с прочими дебиторами и кредиторами», К-т 91 «Прочие доходы и расходы» - 9100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3) в марте 2005 г. (после получения дивидендов):</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76 «Расчеты с прочими дебиторами и кредиторами», К-т 91 «Прочие доходы и расходы» - 700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51 «Расчетный счет», К-т 76 «Расчеты с прочими дебиторами и кредиторами» - 9800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Нижеприведенные записи могут быть отражены как корректирующие либо впоследствии при формировании записей по рассчитанным уже в 200</w:t>
      </w:r>
      <w:r w:rsidR="006C5070" w:rsidRPr="00E172E2">
        <w:rPr>
          <w:color w:val="000000"/>
          <w:sz w:val="28"/>
          <w:szCs w:val="28"/>
        </w:rPr>
        <w:t>7</w:t>
      </w:r>
      <w:r w:rsidRPr="00E172E2">
        <w:rPr>
          <w:color w:val="000000"/>
          <w:sz w:val="28"/>
          <w:szCs w:val="28"/>
        </w:rPr>
        <w:t xml:space="preserve"> г. разницам по ПБУ 18/02 «Учет расчетов по налогу на прибыль».</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99 «Прибыли и убытки», субсчет «Условный расход», К-т 68 «Расчеты по налогам и сборам», субсчет «Расчеты по налогу на прибыль» - 168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налогу на прибыль», К-т 99 «Прибыли и убытки», субсчет «Постоянное налоговое обязательство (актив)» - 168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6.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7.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b/>
          <w:bCs/>
          <w:color w:val="000000"/>
          <w:sz w:val="28"/>
          <w:szCs w:val="28"/>
        </w:rPr>
        <w:t xml:space="preserve">Пример </w:t>
      </w:r>
      <w:r w:rsidR="00AC1B90" w:rsidRPr="00E172E2">
        <w:rPr>
          <w:b/>
          <w:bCs/>
          <w:color w:val="000000"/>
          <w:sz w:val="28"/>
          <w:szCs w:val="28"/>
        </w:rPr>
        <w:t>3</w:t>
      </w:r>
      <w:r w:rsidRPr="00E172E2">
        <w:rPr>
          <w:color w:val="000000"/>
          <w:sz w:val="28"/>
          <w:szCs w:val="28"/>
        </w:rPr>
        <w:t>. В феврале 200</w:t>
      </w:r>
      <w:r w:rsidR="00F67741" w:rsidRPr="00E172E2">
        <w:rPr>
          <w:color w:val="000000"/>
          <w:sz w:val="28"/>
          <w:szCs w:val="28"/>
        </w:rPr>
        <w:t>7</w:t>
      </w:r>
      <w:r w:rsidRPr="00E172E2">
        <w:rPr>
          <w:color w:val="000000"/>
          <w:sz w:val="28"/>
          <w:szCs w:val="28"/>
        </w:rPr>
        <w:t xml:space="preserve"> г. при осуществлении сверки расчетов контрагентом (был возвращен акт сверки расчетов с уточненными данными) в бухгалтерском учете ООО «Мак» выявлена случайная ошибка, допущенная бухгалтерией при отражении в учетных регистрах в декабре 200</w:t>
      </w:r>
      <w:r w:rsidR="00F67741" w:rsidRPr="00E172E2">
        <w:rPr>
          <w:color w:val="000000"/>
          <w:sz w:val="28"/>
          <w:szCs w:val="28"/>
        </w:rPr>
        <w:t>6</w:t>
      </w:r>
      <w:r w:rsidRPr="00E172E2">
        <w:rPr>
          <w:color w:val="000000"/>
          <w:sz w:val="28"/>
          <w:szCs w:val="28"/>
        </w:rPr>
        <w:t xml:space="preserve"> г. расходов на охрану имущества. По данным первичных документов и акта сверки, сумма расходов составила 300 тыс. руб. (без учета НДС), бухгалтерией общества случайно отражена сумма 3000 тыс. руб. Расходы на охрану имущества, используемого в производстве, учитывались в составе расходов при формировании налоговой базы по налогу на прибыль.</w:t>
      </w:r>
    </w:p>
    <w:p w:rsidR="00E172E2" w:rsidRDefault="00F67741"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 марте 2007</w:t>
      </w:r>
      <w:r w:rsidR="0048212B" w:rsidRPr="00E172E2">
        <w:rPr>
          <w:color w:val="000000"/>
          <w:sz w:val="28"/>
          <w:szCs w:val="28"/>
        </w:rPr>
        <w:t xml:space="preserve"> г. в ходе анализа бартерных договоров, исполненных в 200</w:t>
      </w:r>
      <w:r w:rsidRPr="00E172E2">
        <w:rPr>
          <w:color w:val="000000"/>
          <w:sz w:val="28"/>
          <w:szCs w:val="28"/>
        </w:rPr>
        <w:t>6</w:t>
      </w:r>
      <w:r w:rsidR="0048212B" w:rsidRPr="00E172E2">
        <w:rPr>
          <w:color w:val="000000"/>
          <w:sz w:val="28"/>
          <w:szCs w:val="28"/>
        </w:rPr>
        <w:t xml:space="preserve"> г. (объем бартерных операций значителен) ООО «Мак», выявлен факт необоснованного принятия к вычету суммы НДС по товару, полученному по бартерным договорам.</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Суммы НДС по полученным товарам были приняты к вычету исходя из их стоимости, указанной в первичных учетных документах и счетах-фактурах. В то же время ООО «Мак» не приняло во внимание требование п. 2 ст. 172 НК РФ, согласно которому при использовании в расчетах собственного имущества суммы НДС, принимаемые к вычету, исчисляются исходя из балансовой стоимости указанного имущества, переданного в счет оплаты. Балансовая стоимость готовой продукции, переданной в качестве оплаты по бартерным договорам, оказалась ниже стоимости, определенной в договорах бартера. В результате допущенного нарушения норм действующего налогового законодательства ООО «Мак» излишне приняло к вычету НДС в сумме 6000 тыс. руб. ООО «Мак» не является субъектом малого предпринимательства.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Бухгалтерская отчетность ООО «Мак» на момент обнаружения ошибки в бухгалтерском учете и нарушения законодательства еще не подписана. Данные события квалифицированы как существенные.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Вопрос. Каким образом подлежит отражению указанное событие после отчетной даты в бухгалтерском учете и бухгалтерской отчетности (ограничимся Бухгалтерским балансом (форма № 1) и Отчетом о прибылях и убытках (форма № 2) ООО «Мак»?</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Решение. Денежная оценка последствий событий после отчетной даты составила 2700 тыс. руб. и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 бухгалтерском учете ООО «Мак» делаются следующие записи: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в 200</w:t>
      </w:r>
      <w:r w:rsidR="00F67741" w:rsidRPr="00E172E2">
        <w:rPr>
          <w:color w:val="000000"/>
          <w:sz w:val="28"/>
          <w:szCs w:val="28"/>
        </w:rPr>
        <w:t>6</w:t>
      </w:r>
      <w:r w:rsidRPr="00E172E2">
        <w:rPr>
          <w:color w:val="000000"/>
          <w:sz w:val="28"/>
          <w:szCs w:val="28"/>
        </w:rPr>
        <w:t xml:space="preserve"> г. заключительными оборотами: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по факту обнаружения случайной ошибки в бухгалтерском учете: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26 «Общехозяйственные расходы», К-т 60 «Расчеты с поставщиками и подрядчиками» - сторно 2700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99 «Прибыли и убытки», субсчет «Условный расход», К-т 68 «Расчеты по налогам и сборам», субсчет «Расчеты по налогу на прибыль» - 648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по факту выявления нарушения налогового законодательства: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НДС»,</w:t>
      </w:r>
      <w:r w:rsidR="00E172E2">
        <w:rPr>
          <w:color w:val="000000"/>
          <w:sz w:val="28"/>
          <w:szCs w:val="28"/>
        </w:rPr>
        <w:t xml:space="preserve"> </w:t>
      </w:r>
      <w:r w:rsidRPr="00E172E2">
        <w:rPr>
          <w:color w:val="000000"/>
          <w:sz w:val="28"/>
          <w:szCs w:val="28"/>
        </w:rPr>
        <w:t>К-т 19 «НДС по приобретенным ценностям» - сторно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19 «НДС по приобретенным ценностям» - 6000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99 «Прибыли и убытки», субсчет «Условный расход», К-т 68 «Расчеты по налогам и сборам», субсчет «Расчеты по налогу на прибыль» - сторно 1440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99 «Прибыли и убытки», субсчет «Постоянные налоговые обязательства», К-т 68 «Расчеты по налогам и сборам», субсчет «Расчеты по налогу на прибыль» - 1440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в феврале 200</w:t>
      </w:r>
      <w:r w:rsidR="00F67741" w:rsidRPr="00E172E2">
        <w:rPr>
          <w:color w:val="000000"/>
          <w:sz w:val="28"/>
          <w:szCs w:val="28"/>
        </w:rPr>
        <w:t>7</w:t>
      </w:r>
      <w:r w:rsidRPr="00E172E2">
        <w:rPr>
          <w:color w:val="000000"/>
          <w:sz w:val="28"/>
          <w:szCs w:val="28"/>
        </w:rPr>
        <w:t xml:space="preserve"> г.:</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26 «Общехозяйственные расходы», К-т 60 «Расчеты с поставщиками и подрядчиками» - 2700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26 «Общехозяйственные расходы», К-т 60 «Расчеты с поставщиками и подрядчиками» - сторно 2700 тыс. руб.;</w:t>
      </w:r>
    </w:p>
    <w:p w:rsidR="00E172E2" w:rsidRDefault="00F67741"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3) в марте 2007</w:t>
      </w:r>
      <w:r w:rsidR="0048212B" w:rsidRPr="00E172E2">
        <w:rPr>
          <w:color w:val="000000"/>
          <w:sz w:val="28"/>
          <w:szCs w:val="28"/>
        </w:rPr>
        <w:t xml:space="preserve"> г.:</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НДС»,</w:t>
      </w:r>
      <w:r w:rsidR="00E172E2">
        <w:rPr>
          <w:color w:val="000000"/>
          <w:sz w:val="28"/>
          <w:szCs w:val="28"/>
        </w:rPr>
        <w:t xml:space="preserve"> </w:t>
      </w:r>
      <w:r w:rsidRPr="00E172E2">
        <w:rPr>
          <w:color w:val="000000"/>
          <w:sz w:val="28"/>
          <w:szCs w:val="28"/>
        </w:rPr>
        <w:t>К-т 19 «НДС по приобретенным ценностям» - 6000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68 «Расчеты по налогам и сборам», субсчет «Расчеты по НДС»,</w:t>
      </w:r>
      <w:r w:rsidR="00E172E2">
        <w:rPr>
          <w:color w:val="000000"/>
          <w:sz w:val="28"/>
          <w:szCs w:val="28"/>
        </w:rPr>
        <w:t xml:space="preserve"> </w:t>
      </w:r>
      <w:r w:rsidRPr="00E172E2">
        <w:rPr>
          <w:color w:val="000000"/>
          <w:sz w:val="28"/>
          <w:szCs w:val="28"/>
        </w:rPr>
        <w:t>К-т 19 «НДС по приобретенным ценностям» - сторно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19 «НДС по приобретенным ценностям» - сторно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Д-т 91 «Прочие доходы и расходы», К-т 19 «НДС по приобретенным ценностям» - 6000 тыс. руб.</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События второго вида, влияющие на непрерывность деятельности организации в целом или какой-либо ее части, и их последствия</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Прекращение</w:t>
      </w:r>
      <w:r w:rsidR="006C5070" w:rsidRPr="00E172E2">
        <w:rPr>
          <w:color w:val="000000"/>
          <w:sz w:val="28"/>
          <w:szCs w:val="28"/>
        </w:rPr>
        <w:t xml:space="preserve"> </w:t>
      </w:r>
      <w:r w:rsidRPr="00E172E2">
        <w:rPr>
          <w:color w:val="000000"/>
          <w:sz w:val="28"/>
          <w:szCs w:val="28"/>
        </w:rPr>
        <w:t>существенной части основной деятельности организации, если это нельзя было предвидеть по состоянию на отчетную дату.</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При наступлении указанного события в период между отчетной датой и датой подписания бухгалтерской отчетности необходимо отразить его последствия в бухгалтерском учете и бухгалтерской отчетности. Итоговые записи затронут активы и пассивы, доходы и расходы, которые были связаны с осуществлением прекращаемой деятельности.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Порядок представления информации по прекращаемой деятельности в бухгалтерской отчетности установлен положением по бухгалтерскому учету «Информация по прекращаемой деятельности» ПБУ 16/02, утвержденным приказом Минфина России от 2.07.02 г. № 66н. В качестве альтернативного варианта информация по прекращаемой деятельности подлежит раскрытию согласно ПБУ 16/02 в пояснительной записке к бухгалтерскому балансу.</w:t>
      </w:r>
    </w:p>
    <w:p w:rsidR="00E172E2" w:rsidRPr="00E172E2" w:rsidRDefault="0048212B" w:rsidP="00E172E2">
      <w:pPr>
        <w:widowControl w:val="0"/>
        <w:shd w:val="clear" w:color="auto" w:fill="FFFFFF"/>
        <w:tabs>
          <w:tab w:val="left" w:pos="686"/>
        </w:tabs>
        <w:autoSpaceDE w:val="0"/>
        <w:autoSpaceDN w:val="0"/>
        <w:adjustRightInd w:val="0"/>
        <w:spacing w:line="360" w:lineRule="auto"/>
        <w:ind w:firstLine="709"/>
        <w:jc w:val="both"/>
        <w:rPr>
          <w:b/>
          <w:bCs/>
          <w:color w:val="000000"/>
          <w:sz w:val="28"/>
          <w:szCs w:val="28"/>
        </w:rPr>
      </w:pPr>
      <w:r w:rsidRPr="00E172E2">
        <w:rPr>
          <w:b/>
          <w:bCs/>
          <w:color w:val="000000"/>
          <w:sz w:val="28"/>
          <w:szCs w:val="28"/>
        </w:rPr>
        <w:t>События второго вида, не влияющие на непрерывность деятельности организации в целом или какой-либо ее части, и их последствия</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1. Принятие решения о реорганизации организации.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b/>
          <w:bCs/>
          <w:color w:val="000000"/>
          <w:sz w:val="28"/>
          <w:szCs w:val="28"/>
        </w:rPr>
        <w:t xml:space="preserve">Пример </w:t>
      </w:r>
      <w:r w:rsidR="006C5070" w:rsidRPr="00E172E2">
        <w:rPr>
          <w:b/>
          <w:bCs/>
          <w:color w:val="000000"/>
          <w:sz w:val="28"/>
          <w:szCs w:val="28"/>
        </w:rPr>
        <w:t>4</w:t>
      </w:r>
      <w:r w:rsidRPr="00E172E2">
        <w:rPr>
          <w:color w:val="000000"/>
          <w:sz w:val="28"/>
          <w:szCs w:val="28"/>
        </w:rPr>
        <w:t>. В январе 200</w:t>
      </w:r>
      <w:r w:rsidR="00F67741" w:rsidRPr="00E172E2">
        <w:rPr>
          <w:color w:val="000000"/>
          <w:sz w:val="28"/>
          <w:szCs w:val="28"/>
        </w:rPr>
        <w:t>7</w:t>
      </w:r>
      <w:r w:rsidRPr="00E172E2">
        <w:rPr>
          <w:color w:val="000000"/>
          <w:sz w:val="28"/>
          <w:szCs w:val="28"/>
        </w:rPr>
        <w:t xml:space="preserve"> г. ООО «Магнолия» было преобразовано в ЗАО «Магнолия». На момент принятия решения о реорганизации и регистрации изменений в учредительные документы бухгалтерская отчетность ООО «Магнолия» не подписана.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Вопрос. Каким образом подлежит отражению указанное событие после отчетной даты в бухгалтерской отчетности ООО «Магнолия»?</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Решение. В пояснительной записке к годовой бухгалтерской отчетности должна быть раскрыта информация примерно следующего содержания: «В январе 200</w:t>
      </w:r>
      <w:r w:rsidR="00F67741" w:rsidRPr="00E172E2">
        <w:rPr>
          <w:color w:val="000000"/>
          <w:sz w:val="28"/>
          <w:szCs w:val="28"/>
        </w:rPr>
        <w:t>7</w:t>
      </w:r>
      <w:r w:rsidRPr="00E172E2">
        <w:rPr>
          <w:color w:val="000000"/>
          <w:sz w:val="28"/>
          <w:szCs w:val="28"/>
        </w:rPr>
        <w:t xml:space="preserve"> года общество было преобразовано в ЗАО «Магнолия». Регистрация ЗАО «Магнолия» произведена (можно указать дату и реквизиты свидетельства)».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2. Приобретение предприятия как имущественного комплекса.</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Указанный факт отражается в бухгалтерской отчетности аналогично предыдущему в пояснительной записке с указанием денежной оценки и необходимой информации.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3. Реконструкция или планируемая реконструкция.</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4. Принятие решения об эмиссии акций и иных ценных бумаг.</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При наступлении указанного события в пояснительной записке к бухгалтерскому балансу должна быть отражена вся необходимая информация (со ссылкой на документы: решение о выпуске ценных бумаг, отчет эмитента о выпуске ценных бумаг и т.п.): дата эмиссии, виды эмиссионных ценных бумаг, их количество и номинал, условия и порядок размещения, объем привлеченных денежных средств, связана ли эмиссия с увеличением уставного капитала (акции), связана ли эмиссия с заимствованиями (облигации) и т.п.</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5. Крупная сделка, связанная с приобретением и выбытием основных средств и финансовых вложений.</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Совершенная крупная сделка в любом случае подлежит раскрытию в пояснительной записке, поскольку является существенным событием после отчетной даты и, как правило, его последствия будут иметь денежную оценку.</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6. Существенное снижение стоимости основных средств, если это снижение имело место после отчетной даты.</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7. Непрогнозируемое изменение курсов иностранных валют после отчетной даты.</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8. Объявление годовых дивидендов по результатам деятельности акционерного общества за отчетный год.</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На практике могут происходить события после отчетной даты, не поименованные в Перечне фактов хозяйственной деятельности, которые могут быть признаны событиями после отчетной даты (приложение к ПБУ 7/98). Несмотря на данное обстоятельство, любой факт хозяйственной деятельности, удовлетворяющий определению события после отчетной даты, последствия которого являются существенными, подлежит отражению в бухгалтерской отчетности организации.</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b/>
          <w:bCs/>
          <w:color w:val="000000"/>
          <w:sz w:val="28"/>
          <w:szCs w:val="28"/>
        </w:rPr>
        <w:t xml:space="preserve">Пример </w:t>
      </w:r>
      <w:r w:rsidR="006C5070" w:rsidRPr="00E172E2">
        <w:rPr>
          <w:color w:val="000000"/>
          <w:sz w:val="28"/>
          <w:szCs w:val="28"/>
        </w:rPr>
        <w:t>5</w:t>
      </w:r>
      <w:r w:rsidRPr="00E172E2">
        <w:rPr>
          <w:color w:val="000000"/>
          <w:sz w:val="28"/>
          <w:szCs w:val="28"/>
        </w:rPr>
        <w:t>. Уставный капитал ООО «Лилия» по состоянию на 31 декабря 200</w:t>
      </w:r>
      <w:r w:rsidR="00F67741" w:rsidRPr="00E172E2">
        <w:rPr>
          <w:color w:val="000000"/>
          <w:sz w:val="28"/>
          <w:szCs w:val="28"/>
        </w:rPr>
        <w:t>6</w:t>
      </w:r>
      <w:r w:rsidRPr="00E172E2">
        <w:rPr>
          <w:color w:val="000000"/>
          <w:sz w:val="28"/>
          <w:szCs w:val="28"/>
        </w:rPr>
        <w:t xml:space="preserve"> г. соста</w:t>
      </w:r>
      <w:r w:rsidR="00F67741" w:rsidRPr="00E172E2">
        <w:rPr>
          <w:color w:val="000000"/>
          <w:sz w:val="28"/>
          <w:szCs w:val="28"/>
        </w:rPr>
        <w:t>влял 10 тыс. руб. В феврале 2007</w:t>
      </w:r>
      <w:r w:rsidRPr="00E172E2">
        <w:rPr>
          <w:color w:val="000000"/>
          <w:sz w:val="28"/>
          <w:szCs w:val="28"/>
        </w:rPr>
        <w:t xml:space="preserve"> г. его учредители приняли решение об увеличении уставного капитала до 1000 тыс. руб. путем внесения денежных средств. На момент принятия решения об увеличении уставного капитала и регистрации изменений в учредительные документы бухгалтерская отчетность общества не подписана. Указанное событие после отчетной даты квалифицировано им как существенное.</w:t>
      </w:r>
    </w:p>
    <w:p w:rsid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Вопрос. Каким образом подлежит отражению указанное событие после отчетной даты в бухгалтерской отчетности ООО «Лилия»?</w:t>
      </w:r>
    </w:p>
    <w:p w:rsidR="00591F98" w:rsidRPr="00E172E2" w:rsidRDefault="0048212B" w:rsidP="00E172E2">
      <w:pPr>
        <w:widowControl w:val="0"/>
        <w:shd w:val="clear" w:color="auto" w:fill="FFFFFF"/>
        <w:tabs>
          <w:tab w:val="left" w:pos="686"/>
        </w:tabs>
        <w:autoSpaceDE w:val="0"/>
        <w:autoSpaceDN w:val="0"/>
        <w:adjustRightInd w:val="0"/>
        <w:spacing w:line="360" w:lineRule="auto"/>
        <w:ind w:firstLine="709"/>
        <w:jc w:val="both"/>
        <w:rPr>
          <w:color w:val="000000"/>
          <w:sz w:val="28"/>
          <w:szCs w:val="28"/>
        </w:rPr>
      </w:pPr>
      <w:r w:rsidRPr="00E172E2">
        <w:rPr>
          <w:color w:val="000000"/>
          <w:sz w:val="28"/>
          <w:szCs w:val="28"/>
        </w:rPr>
        <w:t>Решение. В пояснительной записке к годовой бухгалтерской отчетности должна быть раскрыта информация примерно следующего содержания: «В феврале 200</w:t>
      </w:r>
      <w:r w:rsidR="00F67741" w:rsidRPr="00E172E2">
        <w:rPr>
          <w:color w:val="000000"/>
          <w:sz w:val="28"/>
          <w:szCs w:val="28"/>
        </w:rPr>
        <w:t>7</w:t>
      </w:r>
      <w:r w:rsidRPr="00E172E2">
        <w:rPr>
          <w:color w:val="000000"/>
          <w:sz w:val="28"/>
          <w:szCs w:val="28"/>
        </w:rPr>
        <w:t xml:space="preserve"> года уставный капитал общества увеличен до 1000 тыс. руб. путем внесения дополнительных вкладов денежными средствами. Регистрация изменений в учредительные документы произведена (можно указать дату и реквизиты свидетельства)».</w:t>
      </w:r>
    </w:p>
    <w:p w:rsidR="00591F98" w:rsidRPr="00E172E2" w:rsidRDefault="00591F98" w:rsidP="00E172E2">
      <w:pPr>
        <w:shd w:val="clear" w:color="auto" w:fill="FFFFFF"/>
        <w:tabs>
          <w:tab w:val="left" w:pos="6466"/>
        </w:tabs>
        <w:spacing w:line="360" w:lineRule="auto"/>
        <w:ind w:firstLine="709"/>
        <w:jc w:val="both"/>
        <w:rPr>
          <w:color w:val="000000"/>
          <w:sz w:val="28"/>
          <w:szCs w:val="28"/>
        </w:rPr>
      </w:pPr>
      <w:r w:rsidRPr="00E172E2">
        <w:rPr>
          <w:color w:val="000000"/>
          <w:sz w:val="28"/>
          <w:szCs w:val="28"/>
        </w:rPr>
        <w:t>Если возможность оценить последствия события после отчетной</w:t>
      </w:r>
      <w:r w:rsidR="00E172E2">
        <w:rPr>
          <w:color w:val="000000"/>
          <w:sz w:val="28"/>
          <w:szCs w:val="28"/>
        </w:rPr>
        <w:t xml:space="preserve"> </w:t>
      </w:r>
      <w:r w:rsidRPr="00E172E2">
        <w:rPr>
          <w:color w:val="000000"/>
          <w:sz w:val="28"/>
          <w:szCs w:val="28"/>
        </w:rPr>
        <w:t>даты в денежном выражении отсутствует, то организация должна указать на это.</w:t>
      </w:r>
    </w:p>
    <w:p w:rsidR="00591F98" w:rsidRPr="00E172E2" w:rsidRDefault="00591F98" w:rsidP="00E172E2">
      <w:pPr>
        <w:shd w:val="clear" w:color="auto" w:fill="FFFFFF"/>
        <w:tabs>
          <w:tab w:val="left" w:pos="6446"/>
        </w:tabs>
        <w:spacing w:line="360" w:lineRule="auto"/>
        <w:ind w:firstLine="709"/>
        <w:jc w:val="both"/>
        <w:rPr>
          <w:color w:val="000000"/>
          <w:sz w:val="28"/>
          <w:szCs w:val="28"/>
        </w:rPr>
      </w:pPr>
      <w:r w:rsidRPr="00E172E2">
        <w:rPr>
          <w:color w:val="000000"/>
          <w:sz w:val="28"/>
          <w:szCs w:val="28"/>
        </w:rPr>
        <w:t>В случае если в период между датой подписания бухгалтерской отчетности и датой ее утверждения в установленном порядке (например, датой утверждения годового отчета собранием акционеров)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 данная бухгалтерская отчетность.</w:t>
      </w:r>
    </w:p>
    <w:p w:rsidR="00E441AE" w:rsidRPr="00E172E2" w:rsidRDefault="00E441AE" w:rsidP="00E172E2">
      <w:pPr>
        <w:spacing w:line="360" w:lineRule="auto"/>
        <w:ind w:firstLine="709"/>
        <w:jc w:val="both"/>
        <w:rPr>
          <w:color w:val="000000"/>
          <w:sz w:val="28"/>
          <w:szCs w:val="28"/>
        </w:rPr>
      </w:pPr>
    </w:p>
    <w:p w:rsidR="00827C8A" w:rsidRPr="00E172E2" w:rsidRDefault="00E172E2" w:rsidP="00E172E2">
      <w:pPr>
        <w:spacing w:line="360" w:lineRule="auto"/>
        <w:ind w:firstLine="709"/>
        <w:jc w:val="both"/>
        <w:rPr>
          <w:b/>
          <w:bCs/>
          <w:color w:val="000000"/>
          <w:sz w:val="28"/>
          <w:szCs w:val="28"/>
        </w:rPr>
      </w:pPr>
      <w:r>
        <w:rPr>
          <w:color w:val="000000"/>
          <w:sz w:val="28"/>
          <w:szCs w:val="28"/>
        </w:rPr>
        <w:br w:type="page"/>
      </w:r>
      <w:r w:rsidR="00827C8A" w:rsidRPr="00E172E2">
        <w:rPr>
          <w:b/>
          <w:bCs/>
          <w:color w:val="000000"/>
          <w:sz w:val="28"/>
          <w:szCs w:val="28"/>
        </w:rPr>
        <w:t>Список использованной литературы</w:t>
      </w:r>
    </w:p>
    <w:p w:rsidR="00E172E2" w:rsidRPr="00E172E2" w:rsidRDefault="00E172E2" w:rsidP="00E172E2">
      <w:pPr>
        <w:spacing w:line="360" w:lineRule="auto"/>
        <w:ind w:firstLine="709"/>
        <w:jc w:val="both"/>
        <w:rPr>
          <w:color w:val="000000"/>
          <w:sz w:val="28"/>
          <w:szCs w:val="28"/>
        </w:rPr>
      </w:pPr>
    </w:p>
    <w:p w:rsidR="00827C8A" w:rsidRPr="00E172E2" w:rsidRDefault="00827C8A" w:rsidP="00E172E2">
      <w:pPr>
        <w:shd w:val="clear" w:color="auto" w:fill="FFFFFF"/>
        <w:spacing w:line="360" w:lineRule="auto"/>
        <w:rPr>
          <w:color w:val="000000"/>
          <w:sz w:val="28"/>
          <w:szCs w:val="28"/>
        </w:rPr>
      </w:pPr>
      <w:r w:rsidRPr="00E172E2">
        <w:rPr>
          <w:color w:val="000000"/>
          <w:sz w:val="28"/>
          <w:szCs w:val="28"/>
        </w:rPr>
        <w:t>1. Галкина Е.В. Бухгалтерский учет и аудит: учебное пособие / Е.В. Галкина. – М.: КНОРУС, 2009 – 592 с.</w:t>
      </w:r>
    </w:p>
    <w:p w:rsidR="00827C8A" w:rsidRPr="00E172E2" w:rsidRDefault="00827C8A" w:rsidP="00E172E2">
      <w:pPr>
        <w:spacing w:line="360" w:lineRule="auto"/>
        <w:rPr>
          <w:color w:val="000000"/>
          <w:sz w:val="28"/>
          <w:szCs w:val="28"/>
        </w:rPr>
      </w:pPr>
      <w:r w:rsidRPr="00E172E2">
        <w:rPr>
          <w:color w:val="000000"/>
          <w:sz w:val="28"/>
          <w:szCs w:val="28"/>
        </w:rPr>
        <w:t>2. Положение по бухгалтерскому учету «Информация по прекращаемой деятельности» ПБУ 16/02, утвержденным приказом Минфина России от 2.07.02 г. № 66н.</w:t>
      </w:r>
    </w:p>
    <w:p w:rsidR="00827C8A" w:rsidRPr="00E172E2" w:rsidRDefault="00827C8A" w:rsidP="00E172E2">
      <w:pPr>
        <w:shd w:val="clear" w:color="auto" w:fill="FFFFFF"/>
        <w:spacing w:line="360" w:lineRule="auto"/>
        <w:rPr>
          <w:color w:val="000000"/>
          <w:sz w:val="28"/>
          <w:szCs w:val="28"/>
        </w:rPr>
      </w:pPr>
      <w:r w:rsidRPr="00E172E2">
        <w:rPr>
          <w:color w:val="000000"/>
          <w:sz w:val="28"/>
          <w:szCs w:val="28"/>
        </w:rPr>
        <w:t>3. Положение по бухгалтерскому учету «События после отчетной даты» ПБУ 7/98 (утвержденным приказом Минфина России от 25 ноября 1998 г. № 56н, в ред. на 20 декабря 2007 г</w:t>
      </w:r>
      <w:r w:rsidR="006606BC" w:rsidRPr="00E172E2">
        <w:rPr>
          <w:color w:val="000000"/>
          <w:sz w:val="28"/>
          <w:szCs w:val="28"/>
        </w:rPr>
        <w:t>.</w:t>
      </w:r>
      <w:r w:rsidRPr="00E172E2">
        <w:rPr>
          <w:color w:val="000000"/>
          <w:sz w:val="28"/>
          <w:szCs w:val="28"/>
        </w:rPr>
        <w:t>)</w:t>
      </w:r>
    </w:p>
    <w:p w:rsidR="004818AE" w:rsidRPr="00E172E2" w:rsidRDefault="004818AE" w:rsidP="00E172E2">
      <w:pPr>
        <w:shd w:val="clear" w:color="auto" w:fill="FFFFFF"/>
        <w:spacing w:line="360" w:lineRule="auto"/>
        <w:rPr>
          <w:color w:val="000000"/>
          <w:sz w:val="28"/>
          <w:szCs w:val="28"/>
        </w:rPr>
      </w:pPr>
      <w:r w:rsidRPr="00E172E2">
        <w:rPr>
          <w:color w:val="000000"/>
          <w:sz w:val="28"/>
          <w:szCs w:val="28"/>
        </w:rPr>
        <w:t>4. Положение по бухгалтерскому учету «Учет основных средств» ПБУ 6/01, утвержденного приказом Минфина России от 30.03.01 г. № 26н</w:t>
      </w:r>
    </w:p>
    <w:p w:rsidR="006606BC" w:rsidRPr="00E172E2" w:rsidRDefault="004818AE" w:rsidP="00E172E2">
      <w:pPr>
        <w:shd w:val="clear" w:color="auto" w:fill="FFFFFF"/>
        <w:spacing w:line="360" w:lineRule="auto"/>
        <w:rPr>
          <w:color w:val="000000"/>
          <w:sz w:val="28"/>
          <w:szCs w:val="28"/>
        </w:rPr>
      </w:pPr>
      <w:r w:rsidRPr="00E172E2">
        <w:rPr>
          <w:color w:val="000000"/>
          <w:sz w:val="28"/>
          <w:szCs w:val="28"/>
        </w:rPr>
        <w:t>5</w:t>
      </w:r>
      <w:r w:rsidR="006606BC" w:rsidRPr="00E172E2">
        <w:rPr>
          <w:color w:val="000000"/>
          <w:sz w:val="28"/>
          <w:szCs w:val="28"/>
        </w:rPr>
        <w:t>. Положение по бухгалтерскому учету 18/02 "Учет расчетов по налогу на прибыль", утвержденного приказом Минфина России от 19.11.2002 № 114н</w:t>
      </w:r>
      <w:r w:rsidR="00F14D94" w:rsidRPr="00E172E2">
        <w:rPr>
          <w:color w:val="000000"/>
          <w:sz w:val="28"/>
          <w:szCs w:val="28"/>
        </w:rPr>
        <w:t>.</w:t>
      </w:r>
    </w:p>
    <w:p w:rsidR="00F14D94" w:rsidRPr="00E172E2" w:rsidRDefault="00F14D94" w:rsidP="00E172E2">
      <w:pPr>
        <w:shd w:val="clear" w:color="auto" w:fill="FFFFFF"/>
        <w:spacing w:line="360" w:lineRule="auto"/>
        <w:rPr>
          <w:color w:val="000000"/>
          <w:sz w:val="28"/>
          <w:szCs w:val="28"/>
        </w:rPr>
      </w:pPr>
      <w:r w:rsidRPr="00E172E2">
        <w:rPr>
          <w:color w:val="000000"/>
          <w:sz w:val="28"/>
          <w:szCs w:val="28"/>
        </w:rPr>
        <w:t>6. Положение по бухгалтерскому учету "Учетная политика организации" (ПБУ 1/2008) (утверждено приказом Минфина России от 06.10.2008 № 106н).</w:t>
      </w:r>
    </w:p>
    <w:p w:rsidR="00827C8A" w:rsidRPr="00E172E2" w:rsidRDefault="004818AE" w:rsidP="00E172E2">
      <w:pPr>
        <w:spacing w:line="360" w:lineRule="auto"/>
        <w:rPr>
          <w:color w:val="000000"/>
          <w:sz w:val="28"/>
          <w:szCs w:val="28"/>
        </w:rPr>
      </w:pPr>
      <w:r w:rsidRPr="00E172E2">
        <w:rPr>
          <w:color w:val="000000"/>
          <w:sz w:val="28"/>
          <w:szCs w:val="28"/>
        </w:rPr>
        <w:t>6</w:t>
      </w:r>
      <w:r w:rsidR="00827C8A" w:rsidRPr="00E172E2">
        <w:rPr>
          <w:color w:val="000000"/>
          <w:sz w:val="28"/>
          <w:szCs w:val="28"/>
        </w:rPr>
        <w:t>. www.buh.ru</w:t>
      </w:r>
      <w:bookmarkStart w:id="0" w:name="_GoBack"/>
      <w:bookmarkEnd w:id="0"/>
    </w:p>
    <w:sectPr w:rsidR="00827C8A" w:rsidRPr="00E172E2" w:rsidSect="00E172E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CF" w:rsidRDefault="00706ECF">
      <w:r>
        <w:separator/>
      </w:r>
    </w:p>
  </w:endnote>
  <w:endnote w:type="continuationSeparator" w:id="0">
    <w:p w:rsidR="00706ECF" w:rsidRDefault="007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CF" w:rsidRDefault="00706ECF">
      <w:r>
        <w:separator/>
      </w:r>
    </w:p>
  </w:footnote>
  <w:footnote w:type="continuationSeparator" w:id="0">
    <w:p w:rsidR="00706ECF" w:rsidRDefault="0070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2D" w:rsidRDefault="008706CD" w:rsidP="000C233B">
    <w:pPr>
      <w:pStyle w:val="a4"/>
      <w:framePr w:wrap="auto" w:vAnchor="text" w:hAnchor="margin" w:xAlign="right" w:y="1"/>
      <w:rPr>
        <w:rStyle w:val="a6"/>
      </w:rPr>
    </w:pPr>
    <w:r>
      <w:rPr>
        <w:rStyle w:val="a6"/>
        <w:noProof/>
      </w:rPr>
      <w:t>2</w:t>
    </w:r>
  </w:p>
  <w:p w:rsidR="00B84D2D" w:rsidRDefault="00B84D2D" w:rsidP="00E441A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20A0B0"/>
    <w:lvl w:ilvl="0">
      <w:numFmt w:val="decimal"/>
      <w:lvlText w:val="*"/>
      <w:lvlJc w:val="left"/>
    </w:lvl>
  </w:abstractNum>
  <w:abstractNum w:abstractNumId="1">
    <w:nsid w:val="093B50BB"/>
    <w:multiLevelType w:val="hybridMultilevel"/>
    <w:tmpl w:val="93F007D2"/>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2D239EA"/>
    <w:multiLevelType w:val="hybridMultilevel"/>
    <w:tmpl w:val="2582440C"/>
    <w:lvl w:ilvl="0" w:tplc="F7DC3F0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E70B1F"/>
    <w:multiLevelType w:val="hybridMultilevel"/>
    <w:tmpl w:val="BB4E15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C7266B"/>
    <w:multiLevelType w:val="singleLevel"/>
    <w:tmpl w:val="26085828"/>
    <w:lvl w:ilvl="0">
      <w:start w:val="1"/>
      <w:numFmt w:val="decimal"/>
      <w:lvlText w:val="%1)"/>
      <w:legacy w:legacy="1" w:legacySpace="0" w:legacyIndent="240"/>
      <w:lvlJc w:val="left"/>
      <w:rPr>
        <w:rFonts w:ascii="Times New Roman" w:hAnsi="Times New Roman" w:cs="Times New Roman" w:hint="default"/>
      </w:rPr>
    </w:lvl>
  </w:abstractNum>
  <w:abstractNum w:abstractNumId="5">
    <w:nsid w:val="23E0120F"/>
    <w:multiLevelType w:val="singleLevel"/>
    <w:tmpl w:val="0F3A66B6"/>
    <w:lvl w:ilvl="0">
      <w:start w:val="4"/>
      <w:numFmt w:val="decimal"/>
      <w:lvlText w:val="%1)"/>
      <w:legacy w:legacy="1" w:legacySpace="0" w:legacyIndent="221"/>
      <w:lvlJc w:val="left"/>
      <w:rPr>
        <w:rFonts w:ascii="Times New Roman" w:hAnsi="Times New Roman" w:cs="Times New Roman" w:hint="default"/>
      </w:rPr>
    </w:lvl>
  </w:abstractNum>
  <w:abstractNum w:abstractNumId="6">
    <w:nsid w:val="303C2E3D"/>
    <w:multiLevelType w:val="singleLevel"/>
    <w:tmpl w:val="09E2680E"/>
    <w:lvl w:ilvl="0">
      <w:start w:val="1"/>
      <w:numFmt w:val="decimal"/>
      <w:lvlText w:val="%1)"/>
      <w:legacy w:legacy="1" w:legacySpace="0" w:legacyIndent="245"/>
      <w:lvlJc w:val="left"/>
      <w:rPr>
        <w:rFonts w:ascii="Times New Roman" w:hAnsi="Times New Roman" w:cs="Times New Roman" w:hint="default"/>
      </w:rPr>
    </w:lvl>
  </w:abstractNum>
  <w:abstractNum w:abstractNumId="7">
    <w:nsid w:val="321C14D0"/>
    <w:multiLevelType w:val="singleLevel"/>
    <w:tmpl w:val="2A72B1A4"/>
    <w:lvl w:ilvl="0">
      <w:start w:val="1"/>
      <w:numFmt w:val="decimal"/>
      <w:lvlText w:val="%1)"/>
      <w:legacy w:legacy="1" w:legacySpace="0" w:legacyIndent="225"/>
      <w:lvlJc w:val="left"/>
      <w:rPr>
        <w:rFonts w:ascii="Times New Roman" w:hAnsi="Times New Roman" w:cs="Times New Roman" w:hint="default"/>
      </w:rPr>
    </w:lvl>
  </w:abstractNum>
  <w:abstractNum w:abstractNumId="8">
    <w:nsid w:val="37696F83"/>
    <w:multiLevelType w:val="hybridMultilevel"/>
    <w:tmpl w:val="D8501B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0443B73"/>
    <w:multiLevelType w:val="hybridMultilevel"/>
    <w:tmpl w:val="E81C23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1396139"/>
    <w:multiLevelType w:val="hybridMultilevel"/>
    <w:tmpl w:val="186AEA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F41360E"/>
    <w:multiLevelType w:val="singleLevel"/>
    <w:tmpl w:val="EC2A9CD2"/>
    <w:lvl w:ilvl="0">
      <w:start w:val="1"/>
      <w:numFmt w:val="decimal"/>
      <w:lvlText w:val="%1)"/>
      <w:legacy w:legacy="1" w:legacySpace="0" w:legacyIndent="250"/>
      <w:lvlJc w:val="left"/>
      <w:rPr>
        <w:rFonts w:ascii="Times New Roman" w:hAnsi="Times New Roman" w:cs="Times New Roman" w:hint="default"/>
      </w:rPr>
    </w:lvl>
  </w:abstractNum>
  <w:abstractNum w:abstractNumId="12">
    <w:nsid w:val="5CBE3F74"/>
    <w:multiLevelType w:val="hybridMultilevel"/>
    <w:tmpl w:val="2B1E7F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AB8420F"/>
    <w:multiLevelType w:val="hybridMultilevel"/>
    <w:tmpl w:val="DBE453C2"/>
    <w:lvl w:ilvl="0" w:tplc="96968F66">
      <w:start w:val="1"/>
      <w:numFmt w:val="decimal"/>
      <w:lvlText w:val="%1)"/>
      <w:lvlJc w:val="left"/>
      <w:pPr>
        <w:tabs>
          <w:tab w:val="num" w:pos="950"/>
        </w:tabs>
        <w:ind w:left="950" w:hanging="360"/>
      </w:pPr>
      <w:rPr>
        <w:rFonts w:hint="default"/>
      </w:rPr>
    </w:lvl>
    <w:lvl w:ilvl="1" w:tplc="04190019">
      <w:start w:val="1"/>
      <w:numFmt w:val="lowerLetter"/>
      <w:lvlText w:val="%2."/>
      <w:lvlJc w:val="left"/>
      <w:pPr>
        <w:tabs>
          <w:tab w:val="num" w:pos="1670"/>
        </w:tabs>
        <w:ind w:left="1670" w:hanging="360"/>
      </w:pPr>
    </w:lvl>
    <w:lvl w:ilvl="2" w:tplc="0419001B">
      <w:start w:val="1"/>
      <w:numFmt w:val="lowerRoman"/>
      <w:lvlText w:val="%3."/>
      <w:lvlJc w:val="right"/>
      <w:pPr>
        <w:tabs>
          <w:tab w:val="num" w:pos="2390"/>
        </w:tabs>
        <w:ind w:left="2390" w:hanging="180"/>
      </w:pPr>
    </w:lvl>
    <w:lvl w:ilvl="3" w:tplc="0419000F">
      <w:start w:val="1"/>
      <w:numFmt w:val="decimal"/>
      <w:lvlText w:val="%4."/>
      <w:lvlJc w:val="left"/>
      <w:pPr>
        <w:tabs>
          <w:tab w:val="num" w:pos="3110"/>
        </w:tabs>
        <w:ind w:left="3110" w:hanging="360"/>
      </w:pPr>
    </w:lvl>
    <w:lvl w:ilvl="4" w:tplc="04190019">
      <w:start w:val="1"/>
      <w:numFmt w:val="lowerLetter"/>
      <w:lvlText w:val="%5."/>
      <w:lvlJc w:val="left"/>
      <w:pPr>
        <w:tabs>
          <w:tab w:val="num" w:pos="3830"/>
        </w:tabs>
        <w:ind w:left="3830" w:hanging="360"/>
      </w:pPr>
    </w:lvl>
    <w:lvl w:ilvl="5" w:tplc="0419001B">
      <w:start w:val="1"/>
      <w:numFmt w:val="lowerRoman"/>
      <w:lvlText w:val="%6."/>
      <w:lvlJc w:val="right"/>
      <w:pPr>
        <w:tabs>
          <w:tab w:val="num" w:pos="4550"/>
        </w:tabs>
        <w:ind w:left="4550" w:hanging="180"/>
      </w:pPr>
    </w:lvl>
    <w:lvl w:ilvl="6" w:tplc="0419000F">
      <w:start w:val="1"/>
      <w:numFmt w:val="decimal"/>
      <w:lvlText w:val="%7."/>
      <w:lvlJc w:val="left"/>
      <w:pPr>
        <w:tabs>
          <w:tab w:val="num" w:pos="5270"/>
        </w:tabs>
        <w:ind w:left="5270" w:hanging="360"/>
      </w:pPr>
    </w:lvl>
    <w:lvl w:ilvl="7" w:tplc="04190019">
      <w:start w:val="1"/>
      <w:numFmt w:val="lowerLetter"/>
      <w:lvlText w:val="%8."/>
      <w:lvlJc w:val="left"/>
      <w:pPr>
        <w:tabs>
          <w:tab w:val="num" w:pos="5990"/>
        </w:tabs>
        <w:ind w:left="5990" w:hanging="360"/>
      </w:pPr>
    </w:lvl>
    <w:lvl w:ilvl="8" w:tplc="0419001B">
      <w:start w:val="1"/>
      <w:numFmt w:val="lowerRoman"/>
      <w:lvlText w:val="%9."/>
      <w:lvlJc w:val="right"/>
      <w:pPr>
        <w:tabs>
          <w:tab w:val="num" w:pos="6710"/>
        </w:tabs>
        <w:ind w:left="6710" w:hanging="180"/>
      </w:pPr>
    </w:lvl>
  </w:abstractNum>
  <w:num w:numId="1">
    <w:abstractNumId w:val="8"/>
  </w:num>
  <w:num w:numId="2">
    <w:abstractNumId w:val="0"/>
    <w:lvlOverride w:ilvl="0">
      <w:lvl w:ilvl="0">
        <w:numFmt w:val="bullet"/>
        <w:lvlText w:val="•"/>
        <w:legacy w:legacy="1" w:legacySpace="0" w:legacyIndent="153"/>
        <w:lvlJc w:val="left"/>
        <w:rPr>
          <w:rFonts w:ascii="Times New Roman" w:hAnsi="Times New Roman" w:cs="Times New Roman" w:hint="default"/>
        </w:rPr>
      </w:lvl>
    </w:lvlOverride>
  </w:num>
  <w:num w:numId="3">
    <w:abstractNumId w:val="0"/>
    <w:lvlOverride w:ilvl="0">
      <w:lvl w:ilvl="0">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numFmt w:val="bullet"/>
        <w:lvlText w:val="—"/>
        <w:legacy w:legacy="1" w:legacySpace="0" w:legacyIndent="331"/>
        <w:lvlJc w:val="left"/>
        <w:rPr>
          <w:rFonts w:ascii="Times New Roman" w:hAnsi="Times New Roman" w:cs="Times New Roman" w:hint="default"/>
        </w:rPr>
      </w:lvl>
    </w:lvlOverride>
  </w:num>
  <w:num w:numId="5">
    <w:abstractNumId w:val="0"/>
    <w:lvlOverride w:ilvl="0">
      <w:lvl w:ilvl="0">
        <w:numFmt w:val="bullet"/>
        <w:lvlText w:val="—"/>
        <w:legacy w:legacy="1" w:legacySpace="0" w:legacyIndent="312"/>
        <w:lvlJc w:val="left"/>
        <w:rPr>
          <w:rFonts w:ascii="Times New Roman" w:hAnsi="Times New Roman" w:cs="Times New Roman" w:hint="default"/>
        </w:rPr>
      </w:lvl>
    </w:lvlOverride>
  </w:num>
  <w:num w:numId="6">
    <w:abstractNumId w:val="11"/>
  </w:num>
  <w:num w:numId="7">
    <w:abstractNumId w:val="4"/>
  </w:num>
  <w:num w:numId="8">
    <w:abstractNumId w:val="13"/>
  </w:num>
  <w:num w:numId="9">
    <w:abstractNumId w:val="6"/>
  </w:num>
  <w:num w:numId="10">
    <w:abstractNumId w:val="5"/>
  </w:num>
  <w:num w:numId="11">
    <w:abstractNumId w:val="7"/>
  </w:num>
  <w:num w:numId="12">
    <w:abstractNumId w:val="7"/>
    <w:lvlOverride w:ilvl="0">
      <w:lvl w:ilvl="0">
        <w:start w:val="1"/>
        <w:numFmt w:val="decimal"/>
        <w:lvlText w:val="%1)"/>
        <w:legacy w:legacy="1" w:legacySpace="0" w:legacyIndent="226"/>
        <w:lvlJc w:val="left"/>
        <w:rPr>
          <w:rFonts w:ascii="Times New Roman" w:hAnsi="Times New Roman" w:cs="Times New Roman" w:hint="default"/>
        </w:rPr>
      </w:lvl>
    </w:lvlOverride>
  </w:num>
  <w:num w:numId="13">
    <w:abstractNumId w:val="2"/>
  </w:num>
  <w:num w:numId="1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
    <w:abstractNumId w:val="1"/>
  </w:num>
  <w:num w:numId="16">
    <w:abstractNumId w:val="9"/>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C1"/>
    <w:rsid w:val="0003609A"/>
    <w:rsid w:val="000C233B"/>
    <w:rsid w:val="000C4DF5"/>
    <w:rsid w:val="00115363"/>
    <w:rsid w:val="002E0F51"/>
    <w:rsid w:val="00313052"/>
    <w:rsid w:val="00327851"/>
    <w:rsid w:val="00334F87"/>
    <w:rsid w:val="003F5120"/>
    <w:rsid w:val="00400706"/>
    <w:rsid w:val="00415998"/>
    <w:rsid w:val="0042134E"/>
    <w:rsid w:val="00423451"/>
    <w:rsid w:val="00463E3D"/>
    <w:rsid w:val="004818AE"/>
    <w:rsid w:val="0048212B"/>
    <w:rsid w:val="00493DC1"/>
    <w:rsid w:val="004B24D3"/>
    <w:rsid w:val="004C178F"/>
    <w:rsid w:val="00591F98"/>
    <w:rsid w:val="00601C3D"/>
    <w:rsid w:val="00622375"/>
    <w:rsid w:val="006606BC"/>
    <w:rsid w:val="006C5070"/>
    <w:rsid w:val="00706ECF"/>
    <w:rsid w:val="00712630"/>
    <w:rsid w:val="00750B90"/>
    <w:rsid w:val="007B42AF"/>
    <w:rsid w:val="00827C8A"/>
    <w:rsid w:val="00856FF6"/>
    <w:rsid w:val="008706CD"/>
    <w:rsid w:val="008A216C"/>
    <w:rsid w:val="008A7521"/>
    <w:rsid w:val="008F6A88"/>
    <w:rsid w:val="009459E2"/>
    <w:rsid w:val="00946066"/>
    <w:rsid w:val="0095078A"/>
    <w:rsid w:val="009655E2"/>
    <w:rsid w:val="00A40961"/>
    <w:rsid w:val="00A95265"/>
    <w:rsid w:val="00AA4A71"/>
    <w:rsid w:val="00AA7D66"/>
    <w:rsid w:val="00AC1B90"/>
    <w:rsid w:val="00AF4567"/>
    <w:rsid w:val="00B84D2D"/>
    <w:rsid w:val="00C13F74"/>
    <w:rsid w:val="00C64F9D"/>
    <w:rsid w:val="00C90E2E"/>
    <w:rsid w:val="00DC3C9C"/>
    <w:rsid w:val="00E172E2"/>
    <w:rsid w:val="00E3501F"/>
    <w:rsid w:val="00E441AE"/>
    <w:rsid w:val="00E81653"/>
    <w:rsid w:val="00F14D94"/>
    <w:rsid w:val="00F35CFC"/>
    <w:rsid w:val="00F67741"/>
    <w:rsid w:val="00FD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ED1FDF-C851-4CDD-9FE7-528F6212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40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441A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4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cp:lastPrinted>2010-01-08T11:46:00Z</cp:lastPrinted>
  <dcterms:created xsi:type="dcterms:W3CDTF">2014-03-03T23:47:00Z</dcterms:created>
  <dcterms:modified xsi:type="dcterms:W3CDTF">2014-03-03T23:47:00Z</dcterms:modified>
</cp:coreProperties>
</file>