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99" w:rsidRPr="00FE0E17" w:rsidRDefault="007F4A99" w:rsidP="0029409F">
      <w:pPr>
        <w:spacing w:line="360" w:lineRule="auto"/>
        <w:ind w:firstLine="709"/>
        <w:jc w:val="both"/>
        <w:rPr>
          <w:rFonts w:eastAsia="MS Mincho"/>
          <w:b/>
          <w:bCs/>
          <w:color w:val="000000"/>
          <w:sz w:val="28"/>
        </w:rPr>
      </w:pPr>
      <w:bookmarkStart w:id="0" w:name="_Toc122344481"/>
      <w:r w:rsidRPr="00FE0E17">
        <w:rPr>
          <w:rFonts w:eastAsia="MS Mincho"/>
          <w:b/>
          <w:bCs/>
          <w:color w:val="000000"/>
          <w:sz w:val="28"/>
        </w:rPr>
        <w:t>Содержание</w:t>
      </w:r>
    </w:p>
    <w:p w:rsidR="0029409F" w:rsidRPr="00FE0E17" w:rsidRDefault="0029409F" w:rsidP="0029409F">
      <w:pPr>
        <w:spacing w:line="360" w:lineRule="auto"/>
        <w:ind w:firstLine="709"/>
        <w:jc w:val="both"/>
        <w:rPr>
          <w:rFonts w:eastAsia="MS Mincho"/>
          <w:b/>
          <w:bCs/>
          <w:color w:val="000000"/>
          <w:sz w:val="28"/>
        </w:rPr>
      </w:pP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1. Общая характеристика Конституционного права на жизнь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1.1 Право на жизнь в системе основных прав и свобод человека, его свойства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1.2 Смертная казнь в Российской Федерации 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2. Характеристика Конституционного права на жизнь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2.1 Определение момента начала и окончания права на жизнь 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3. Обеспечение права на жизнь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Глоссарий</w:t>
      </w:r>
    </w:p>
    <w:p w:rsidR="0029409F" w:rsidRPr="00FE0E17" w:rsidRDefault="0029409F" w:rsidP="0029409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747FE7" w:rsidRPr="00FE0E17" w:rsidRDefault="00747FE7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6ABD" w:rsidRPr="00FE0E17" w:rsidRDefault="00D96ABD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844" w:rsidRPr="00FE0E17" w:rsidRDefault="0029409F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</w:rPr>
      </w:pPr>
      <w:r w:rsidRPr="00FE0E1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End w:id="0"/>
      <w:r w:rsidR="00632844" w:rsidRPr="00FE0E17">
        <w:rPr>
          <w:rFonts w:ascii="Times New Roman" w:eastAsia="MS Mincho" w:hAnsi="Times New Roman" w:cs="Times New Roman"/>
          <w:b/>
          <w:color w:val="000000"/>
          <w:sz w:val="28"/>
        </w:rPr>
        <w:t>Введение</w:t>
      </w:r>
    </w:p>
    <w:p w:rsidR="00632844" w:rsidRPr="00FE0E17" w:rsidRDefault="000C76D8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FE0E17">
        <w:rPr>
          <w:rFonts w:ascii="Times New Roman" w:hAnsi="Times New Roman" w:cs="Times New Roman"/>
          <w:b/>
          <w:color w:val="FFFFFF"/>
          <w:sz w:val="28"/>
          <w:szCs w:val="28"/>
        </w:rPr>
        <w:t>конституция право жизнь смертный казнь</w:t>
      </w:r>
    </w:p>
    <w:p w:rsidR="007A1DA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Актуальность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выбранной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темы.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Временная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протяженность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важнейшая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процессов.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юридические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себе,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юридические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факты,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обусловливаются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ограничиваются,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юриспруденция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срока,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понимает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отрезок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временные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субъективных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закрепляющие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сроках,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отраслевых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законодательных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актах,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сходные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законодательной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технике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правила,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сроках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отраслях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подотраслях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существенные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различия,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требующие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детального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теоретического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осмысления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DAE" w:rsidRPr="00FE0E17">
        <w:rPr>
          <w:rFonts w:ascii="Times New Roman" w:hAnsi="Times New Roman" w:cs="Times New Roman"/>
          <w:color w:val="000000"/>
          <w:sz w:val="28"/>
          <w:szCs w:val="28"/>
        </w:rPr>
        <w:t>правоприменения.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неимущественных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правовом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регулировании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чрезвычайно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многообразны.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наступлением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истечением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правовая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норма,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административный,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сделка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связывает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юридически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гражданско-правовых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последствий.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сроков,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вообще,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обороте.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упорядочивают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гражданский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оборот,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исполнению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договоров.</w:t>
      </w:r>
    </w:p>
    <w:p w:rsidR="00D948FE" w:rsidRPr="00FE0E17" w:rsidRDefault="00D948FE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Институт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гражданско-правовых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представляет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собой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целостную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сложную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систему,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элементами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виды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(подвиды)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соотношении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складывается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структура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системы.</w:t>
      </w:r>
    </w:p>
    <w:p w:rsidR="00F55830" w:rsidRPr="00FE0E17" w:rsidRDefault="00F55830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b/>
          <w:color w:val="000000"/>
          <w:sz w:val="28"/>
          <w:szCs w:val="28"/>
        </w:rPr>
        <w:t>Степень</w:t>
      </w:r>
      <w:r w:rsidR="0029409F" w:rsidRPr="00FE0E17">
        <w:rPr>
          <w:b/>
          <w:color w:val="000000"/>
          <w:sz w:val="28"/>
          <w:szCs w:val="28"/>
        </w:rPr>
        <w:t xml:space="preserve"> </w:t>
      </w:r>
      <w:r w:rsidRPr="00FE0E17">
        <w:rPr>
          <w:b/>
          <w:color w:val="000000"/>
          <w:sz w:val="28"/>
          <w:szCs w:val="28"/>
        </w:rPr>
        <w:t>разработанности</w:t>
      </w:r>
      <w:r w:rsidR="0029409F" w:rsidRPr="00FE0E17">
        <w:rPr>
          <w:b/>
          <w:color w:val="000000"/>
          <w:sz w:val="28"/>
          <w:szCs w:val="28"/>
        </w:rPr>
        <w:t xml:space="preserve"> </w:t>
      </w:r>
      <w:r w:rsidRPr="00FE0E17">
        <w:rPr>
          <w:b/>
          <w:color w:val="000000"/>
          <w:sz w:val="28"/>
          <w:szCs w:val="28"/>
        </w:rPr>
        <w:t>темы.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Научный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потенциал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проблем,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связанных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сроками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многогранен.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Этому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вопросу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посвящено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ряд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публикаций.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исследование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проблем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внесли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вклад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известные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отечественные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цивилисты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процессуалисты,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также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теоретики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М.М.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Агарков,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H.A.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Баринов,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Е.В.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Богданов,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М.И.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Брагинский,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В.В.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Витрянский,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В.П.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Грибанов,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Т.И.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Илларионов,</w:t>
      </w:r>
      <w:r w:rsidR="0029409F" w:rsidRPr="00FE0E17">
        <w:rPr>
          <w:color w:val="000000"/>
          <w:sz w:val="28"/>
          <w:szCs w:val="28"/>
        </w:rPr>
        <w:t xml:space="preserve"> </w:t>
      </w:r>
      <w:r w:rsidR="00B82833" w:rsidRPr="00FE0E17">
        <w:rPr>
          <w:color w:val="000000"/>
          <w:sz w:val="28"/>
          <w:szCs w:val="28"/>
        </w:rPr>
        <w:t>О.</w:t>
      </w:r>
      <w:r w:rsidR="0029409F" w:rsidRPr="00FE0E17">
        <w:rPr>
          <w:color w:val="000000"/>
          <w:sz w:val="28"/>
          <w:szCs w:val="28"/>
        </w:rPr>
        <w:t xml:space="preserve"> </w:t>
      </w:r>
      <w:r w:rsidR="00B82833" w:rsidRPr="00FE0E17">
        <w:rPr>
          <w:color w:val="000000"/>
          <w:sz w:val="28"/>
          <w:szCs w:val="28"/>
        </w:rPr>
        <w:t>С.</w:t>
      </w:r>
      <w:r w:rsidR="0029409F" w:rsidRPr="00FE0E17">
        <w:rPr>
          <w:color w:val="000000"/>
          <w:sz w:val="28"/>
          <w:szCs w:val="28"/>
        </w:rPr>
        <w:t xml:space="preserve"> </w:t>
      </w:r>
      <w:r w:rsidR="00B82833" w:rsidRPr="00FE0E17">
        <w:rPr>
          <w:color w:val="000000"/>
          <w:sz w:val="28"/>
          <w:szCs w:val="28"/>
        </w:rPr>
        <w:t>Иоффе,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O.A.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Красавчиков,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Е.А.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Суханов,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В.А.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Тархов,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Ю.К.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Толстой,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Ю.Б.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Фогельсон,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Б.Б.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Черепахин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др.</w:t>
      </w:r>
    </w:p>
    <w:p w:rsidR="00A72BCF" w:rsidRPr="00FE0E17" w:rsidRDefault="00A72BCF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работах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указанных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авторов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исследовались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отдельные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аспекты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договорные,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претензионные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д.</w:t>
      </w:r>
    </w:p>
    <w:p w:rsidR="00A72BCF" w:rsidRPr="00FE0E17" w:rsidRDefault="00C6204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Проблема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комплексного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исследования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сроков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гражданском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праве,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критерии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="00A72BCF" w:rsidRPr="00FE0E17">
        <w:rPr>
          <w:color w:val="000000"/>
          <w:sz w:val="28"/>
          <w:szCs w:val="28"/>
        </w:rPr>
        <w:t>классификации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получил</w:t>
      </w:r>
      <w:r w:rsidR="00A72BCF"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должного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теоретического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освещения.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сказанное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подчеркивает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актуальность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темы,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гражданском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праве.</w:t>
      </w:r>
    </w:p>
    <w:p w:rsidR="000F5276" w:rsidRPr="00FE0E17" w:rsidRDefault="000F5276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Целью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работы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изучение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теоретических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вопросов,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связанных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понятием,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классификацией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видами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сроков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праве,</w:t>
      </w:r>
    </w:p>
    <w:p w:rsidR="00F55830" w:rsidRPr="00FE0E17" w:rsidRDefault="00F55830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Цель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работы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углубленное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сроках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прав.</w:t>
      </w:r>
    </w:p>
    <w:p w:rsidR="00F55830" w:rsidRPr="00FE0E17" w:rsidRDefault="00F55830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задачи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работы: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выявить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онятие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срока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гражданском праве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охарактеризовать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равила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исчисления,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рассмотреть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классификацию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сpоков,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сроков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гражданских прав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Объектом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правоотношения,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возникающие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поводу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назначения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сроков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гражданском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праве.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Предмет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исследования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нормы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права,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регулирующие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особенности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назначения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сроков.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Методы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исследования: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общенаучный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диалектический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познания,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предоставляющий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исследовать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поставленные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единстве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юридической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формы,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системный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комплексный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анализ,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логико-теоретический,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системно-структурный,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сpавнительно-пpавовой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при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отграничении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различных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видов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</w:rPr>
        <w:t>сроков.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Нормативной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базой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послужили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Конституция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Российской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Федерации,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Гpажданский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кодекс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Российской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Федеpации,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федеральные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законы,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ведомственные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нормативные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акты.</w:t>
      </w:r>
    </w:p>
    <w:p w:rsidR="00F55830" w:rsidRPr="00FE0E17" w:rsidRDefault="00F55830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Практическая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значимость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исследования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заключается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выводы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предложения,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содержащиеся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работе,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могут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быть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использованы: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законотворческой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деятельности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целью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устранения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выявленных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белов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недостатков;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правоприменительной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деятельности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судебных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органов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субъектов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права;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учебном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процессе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преподавании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высших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учебных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заведениях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дальнейших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исследований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проблем.</w:t>
      </w:r>
    </w:p>
    <w:p w:rsidR="00D948FE" w:rsidRPr="00FE0E17" w:rsidRDefault="00D948FE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hAnsi="Times New Roman" w:cs="Times New Roman"/>
          <w:color w:val="000000"/>
          <w:sz w:val="28"/>
          <w:szCs w:val="28"/>
        </w:rPr>
        <w:t>работы.</w:t>
      </w:r>
      <w:r w:rsidR="0029409F" w:rsidRPr="00FE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Работа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состоит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введения,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двух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глав,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заключения,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котором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формулируются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выводы,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списка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используемых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нормативно-правовых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актов,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литературы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материалов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юридической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практики,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приложений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виде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логически-структурных</w:t>
      </w:r>
      <w:r w:rsidR="0029409F"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FE0E17">
        <w:rPr>
          <w:rFonts w:ascii="Times New Roman" w:eastAsia="MS Mincho" w:hAnsi="Times New Roman" w:cs="Times New Roman"/>
          <w:color w:val="000000"/>
          <w:sz w:val="28"/>
          <w:szCs w:val="28"/>
        </w:rPr>
        <w:t>схем.</w:t>
      </w:r>
    </w:p>
    <w:p w:rsidR="00E22D41" w:rsidRPr="00FE0E17" w:rsidRDefault="00E22D41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</w:p>
    <w:p w:rsidR="00C62042" w:rsidRPr="00FE0E17" w:rsidRDefault="00C62042" w:rsidP="0029409F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</w:rPr>
      </w:pPr>
    </w:p>
    <w:p w:rsidR="00095072" w:rsidRPr="00FE0E17" w:rsidRDefault="0029409F" w:rsidP="002940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E0E17">
        <w:rPr>
          <w:rFonts w:ascii="Times New Roman" w:eastAsia="MS Mincho" w:hAnsi="Times New Roman" w:cs="Times New Roman"/>
          <w:color w:val="000000"/>
          <w:sz w:val="28"/>
        </w:rPr>
        <w:br w:type="page"/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1.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Общая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характеристика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Конституционного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права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на</w:t>
      </w:r>
      <w:r w:rsidRPr="00FE0E17">
        <w:rPr>
          <w:b/>
          <w:color w:val="000000"/>
        </w:rPr>
        <w:t xml:space="preserve"> </w:t>
      </w:r>
      <w:r w:rsidR="00226EA2" w:rsidRPr="00FE0E17">
        <w:rPr>
          <w:rFonts w:ascii="Times New Roman" w:hAnsi="Times New Roman" w:cs="Times New Roman"/>
          <w:b/>
          <w:color w:val="000000"/>
          <w:sz w:val="28"/>
        </w:rPr>
        <w:t>жизнь</w:t>
      </w:r>
    </w:p>
    <w:p w:rsidR="0029409F" w:rsidRPr="00FE0E17" w:rsidRDefault="0029409F" w:rsidP="0029409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" w:name="_Toc104088921"/>
    </w:p>
    <w:p w:rsidR="00226EA2" w:rsidRPr="00FE0E17" w:rsidRDefault="0029409F" w:rsidP="0029409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1.1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Право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на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жизнь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в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системе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основных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прав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и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свобод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095072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человека,</w:t>
      </w:r>
    </w:p>
    <w:p w:rsidR="00095072" w:rsidRPr="00FE0E17" w:rsidRDefault="00095072" w:rsidP="0029409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его</w:t>
      </w:r>
      <w:r w:rsidR="0029409F"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E0E17">
        <w:rPr>
          <w:rFonts w:ascii="Times New Roman" w:hAnsi="Times New Roman" w:cs="Times New Roman"/>
          <w:bCs w:val="0"/>
          <w:i w:val="0"/>
          <w:iCs w:val="0"/>
          <w:color w:val="000000"/>
        </w:rPr>
        <w:t>свойства</w:t>
      </w:r>
      <w:bookmarkEnd w:id="1"/>
    </w:p>
    <w:p w:rsidR="0029409F" w:rsidRPr="00FE0E17" w:rsidRDefault="0029409F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Важнейшим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шагом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развитии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явились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буржуазно-демократические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революции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  <w:lang w:val="en-US"/>
        </w:rPr>
        <w:t>XVII</w:t>
      </w:r>
      <w:r w:rsidRPr="00FE0E17">
        <w:rPr>
          <w:color w:val="000000"/>
          <w:sz w:val="28"/>
          <w:szCs w:val="28"/>
        </w:rPr>
        <w:t>-</w:t>
      </w:r>
      <w:r w:rsidRPr="00FE0E17">
        <w:rPr>
          <w:color w:val="000000"/>
          <w:sz w:val="28"/>
          <w:szCs w:val="28"/>
          <w:lang w:val="en-US"/>
        </w:rPr>
        <w:t>XVIII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в.в.,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выдвинули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только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широкий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набор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принцип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формального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равенства,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ставший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универсальности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придавший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подлинно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демократический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характер.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Дальнейшим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этапом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углубления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развития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каталога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стала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вторая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половина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  <w:lang w:val="en-US"/>
        </w:rPr>
        <w:t>XX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После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Второй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мировой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войны,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сопровождавшейся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грубыми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массовыми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нарушениями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они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вышли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пределы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внутригосударственной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проблемы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стали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постоянного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внимания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международного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сообщества.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Признание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Всеобщей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декларации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Европейской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конвенции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защите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Международного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пакта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гражданских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политических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Международного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пакта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экономических,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социальных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культурных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Конвенции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предупреждении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преступлений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геноцида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наказания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него,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Международной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конвенции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ликвидации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форм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расовой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дискриминации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ряда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важнейших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международно-правовых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актов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явилось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неоценимым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вкладом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развитие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цивилизации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культуры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  <w:lang w:val="en-US"/>
        </w:rPr>
        <w:t>XX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Конституция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закрепляет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наиболее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важные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социально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значимые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отдельного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общества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они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необходимыми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условиями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обеспечения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достоинства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чести,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присущей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человеческой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личности;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естественного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участие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решении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вопросов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устройства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управления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обществом,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членом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он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является;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социальных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экономических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условий,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необходимых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ему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удовлетворения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жизненно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важных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материальных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духовных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потребностей.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Определение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через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сущностное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возможность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вполне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себя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оправдало,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прочно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вошло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конституционно-правовой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оборот,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состав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категорий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института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выдержало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испытание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временем.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Возможность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обладать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благом,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являясь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главным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всякого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лежит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содержания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ключ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пониманию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природы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Возможность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обладать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каким-то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благом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менее,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отличаются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неосновных.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отличие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дают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свойства.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Под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философии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обычно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понимают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категорию,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которая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отображает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характеризует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какую-либо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сторону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выявлено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взаимоотношении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предметами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явлениями.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Категория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относится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целом,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характеризуя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обладающего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способностью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обнаруживать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стороны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определенных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отношениях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предметами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явлениями.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диалектической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логике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определяется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обще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вещам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класса.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Общее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между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заключается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может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выступать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роли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(качественного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признака),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категория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более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широкая,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включающая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себя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свойством.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Изучение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отдельных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свойств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предметов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служит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ступенькой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познанию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качеств.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Конституционные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главным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элементом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правоотношения,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участвует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гражданин.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гражданина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смысл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правоотношения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состоит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получении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защиты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обязанности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предоставить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эту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защиту.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Основные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только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признаются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защищаются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значимость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закрепленных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выражается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именно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реализация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обеспечивает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объявление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демократического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правового.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Конституционные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составляют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ядро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статуса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личности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лежат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закрепляемых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иными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отраслями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лишь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устанавливает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принципы,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должно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строиться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текущее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законодательство.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Только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обладают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неперсонифицированностью,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поскольку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имеют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своим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адресатом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конкретного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распространяются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отраслевое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законодательство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обращается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преимущественно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определенным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данной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отраслью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лицам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(собственники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имущества,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покупатели,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истцы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ответчики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т.д.).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Характерной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особенностью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также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они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равны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едины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без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исключения.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возникновение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связано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принадлежностью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гражданству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Российской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Федерации,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связи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приобретаются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отчуждаются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волеизъявлению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гражданина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могут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быть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утрачены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только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вместе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утратой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гражданства.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заключение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сравнения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можно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добавить,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закрепляются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правовом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акте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имеющим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высшую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юридическую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силу.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Итак,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гражданина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неотъемлемые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наиболее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важные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принадлежащие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ему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рождения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(в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надлежащих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случаях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силу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его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гражданства),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защищаемые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государством,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составляющие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ядро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правового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статуса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личности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получающие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высшую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юридическую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силу.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Перечисление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Российской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Федерации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основных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должно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толковаться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как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отрицание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или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умаление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общепризнанных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гражданина.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Ранее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декларировалось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беспредельное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обладание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полнотой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социально-экономических,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политических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личных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Российской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Федерации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предусматривается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возможность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ограничения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которое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может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быть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применено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целях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защиты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конституционного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строя,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нравственности,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здоровья,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законных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интересов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других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граждан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(статья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17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3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Конституции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РФ).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Все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свободы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неотделимы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от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друга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взаимосвязаны,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поэтому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такое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разделение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носит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чисто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условный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характер.</w:t>
      </w:r>
    </w:p>
    <w:p w:rsidR="00095072" w:rsidRPr="00FE0E17" w:rsidRDefault="00095072" w:rsidP="002940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0E17">
        <w:rPr>
          <w:color w:val="000000"/>
          <w:sz w:val="28"/>
          <w:szCs w:val="28"/>
        </w:rPr>
        <w:t>Безусловно,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высшей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ценностью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для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любого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является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жизнь.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Именно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поэтому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на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жизнь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–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важнейшее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из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всех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человека,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именно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это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право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подлежит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первоочередной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защите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со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стороны</w:t>
      </w:r>
      <w:r w:rsidR="0029409F" w:rsidRPr="00FE0E17">
        <w:rPr>
          <w:color w:val="000000"/>
          <w:sz w:val="28"/>
          <w:szCs w:val="28"/>
        </w:rPr>
        <w:t xml:space="preserve"> </w:t>
      </w:r>
      <w:r w:rsidRPr="00FE0E17">
        <w:rPr>
          <w:color w:val="000000"/>
          <w:sz w:val="28"/>
          <w:szCs w:val="28"/>
        </w:rPr>
        <w:t>государства.</w:t>
      </w:r>
    </w:p>
    <w:p w:rsidR="00095072" w:rsidRPr="00FE0E17" w:rsidRDefault="00095072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Статья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гласит: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«Каждый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впредь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устанавливаться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качестве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предоставлении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заседателей».</w:t>
      </w:r>
    </w:p>
    <w:p w:rsidR="00095072" w:rsidRPr="00FE0E17" w:rsidRDefault="00095072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Провозглашение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борьбы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террористическими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акциями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другими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посягательствами,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результате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гибнут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тысячи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людей.</w:t>
      </w:r>
    </w:p>
    <w:p w:rsidR="0029409F" w:rsidRPr="00FE0E17" w:rsidRDefault="00095072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Серьезной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техники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безопасности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предупреждение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несчастных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случаев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производстве,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результате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ежегодно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погибает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свыше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тыс.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относится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профилактике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дорожно-транспортных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происшествий,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ежегодно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уносящих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десятки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тысяч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жизней.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конечном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счете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направленные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развитие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здравоохранения,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борьба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детской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смертностью,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служат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провозглашенного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жизнь.</w:t>
      </w:r>
    </w:p>
    <w:p w:rsidR="0029409F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</w:p>
    <w:p w:rsidR="0029409F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</w:p>
    <w:p w:rsidR="00735F36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b/>
          <w:snapToGrid w:val="0"/>
          <w:color w:val="000000"/>
        </w:rPr>
      </w:pPr>
      <w:r w:rsidRPr="00FE0E17">
        <w:rPr>
          <w:color w:val="000000"/>
        </w:rPr>
        <w:br w:type="page"/>
      </w:r>
      <w:r w:rsidRPr="00FE0E17">
        <w:rPr>
          <w:b/>
          <w:snapToGrid w:val="0"/>
          <w:color w:val="000000"/>
        </w:rPr>
        <w:t xml:space="preserve">1.2 </w:t>
      </w:r>
      <w:r w:rsidR="00735F36" w:rsidRPr="00FE0E17">
        <w:rPr>
          <w:b/>
          <w:snapToGrid w:val="0"/>
          <w:color w:val="000000"/>
        </w:rPr>
        <w:t>Смертная</w:t>
      </w:r>
      <w:r w:rsidRPr="00FE0E17">
        <w:rPr>
          <w:b/>
          <w:snapToGrid w:val="0"/>
          <w:color w:val="000000"/>
        </w:rPr>
        <w:t xml:space="preserve"> </w:t>
      </w:r>
      <w:r w:rsidR="00735F36" w:rsidRPr="00FE0E17">
        <w:rPr>
          <w:b/>
          <w:snapToGrid w:val="0"/>
          <w:color w:val="000000"/>
        </w:rPr>
        <w:t>казнь</w:t>
      </w:r>
      <w:r w:rsidRPr="00FE0E17">
        <w:rPr>
          <w:b/>
          <w:snapToGrid w:val="0"/>
          <w:color w:val="000000"/>
        </w:rPr>
        <w:t xml:space="preserve"> </w:t>
      </w:r>
      <w:r w:rsidR="00735F36" w:rsidRPr="00FE0E17">
        <w:rPr>
          <w:b/>
          <w:snapToGrid w:val="0"/>
          <w:color w:val="000000"/>
        </w:rPr>
        <w:t>в</w:t>
      </w:r>
      <w:r w:rsidRPr="00FE0E17">
        <w:rPr>
          <w:b/>
          <w:snapToGrid w:val="0"/>
          <w:color w:val="000000"/>
        </w:rPr>
        <w:t xml:space="preserve"> </w:t>
      </w:r>
      <w:r w:rsidR="00735F36" w:rsidRPr="00FE0E17">
        <w:rPr>
          <w:b/>
          <w:snapToGrid w:val="0"/>
          <w:color w:val="000000"/>
        </w:rPr>
        <w:t>Российской</w:t>
      </w:r>
      <w:r w:rsidRPr="00FE0E17">
        <w:rPr>
          <w:b/>
          <w:snapToGrid w:val="0"/>
          <w:color w:val="000000"/>
        </w:rPr>
        <w:t xml:space="preserve"> </w:t>
      </w:r>
      <w:r w:rsidR="00735F36" w:rsidRPr="00FE0E17">
        <w:rPr>
          <w:b/>
          <w:snapToGrid w:val="0"/>
          <w:color w:val="000000"/>
        </w:rPr>
        <w:t>Федерации</w:t>
      </w:r>
    </w:p>
    <w:p w:rsidR="0029409F" w:rsidRPr="00FE0E17" w:rsidRDefault="0029409F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632844" w:rsidRPr="00FE0E17" w:rsidRDefault="00632844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Немного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современном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мире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сохранилось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таких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устойчивых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времени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здравому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смыслу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предрассудков,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представление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многих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людей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смертной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казни.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видят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социально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оправданное,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допустимое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даже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необходимое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эффективное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средство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борьбы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преступностью.</w:t>
      </w:r>
    </w:p>
    <w:p w:rsidR="00632844" w:rsidRPr="00FE0E17" w:rsidRDefault="00632844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Обыденные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представления,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естественные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чувства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подталкивают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людей,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узнавших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очередном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страшном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преступлении,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выводу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–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«убивать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этих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злодеев».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эмоциональная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реакция,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лежат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понятные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чувства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возмездия.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Когда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приводят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аргументы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такого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рода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–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«все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общество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против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отмены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смертной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казни»,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«глас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народа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–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глас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Божий»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(vox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populi,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vox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dei),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этим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согласиться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просто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нельзя,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ведь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глас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народа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Христа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распял.</w:t>
      </w:r>
    </w:p>
    <w:p w:rsidR="00632844" w:rsidRPr="00FE0E17" w:rsidRDefault="00632844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Проблема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смертной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казни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должна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обсуждаться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решаться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всестороннего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анализа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взвешенных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оценок,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свободных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устоявшихся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мифов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иллюзий.</w:t>
      </w:r>
    </w:p>
    <w:p w:rsidR="00632844" w:rsidRPr="00FE0E17" w:rsidRDefault="00632844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Прежде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всего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нужно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развенчать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распространенное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заблуждение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том,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смертная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казнь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может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сдерживать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преступность.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Наука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трезвые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исторические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оценки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свидетельствуют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другом.</w:t>
      </w:r>
    </w:p>
    <w:p w:rsidR="00632844" w:rsidRPr="00FE0E17" w:rsidRDefault="00632844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Ни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одно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серьезное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криминологическое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исследование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подтверждает,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смертная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казнь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(или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введение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строгих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наказаний)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приводит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снижению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естественно,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может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подтвердить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Усиление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карательных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мер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рост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обычно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идут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параллельно.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Известно,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странах,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где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существуют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строгие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наказания,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высок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уровень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напротив,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нередко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там,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где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повышается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уровень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появляются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жестокие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наказания,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расширяются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масштабы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применения.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Если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предположить,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здесь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есть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зависимость,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необходимо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решить: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зависит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–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рост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преступности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ведет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строгим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наказаниям,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расширению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применения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или,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наоборот,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больше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людей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наказывают,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больше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проходит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«тюремные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университеты»,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больше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криминогенный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потенциал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общества.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Возникает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говорит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законодатель?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возвращение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общество?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проанализировать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44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найдем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подтверждение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этому: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прочих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провозглашаемым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целям,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осужденных.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Чтобы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как-то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оправдать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допускает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помилования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двадцать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пять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напрочь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отвергают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осужденных.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смысл.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«чего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кого»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исправляться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вернуться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общество?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«верит»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категории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допускает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возвращения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общество.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иллюзорна,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легко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убедиться.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«Возвращение»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основано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условно-досрочного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освобождения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дальнейшего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нуждается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дальнейшем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отбывании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фактически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менее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79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Уголовно-исполнительное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вносит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дополнительные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возможности.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Первое: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досрочное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освобождение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отсутствии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злостных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предшествующих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176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УИК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РФ).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Второе: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отказа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условно-досрочном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освобождении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повторное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внесение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место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ранее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истечении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дня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(т.е.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176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УИК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РФ).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третье: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условно-досрочному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освобождению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совершившие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новое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период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176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УИК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РФ).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Вместе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практика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показывает,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отбывая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исправляются,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сколько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деградируют.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Необходимо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отметить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факт,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деградируют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призван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исправлять.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Проблема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профессиональной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деформации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сотрудников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уголовно-исполнительной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актуальна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настоятельно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разрешения.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Законодателю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четко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определиться,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преследует,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применяя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категория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«неисправимых»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преступников,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вполне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закономерны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логичны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(хотя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морально,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взгляд,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обоснованы).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карой,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возмездием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содеянное,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станут: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посягательств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вплоть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виновному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способствующих</w:t>
      </w:r>
      <w:r w:rsidR="0029409F" w:rsidRPr="00FE0E17">
        <w:rPr>
          <w:color w:val="000000"/>
        </w:rPr>
        <w:t xml:space="preserve"> </w:t>
      </w:r>
      <w:r w:rsidR="00A420AC" w:rsidRPr="00FE0E17">
        <w:rPr>
          <w:color w:val="000000"/>
        </w:rPr>
        <w:t>самосознанию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осужденными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правопослушного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поведения.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изложены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важнейшие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относящиеся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суровому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прежних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числе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1978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подобной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определялись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круг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назначена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вынесен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Следует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подчеркнуть,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регулирующим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Движение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пользу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усилившееся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Запада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Второй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мировой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войны,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постепенно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привело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включению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ряд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важнейших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международно-правовых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документов.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документах,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одобренных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настоящему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времени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ООН,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подчеркивается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ограничения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круга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караемых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казнью.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Например,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пакте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политических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говорится: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странах,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могут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выноситься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подчеркнута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тщательного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процессуальных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отношении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приговариваемых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Положения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относящиеся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получили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дальнейшее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развитие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кодексе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Думой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24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вступившем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силу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января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1997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Существенным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ограничением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вынесения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59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согласно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назначается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женщинам.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назначена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мужчинам,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достигшим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моменту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вынесения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65-летнего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возраста.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отметить,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ограничения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существуют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кодексах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очень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небольшого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числа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иностранных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Напротив,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предусмотренный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59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запрет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назначения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лицам,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совершившим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возрасте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широко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распространен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практике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сохраняющих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Известным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нынешняя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позиция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Верховного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США,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допускающего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17-летним.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приговоренное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вправе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обратиться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просьбой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помиловании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Президенту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говорится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допустимости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«впредь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отмены».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Отсюда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ставят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перспективе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призывают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международно-правовые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документы,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однако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предполагалось,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будущем,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предпосылки,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согласно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значительное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большинство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Начавшийся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январе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вступления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Европы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отношении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проблеме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новую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ситуацию.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апреля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1983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входившие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Европы,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подписали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Дополнительный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протокол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№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Европейской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конвенции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касающийся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Протокола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гласит: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отменяется.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Никто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приговорен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казнен».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Протокола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государствам-участникам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разрешено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введение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время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войны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условиях,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грозит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приближение.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момент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Протокола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подписали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члены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Европы,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представители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входивших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(некоторые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подписали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ратифицировали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поныне).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отметил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следующее: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впредь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устанавливаться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качестве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предоставлении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взаимосвязи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выступает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-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процессуальной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судебной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каждого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основного,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неотчуждаемого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принадлежащего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каждому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рождения),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прямо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непосредственно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действующим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качестве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смысл,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содержание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-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процессуального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равно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изменению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дополнению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правосудием.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Согласно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абзацу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первому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пункта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«Заключительные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переходные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положения»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впредь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введения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устанавливающего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порядок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сохраняется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порядок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судебного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следует,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переходного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периода,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конкретные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временные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границы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указаны,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действующее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любом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предоставленное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качестве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территории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переходного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периода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территориях,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производство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могло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осуществляться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прежнем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порядке.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После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прошло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более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пяти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т.е.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достаточный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выполнения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предписания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абзаца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пункта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«Заключительные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переходные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положения»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смыслу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корреспондирующих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14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пакта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политических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1966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Конвенции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1950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каждый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предъявленного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справедливое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публичное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разбирательство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разумный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компетентным,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независимым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беспристрастным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основании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47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(часть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гарантирует,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никто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судьей,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подсудности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отнесено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означает,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осуществляться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Итак,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казалось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справедливость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торжествует: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усилиями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восполнен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пробел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упорно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игнорирующей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окончательное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судьбы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Однако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безграничны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носит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промежуточный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Последнее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слово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сказать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Ежегодно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насильственной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гибнут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десятки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тысяч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людей.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Ужасающие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жестокостью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убийства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обыденными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явлениями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законопослушных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возникают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безысходность,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потому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преступники,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легкостью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отнимающие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убивающие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повинных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детей,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могут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уйти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тяжести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злодеяний,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короткое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время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оказываются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продолжая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угрожать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людей.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Согласно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пункту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Постановления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февраля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№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3-П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единственным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препятствием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отсутствие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территории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каждому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обвиняемому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качестве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присяжных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заседателей.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Многочисленные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обращения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требованиями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возобновить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позволяют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дальше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откладывать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Недопустимо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игнорировать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угоду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внешнеполитическим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интересам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волю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народа,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приемлет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связи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вышеизложенным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Дума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считает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преждевременной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ратификацию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Протокола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№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Конвенции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(Относительно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апреля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1983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года».</w:t>
      </w:r>
    </w:p>
    <w:p w:rsidR="00632844" w:rsidRPr="00FE0E17" w:rsidRDefault="00632844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Мнение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автора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дипломной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работы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таково.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действительно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тяжелая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криминогенная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обстановка.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Суровое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присутствовать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достаточно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пожизненного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Позиция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Думы,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взгляд,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чистейшей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популизм.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«угода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внешнеполитическим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интересам»,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человеческой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ценностью,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показателем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цивилизованности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общества.</w:t>
      </w:r>
    </w:p>
    <w:p w:rsidR="0096361F" w:rsidRPr="00FE0E17" w:rsidRDefault="0096361F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Toc104088923"/>
    </w:p>
    <w:p w:rsidR="0096361F" w:rsidRPr="00FE0E17" w:rsidRDefault="0096361F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B3D5D" w:rsidRPr="00FE0E17" w:rsidRDefault="0029409F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0E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End w:id="2"/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2.</w:t>
      </w:r>
      <w:r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Характеристика</w:t>
      </w:r>
      <w:r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Конституционного</w:t>
      </w:r>
      <w:r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bookmarkStart w:id="3" w:name="_Toc104088924"/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права</w:t>
      </w:r>
      <w:r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на</w:t>
      </w:r>
      <w:r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B3D5D" w:rsidRPr="00FE0E17">
        <w:rPr>
          <w:rFonts w:ascii="Times New Roman" w:hAnsi="Times New Roman" w:cs="Times New Roman"/>
          <w:bCs w:val="0"/>
          <w:color w:val="000000"/>
          <w:sz w:val="28"/>
          <w:szCs w:val="28"/>
        </w:rPr>
        <w:t>жизнь</w:t>
      </w:r>
      <w:bookmarkEnd w:id="3"/>
    </w:p>
    <w:p w:rsidR="0029409F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b/>
          <w:color w:val="000000"/>
        </w:rPr>
      </w:pPr>
    </w:p>
    <w:p w:rsidR="006B3D5D" w:rsidRPr="00FE0E17" w:rsidRDefault="006B3D5D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b/>
          <w:color w:val="000000"/>
        </w:rPr>
        <w:t>2.1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Определение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момента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начала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и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окончания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права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на</w:t>
      </w:r>
      <w:r w:rsidR="0029409F" w:rsidRPr="00FE0E17">
        <w:rPr>
          <w:b/>
          <w:color w:val="000000"/>
        </w:rPr>
        <w:t xml:space="preserve"> </w:t>
      </w:r>
      <w:r w:rsidRPr="00FE0E17">
        <w:rPr>
          <w:b/>
          <w:color w:val="000000"/>
        </w:rPr>
        <w:t>жизнь</w:t>
      </w:r>
    </w:p>
    <w:p w:rsidR="0029409F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1972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американский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биолог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Поттер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ввел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научный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оборот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понятие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«биоэтика».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понимал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новую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научную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дисциплину,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объединяющую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биологическое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знание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человеческие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ценности.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Первоначально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биоэтические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проблемы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связывались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проблемами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искусственного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прерывания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беременности,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эвтаназии,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сексуальных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отношений,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медицинского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обслуживания,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пересадки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дальнейшем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число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расширено.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Традиционно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биоэтика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рассматривается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аспектах:</w:t>
      </w: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-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соотношение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биологической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человека;</w:t>
      </w: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-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взаимодействие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соматических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вопросов;</w:t>
      </w: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-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фактор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опасности,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вызванной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неопределенностью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риском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неконтролируемых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научных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исследований.</w:t>
      </w:r>
    </w:p>
    <w:p w:rsidR="00692E1F" w:rsidRPr="00FE0E17" w:rsidRDefault="0096361F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настоящее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время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правовое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регулирование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искусственного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(аборта)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осуществляется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посредством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двух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федеральных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законов.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Речь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идет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Основах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законодательства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охране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здоровья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граждан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Уголовном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кодексе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РФ.</w:t>
      </w:r>
    </w:p>
    <w:p w:rsidR="0096361F" w:rsidRPr="00FE0E17" w:rsidRDefault="0096361F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соответствии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36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«незаконное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проведение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искусственного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влечет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собой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уголовную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ответственность,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установленную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законодательством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РФ».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Таким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образом,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ст.36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отсылает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B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силу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ст.123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Уголовного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кодекса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«незаконное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производство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аборта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лицом,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имеющим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высшего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медицинского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образования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соответствующего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профиля,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наказывается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штрафом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размере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100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200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МРОТ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или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размере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зарплаты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или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дохода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осужденного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период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2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месяцев,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либо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обязательными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работами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срок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100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240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часов,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либо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исправительными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работами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срок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года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двух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лет».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сопоставлении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ст.36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ст.123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обнаруживается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несоответствие.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Во-первых,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ст.36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используется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исключительно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термин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«искусственное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беременности»,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слово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«аборт»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употребляется.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ст.123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УК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РФ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об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«искусственном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сказано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слова,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употребляется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термин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«аборт».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Во-вторых,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исходя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смысла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36,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также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31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незаконное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имеет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место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случае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нарушения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сроков,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произвольного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расширения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медицинских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социальных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показаний,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отсутствия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необходимой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достоверной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информации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последствиях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аборта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т.п.</w:t>
      </w:r>
    </w:p>
    <w:p w:rsidR="0096361F" w:rsidRPr="00FE0E17" w:rsidRDefault="0096361F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Согласно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36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искусственное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сроке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22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недель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допускается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социальным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показаниям.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Впервые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социальные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показания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для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искусственного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были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утверждены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31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декабря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1987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г.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приказом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Минздрава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СССР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№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1324,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котором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содержался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перечень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немедицинских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(т.е.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социальных)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показаний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для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сроках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13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28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недель: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смерть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мужа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время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жены,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пребывание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женщины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мужа)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местах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лишения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свободы,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лишение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материнства,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многодетность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(число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детей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свыше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пяти),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развод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время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инвалидность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ребенка.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Этот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перечень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намного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уже,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тот,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который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действует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наши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дни.</w:t>
      </w:r>
    </w:p>
    <w:p w:rsidR="00692E1F" w:rsidRPr="00FE0E17" w:rsidRDefault="0096361F" w:rsidP="0029409F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FE0E17">
        <w:rPr>
          <w:snapToGrid w:val="0"/>
          <w:color w:val="000000"/>
          <w:sz w:val="28"/>
          <w:szCs w:val="28"/>
        </w:rPr>
        <w:t>Характерно,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российское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законодательство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предусматривает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врача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прерывания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беременности.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Действительно,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закрепленное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  <w:u w:val="single"/>
        </w:rPr>
        <w:t>ст.58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лечащего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врача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«наблюдения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лечения»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пациента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может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быть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реализовано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лишь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наличии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следующих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оснований.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Во-первых,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такой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допустим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только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случае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несоблюдения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пациентом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предписаний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правил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внутреннего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распорядка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ЛПУ.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Во-вторых,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врача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наблюдения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лечения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пациента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должен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угрожать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жизни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пациента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здоровью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окружающих.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Очевидно,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нежелание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врача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умерщвлять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зародившуюся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жизнь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вписывается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очерченные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рамки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«наблюдения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лечения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больного».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Тем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менее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представляется,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что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ст.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58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Основ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не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является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препятствием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пути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законодательного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закрепления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права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врача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на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отказ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от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производства</w:t>
      </w:r>
      <w:r w:rsidR="0029409F" w:rsidRPr="00FE0E17">
        <w:rPr>
          <w:snapToGrid w:val="0"/>
          <w:color w:val="000000"/>
          <w:sz w:val="28"/>
          <w:szCs w:val="28"/>
        </w:rPr>
        <w:t xml:space="preserve"> </w:t>
      </w:r>
      <w:r w:rsidRPr="00FE0E17">
        <w:rPr>
          <w:snapToGrid w:val="0"/>
          <w:color w:val="000000"/>
          <w:sz w:val="28"/>
          <w:szCs w:val="28"/>
        </w:rPr>
        <w:t>аборта.</w:t>
      </w: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Нормативные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Министерства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здравоохранения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1955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разрешают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производство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врачом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лечебных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стационарных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учреждениях,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наличии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согласия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беременной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женщины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операцию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медицинских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показаний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проведения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операции.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Медицинские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источники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более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точное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емкое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понятие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«произведенного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имеющим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врачебного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звания,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хотя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произведенного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врачом,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надлежащим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образом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оформленных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медицинских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показаний,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наличии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последних,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больниц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специальных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лечебных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заведений».</w:t>
      </w:r>
    </w:p>
    <w:p w:rsidR="00692E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Однако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позиция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отражения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современном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Общеизвестно,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высшую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силу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диспозитивном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предусматривает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один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конструктивный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характеризующий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опасное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ведомственный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правомочен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«дополнить»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расширить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перечень.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производства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грубейшими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медицинских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требований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законе)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фактически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являющегося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криминальным,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виновные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наказываются,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дисциплинарном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порядке.</w:t>
      </w:r>
    </w:p>
    <w:p w:rsidR="0096361F" w:rsidRPr="00FE0E17" w:rsidRDefault="0096361F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Кроме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целесообразно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ужесточить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ответственности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незаконный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дополнив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санкцию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123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двух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(сегодня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максимальное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исправительные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работы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двух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лет),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квалифицирующих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признаках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повлекшее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неосторожности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потерпевшей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причинение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тяжкого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вреда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здоровью,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семи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свободы.</w:t>
      </w:r>
    </w:p>
    <w:p w:rsidR="008E2D52" w:rsidRPr="00FE0E17" w:rsidRDefault="008E2D52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246815271"/>
    </w:p>
    <w:p w:rsidR="00A420AC" w:rsidRPr="00FE0E17" w:rsidRDefault="0029409F" w:rsidP="0029409F">
      <w:pPr>
        <w:pStyle w:val="1"/>
        <w:keepNext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E0E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A3613C" w:rsidRPr="00FE0E17">
        <w:rPr>
          <w:rFonts w:ascii="Times New Roman" w:hAnsi="Times New Roman" w:cs="Times New Roman"/>
          <w:color w:val="000000"/>
          <w:sz w:val="28"/>
        </w:rPr>
        <w:t>3.</w:t>
      </w:r>
      <w:r w:rsidRPr="00FE0E17">
        <w:rPr>
          <w:color w:val="000000"/>
        </w:rPr>
        <w:t xml:space="preserve"> </w:t>
      </w:r>
      <w:r w:rsidR="00A3613C" w:rsidRPr="00FE0E17">
        <w:rPr>
          <w:rFonts w:ascii="Times New Roman" w:hAnsi="Times New Roman" w:cs="Times New Roman"/>
          <w:color w:val="000000"/>
          <w:sz w:val="28"/>
        </w:rPr>
        <w:t>Обеспечение</w:t>
      </w:r>
      <w:r w:rsidRPr="00FE0E17">
        <w:rPr>
          <w:color w:val="000000"/>
        </w:rPr>
        <w:t xml:space="preserve"> </w:t>
      </w:r>
      <w:r w:rsidR="00A3613C" w:rsidRPr="00FE0E17">
        <w:rPr>
          <w:rFonts w:ascii="Times New Roman" w:hAnsi="Times New Roman" w:cs="Times New Roman"/>
          <w:color w:val="000000"/>
          <w:sz w:val="28"/>
        </w:rPr>
        <w:t>права</w:t>
      </w:r>
      <w:r w:rsidRPr="00FE0E17">
        <w:rPr>
          <w:color w:val="000000"/>
        </w:rPr>
        <w:t xml:space="preserve"> </w:t>
      </w:r>
      <w:r w:rsidR="00A3613C" w:rsidRPr="00FE0E17">
        <w:rPr>
          <w:rFonts w:ascii="Times New Roman" w:hAnsi="Times New Roman" w:cs="Times New Roman"/>
          <w:color w:val="000000"/>
          <w:sz w:val="28"/>
        </w:rPr>
        <w:t>на</w:t>
      </w:r>
      <w:r w:rsidRPr="00FE0E17">
        <w:rPr>
          <w:color w:val="000000"/>
        </w:rPr>
        <w:t xml:space="preserve"> </w:t>
      </w:r>
      <w:r w:rsidR="00A3613C" w:rsidRPr="00FE0E17">
        <w:rPr>
          <w:rFonts w:ascii="Times New Roman" w:hAnsi="Times New Roman" w:cs="Times New Roman"/>
          <w:color w:val="000000"/>
          <w:sz w:val="28"/>
        </w:rPr>
        <w:t>жизнь</w:t>
      </w:r>
    </w:p>
    <w:p w:rsidR="00A3613C" w:rsidRPr="00FE0E17" w:rsidRDefault="00A3613C" w:rsidP="0029409F">
      <w:pPr>
        <w:pStyle w:val="ConsNormal"/>
        <w:widowControl/>
        <w:tabs>
          <w:tab w:val="left" w:pos="7020"/>
        </w:tabs>
        <w:spacing w:line="360" w:lineRule="auto"/>
        <w:ind w:right="0" w:firstLine="709"/>
        <w:jc w:val="both"/>
        <w:rPr>
          <w:color w:val="000000"/>
        </w:rPr>
      </w:pPr>
    </w:p>
    <w:p w:rsidR="00692E1F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Сегодня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регионах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довольно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пеструю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картину,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причем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организационным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формам,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темпам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продвижения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модели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устройства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механизма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Особенность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состояния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важнейшего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демократии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сегодня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заключается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задача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выступает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внутренняя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задача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чиновников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аппарата,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населения,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определению.</w:t>
      </w:r>
    </w:p>
    <w:p w:rsidR="00692E1F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Наличие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закрепляющих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беспрепятственно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пользоваться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свободами,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вовсе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означает,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каждому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автоматически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гарантируется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Наличие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необходимым,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отнюдь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достаточным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личностью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практике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отношений.</w:t>
      </w:r>
    </w:p>
    <w:p w:rsidR="00692E1F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Исключение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вынужден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прибегать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например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обороне.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ситуациях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активные,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значимые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Представляется,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противоправных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посягательств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стадиями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наличии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двух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стадий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специфика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</w:p>
    <w:p w:rsidR="00692E1F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Особое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внимание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обратить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стадию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поскольку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специфическая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функция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состоит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превентивном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«Мудрый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отмечал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Маркс,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предупредит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вынужденным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наказать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него».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эффективности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зависит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(например,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здоровье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физическую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свободу).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Вместе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отмечают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исследователи,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науке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практике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единства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взглядов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предупреждения,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профилактики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И.В.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Ростовщиков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отмечает,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профилактику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традиционно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рассматривают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рамках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(охраны)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мнению,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отличаясь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связана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конкретными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нарушениями,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обычно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перспективной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превенции.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справедливо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подчеркивает,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предупреждение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посягательств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разновидность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которая,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принципе,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социальные,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организационные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факторы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(иногда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путем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поощрительных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норм),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компетентных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обладают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государственно-властными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полномочиями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масштабах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организаций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формирований,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массовых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правозащитных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движений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организаций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отсутствуют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полномочия,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силы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полноценную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Возникает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уж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внимание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направлению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правозащитной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выделению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комплекса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задач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управления.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Высказывается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мнение,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выделить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комплекса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подсистему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невозможно,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широком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смысле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защиту.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Государственная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статистика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последних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свидетельствует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непрерывном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количества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обращений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Показательны,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частности,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данные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работы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Уполномоченного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последние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года.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(начиная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мая)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адрес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поступило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6978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жалоб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обращений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1999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22815,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2000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–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24985.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Аналогичная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динамика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отмечается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работе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Администрации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Президента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Думы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Собрания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аппарата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Прокуратуры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Министерства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внутренних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Дальнейшее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совершенствование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предполагает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уяснение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некоторых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теоретических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особенности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лежащего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концепции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механизма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устанавливает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комплекс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представляющего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ведущее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направление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определяет,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высшей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ценностью,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обязуется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признавать,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защищать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более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подробно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раскрывается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статьях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текущем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Признавая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конкретно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содержание,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объем,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пределы,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обязанности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(например,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уплата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налогов)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(военная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служба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др.)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Охрана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одновременно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регулирование.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Отнесение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ведению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конституционно-правового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регулирования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сфере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подчеркивает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приоритет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сферы,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единство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подходе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</w:t>
      </w:r>
      <w:r w:rsidR="008E2D52" w:rsidRPr="00FE0E17">
        <w:rPr>
          <w:color w:val="000000"/>
        </w:rPr>
        <w:t>анина</w:t>
      </w:r>
      <w:r w:rsidR="0029409F" w:rsidRPr="00FE0E17">
        <w:rPr>
          <w:color w:val="000000"/>
        </w:rPr>
        <w:t xml:space="preserve"> </w:t>
      </w:r>
      <w:r w:rsidR="008E2D52"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="008E2D52" w:rsidRPr="00FE0E17">
        <w:rPr>
          <w:color w:val="000000"/>
        </w:rPr>
        <w:t>всей</w:t>
      </w:r>
      <w:r w:rsidR="0029409F" w:rsidRPr="00FE0E17">
        <w:rPr>
          <w:color w:val="000000"/>
        </w:rPr>
        <w:t xml:space="preserve"> </w:t>
      </w:r>
      <w:r w:rsidR="008E2D52" w:rsidRPr="00FE0E17">
        <w:rPr>
          <w:color w:val="000000"/>
        </w:rPr>
        <w:t>территории</w:t>
      </w:r>
      <w:r w:rsidR="0029409F" w:rsidRPr="00FE0E17">
        <w:rPr>
          <w:color w:val="000000"/>
        </w:rPr>
        <w:t xml:space="preserve"> </w:t>
      </w:r>
      <w:r w:rsidR="008E2D52" w:rsidRPr="00FE0E17">
        <w:rPr>
          <w:color w:val="000000"/>
        </w:rPr>
        <w:t>России</w:t>
      </w:r>
      <w:r w:rsidRPr="00FE0E17">
        <w:rPr>
          <w:color w:val="000000"/>
        </w:rPr>
        <w:t>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Президенте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80).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Выполняя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Президент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согласованное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функционирование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взаимодействие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причем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субъектов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114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возлагает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полномочия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собственности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порядка,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борьбе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преступностью.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Федерации»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возлагается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полномочие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контроля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министерствами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ведомствами.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связи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уполномочивает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отменять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исполнительной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приостанавливать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применять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дисциплинарного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воздействия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вплоть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увольнения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назначаемым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Правительством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должностным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лицам.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129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закрепляет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статусе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Прокуратуры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осуществляющих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надзор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исполнением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территории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законов.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103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предусматривает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введение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Уполномоченного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образования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целостной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Принятие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«Об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Уполномоченном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явилось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вехой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пути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укрепления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России.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гарантирует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45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устанавливает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обжалование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бездействия)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местного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самоуправления,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объединений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должностных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Конституция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действующее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закрепляют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ряд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положений,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посвященных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процедурам,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формам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методам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Указанные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первичные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правила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поведения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живую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ткань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«набора»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зависит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очень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многое.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Эти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разновидности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предопределяют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чертах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классификацию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Конституционные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нормы-дефиниции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воспроизводятся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последующих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полностью,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служат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построения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формулирования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норм.</w:t>
      </w:r>
    </w:p>
    <w:p w:rsidR="008E2D52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Включение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норм-запретов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рассчитано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превентивное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сохранения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правомерного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поведения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юридических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физических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служат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своеобразными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индикаторами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противоправных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действий.</w:t>
      </w:r>
    </w:p>
    <w:p w:rsidR="00A420AC" w:rsidRPr="00FE0E17" w:rsidRDefault="00A420A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Думается,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несмотря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многообразие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защиты)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говорить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принципах,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целях,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задачах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сфер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правообеспечительной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осуществляющих.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Учитывая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всевозрастающую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роль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гражданина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устойчивого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развития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современного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мира,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представляется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говорить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особой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предупреждения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функции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первую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очередь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органов.</w:t>
      </w:r>
    </w:p>
    <w:p w:rsidR="00A420AC" w:rsidRPr="00FE0E17" w:rsidRDefault="00A420AC" w:rsidP="0029409F">
      <w:pPr>
        <w:pStyle w:val="ConsNormal"/>
        <w:widowControl/>
        <w:tabs>
          <w:tab w:val="left" w:pos="7020"/>
        </w:tabs>
        <w:spacing w:line="360" w:lineRule="auto"/>
        <w:ind w:right="0" w:firstLine="709"/>
        <w:jc w:val="both"/>
        <w:rPr>
          <w:color w:val="000000"/>
        </w:rPr>
      </w:pPr>
    </w:p>
    <w:p w:rsidR="0029409F" w:rsidRPr="00FE0E17" w:rsidRDefault="0029409F" w:rsidP="0029409F">
      <w:pPr>
        <w:pStyle w:val="ConsNormal"/>
        <w:widowControl/>
        <w:tabs>
          <w:tab w:val="left" w:pos="7020"/>
        </w:tabs>
        <w:spacing w:line="360" w:lineRule="auto"/>
        <w:ind w:right="0" w:firstLine="709"/>
        <w:jc w:val="both"/>
        <w:rPr>
          <w:color w:val="000000"/>
        </w:rPr>
      </w:pPr>
    </w:p>
    <w:p w:rsidR="006B3D5D" w:rsidRPr="00FE0E17" w:rsidRDefault="0029409F" w:rsidP="0029409F">
      <w:pPr>
        <w:pStyle w:val="ConsNormal"/>
        <w:widowControl/>
        <w:spacing w:line="360" w:lineRule="auto"/>
        <w:ind w:right="0" w:firstLine="709"/>
        <w:jc w:val="both"/>
        <w:rPr>
          <w:b/>
          <w:color w:val="000000"/>
        </w:rPr>
      </w:pPr>
      <w:r w:rsidRPr="00FE0E17">
        <w:rPr>
          <w:b/>
          <w:color w:val="000000"/>
        </w:rPr>
        <w:br w:type="page"/>
      </w:r>
      <w:r w:rsidR="006B3D5D" w:rsidRPr="00FE0E17">
        <w:rPr>
          <w:b/>
          <w:color w:val="000000"/>
        </w:rPr>
        <w:t>Заключение</w:t>
      </w:r>
    </w:p>
    <w:p w:rsidR="006B3D5D" w:rsidRPr="00FE0E17" w:rsidRDefault="006B3D5D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  <w:kern w:val="32"/>
        </w:rPr>
      </w:pP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Итак,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подведем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черту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нашим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скромным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исследованием.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неделимы,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единый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комплекс,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совокупности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нельзя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хотя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составляющую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ущерб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другим.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Недопустимо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противопоставление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какого-либо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было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другому.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замечание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справедливо,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поскольку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противном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будет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принцип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уважения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принцип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универсальности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неделимости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исключает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систематизации.</w:t>
      </w: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Бесспорно,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приоритетным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является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важнейшее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бессмысленно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ставить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вопрос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остальных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стороны,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конечно,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недостаточно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полноценного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существования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развития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требуются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уважение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соблюдение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Иначе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обнаружим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существование,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блестящие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известны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русской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советской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классической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литературы.</w:t>
      </w: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Следует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признать,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сегодня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российской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функции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урегулированы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недостаточно,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создан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механизм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эффективной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реализации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полномочий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охране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Усиление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правозащитной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функции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расширения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компетенции,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внесения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необходимых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изменений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действующее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законодательство,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совершенствования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организации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административно-юридических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процедур.</w:t>
      </w: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Нарушения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различных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областях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общественных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отношений,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когда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прямо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предусматривает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административного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судебного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разрешения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спора.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Сфера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принуждения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требует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определения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пределов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контроля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стороны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институтов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административной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судебной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власти.</w:t>
      </w: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Для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классификации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обстоятельств,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лежащих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целесообразно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использовать,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прежде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нормотворческие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отклонения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(принятие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законодательных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нормативных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соответствующих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установлениям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Конституции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РФ,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гарантирующим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свободы).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Федеральные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законы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милиции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оперативно-розыскной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допускают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несанкционированное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проникновение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жилые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помещения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использование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электронных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получения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информации.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роду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виду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деятельности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обстоятельства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возможны: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пресечении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правонарушений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применении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мер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административного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воздействия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(административный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произвол);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уголовном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судопроизводстве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стадиях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предварительного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расследования,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непосредственно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судебных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стадиях);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нередки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случаи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неисполнения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должностными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правоохранительных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обязанностей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обеспечению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осуществления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процессуальных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участников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судопроизводства: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доступ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правосудию,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др.;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3)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сфере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гражданского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судопроизводства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(отказ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приеме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исковых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заявлений,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правил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подсудности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подведомственности,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несоблюдение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сроков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рассмотрения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необоснованное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приостановление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производства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делу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др.).</w:t>
      </w:r>
    </w:p>
    <w:p w:rsidR="00A3613C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целом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основных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можно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разделить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две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группы: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1)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имеют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массового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затрагивают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интерес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отдельных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лиц,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совершаются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систематически.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Например,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незаконный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арест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результате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допущенной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ошибки.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Борьба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такими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происходит,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правило,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помощью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которыми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располагает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(законодательство,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органы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суда,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прокуратуры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т.д.);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2)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массовые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грубые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затрагивающие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интересы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ряда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стран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мира.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Например,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преступления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германского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фашизма,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свобод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человека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ходе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современных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вооруженных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конфликтов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немеждународного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актов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терроризма.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Борьба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подобными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нарушениями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только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использованием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национальных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государственно-правовых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так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средств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международно-правового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характера.</w:t>
      </w:r>
    </w:p>
    <w:p w:rsidR="00632844" w:rsidRPr="00FE0E17" w:rsidRDefault="00A3613C" w:rsidP="0029409F">
      <w:pPr>
        <w:pStyle w:val="ConsNormal"/>
        <w:widowControl/>
        <w:spacing w:line="360" w:lineRule="auto"/>
        <w:ind w:right="0" w:firstLine="709"/>
        <w:jc w:val="both"/>
        <w:rPr>
          <w:color w:val="000000"/>
        </w:rPr>
      </w:pP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современных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условиях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жизнь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чаще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подвергается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испытаниям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прочность.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Легализация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абортов,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возможная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легализация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эвтаназии,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усиление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террористических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антитеррористических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инцидентов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миру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тому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подтверждение.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Кроме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того,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должную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защиту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этого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права,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обеспечивает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безопасность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личности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современном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мире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всеми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его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многочисленными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угрозами.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другой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стороны,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смертная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казнь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во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многих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государствах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уже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отменена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или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не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исполняется,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что,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однако,</w:t>
      </w:r>
      <w:r w:rsidR="0029409F" w:rsidRPr="00FE0E17">
        <w:rPr>
          <w:color w:val="000000"/>
        </w:rPr>
        <w:t xml:space="preserve"> </w:t>
      </w:r>
      <w:r w:rsidRPr="00FE0E17">
        <w:rPr>
          <w:color w:val="000000"/>
        </w:rPr>
        <w:t>може</w:t>
      </w:r>
      <w:r w:rsidR="008378BD" w:rsidRPr="00FE0E17">
        <w:rPr>
          <w:color w:val="000000"/>
        </w:rPr>
        <w:t>т</w:t>
      </w:r>
      <w:r w:rsidR="0029409F" w:rsidRPr="00FE0E17">
        <w:rPr>
          <w:color w:val="000000"/>
        </w:rPr>
        <w:t xml:space="preserve"> </w:t>
      </w:r>
      <w:r w:rsidR="008378BD" w:rsidRPr="00FE0E17">
        <w:rPr>
          <w:color w:val="000000"/>
        </w:rPr>
        <w:t>служить</w:t>
      </w:r>
      <w:r w:rsidR="0029409F" w:rsidRPr="00FE0E17">
        <w:rPr>
          <w:color w:val="000000"/>
        </w:rPr>
        <w:t xml:space="preserve"> </w:t>
      </w:r>
      <w:r w:rsidR="008378BD" w:rsidRPr="00FE0E17">
        <w:rPr>
          <w:color w:val="000000"/>
        </w:rPr>
        <w:t>лишь</w:t>
      </w:r>
      <w:r w:rsidR="0029409F" w:rsidRPr="00FE0E17">
        <w:rPr>
          <w:color w:val="000000"/>
        </w:rPr>
        <w:t xml:space="preserve"> </w:t>
      </w:r>
      <w:r w:rsidR="008378BD" w:rsidRPr="00FE0E17">
        <w:rPr>
          <w:color w:val="000000"/>
        </w:rPr>
        <w:t>слабым</w:t>
      </w:r>
      <w:r w:rsidR="0029409F" w:rsidRPr="00FE0E17">
        <w:rPr>
          <w:color w:val="000000"/>
        </w:rPr>
        <w:t xml:space="preserve"> </w:t>
      </w:r>
      <w:r w:rsidR="008378BD" w:rsidRPr="00FE0E17">
        <w:rPr>
          <w:color w:val="000000"/>
        </w:rPr>
        <w:t>утешением</w:t>
      </w:r>
    </w:p>
    <w:p w:rsidR="00226EA2" w:rsidRPr="00FE0E17" w:rsidRDefault="00226EA2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5" w:name="_Toc217535075"/>
      <w:bookmarkStart w:id="6" w:name="_Toc218091960"/>
      <w:bookmarkStart w:id="7" w:name="_Toc246815276"/>
      <w:bookmarkStart w:id="8" w:name="_Toc194324521"/>
      <w:bookmarkEnd w:id="4"/>
    </w:p>
    <w:bookmarkEnd w:id="5"/>
    <w:bookmarkEnd w:id="6"/>
    <w:bookmarkEnd w:id="7"/>
    <w:p w:rsidR="005F01BB" w:rsidRPr="00FE0E17" w:rsidRDefault="005F01BB" w:rsidP="0029409F">
      <w:pPr>
        <w:spacing w:line="360" w:lineRule="auto"/>
        <w:ind w:firstLine="709"/>
        <w:jc w:val="both"/>
        <w:rPr>
          <w:color w:val="000000"/>
          <w:sz w:val="28"/>
        </w:rPr>
      </w:pPr>
    </w:p>
    <w:p w:rsidR="00226EA2" w:rsidRPr="00FE0E17" w:rsidRDefault="0029409F" w:rsidP="0029409F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E0E17">
        <w:rPr>
          <w:color w:val="000000"/>
          <w:sz w:val="28"/>
        </w:rPr>
        <w:br w:type="page"/>
      </w:r>
      <w:r w:rsidR="00226EA2" w:rsidRPr="00FE0E17">
        <w:rPr>
          <w:b/>
          <w:color w:val="000000"/>
          <w:sz w:val="28"/>
          <w:szCs w:val="28"/>
        </w:rPr>
        <w:t>Глоссарий</w:t>
      </w:r>
    </w:p>
    <w:p w:rsidR="00226EA2" w:rsidRPr="00FE0E17" w:rsidRDefault="00226EA2" w:rsidP="002940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954"/>
      </w:tblGrid>
      <w:tr w:rsidR="00747FE7" w:rsidRPr="00FE0E17" w:rsidTr="000C76D8">
        <w:trPr>
          <w:trHeight w:val="145"/>
        </w:trPr>
        <w:tc>
          <w:tcPr>
            <w:tcW w:w="709" w:type="dxa"/>
          </w:tcPr>
          <w:bookmarkEnd w:id="8"/>
          <w:p w:rsidR="00747FE7" w:rsidRPr="00FE0E17" w:rsidRDefault="00747FE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47FE7" w:rsidRPr="00FE0E17" w:rsidRDefault="00747FE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Новое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5954" w:type="dxa"/>
          </w:tcPr>
          <w:p w:rsidR="00747FE7" w:rsidRPr="00FE0E17" w:rsidRDefault="00747FE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F71660" w:rsidRPr="00FE0E17" w:rsidTr="000C76D8">
        <w:trPr>
          <w:trHeight w:val="145"/>
        </w:trPr>
        <w:tc>
          <w:tcPr>
            <w:tcW w:w="709" w:type="dxa"/>
          </w:tcPr>
          <w:p w:rsidR="00F71660" w:rsidRPr="00FE0E17" w:rsidRDefault="00F71660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71660" w:rsidRPr="00FE0E17" w:rsidRDefault="00005E58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954" w:type="dxa"/>
          </w:tcPr>
          <w:p w:rsidR="00F71660" w:rsidRPr="00FE0E17" w:rsidRDefault="00005E58" w:rsidP="002940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Состояние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защищенности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жизненно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важных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интересов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(совокупность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потребностей,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удовлетворение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которых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надежно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обеспечивает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существование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возможности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прогрессивного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развития)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личности,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общества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государства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внутренних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внешних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угроз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(совокупности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условий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факторов,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создающих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опасность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жизненно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важным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интересам).</w:t>
            </w:r>
          </w:p>
        </w:tc>
      </w:tr>
      <w:tr w:rsidR="00747FE7" w:rsidRPr="00FE0E17" w:rsidTr="000C76D8">
        <w:trPr>
          <w:trHeight w:val="145"/>
        </w:trPr>
        <w:tc>
          <w:tcPr>
            <w:tcW w:w="709" w:type="dxa"/>
          </w:tcPr>
          <w:p w:rsidR="00747FE7" w:rsidRPr="00FE0E17" w:rsidRDefault="00747FE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7FE7" w:rsidRPr="00FE0E17" w:rsidRDefault="00005E58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Государственный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5954" w:type="dxa"/>
          </w:tcPr>
          <w:p w:rsidR="00EB0106" w:rsidRPr="00FE0E17" w:rsidRDefault="00005E58" w:rsidP="0029409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Единоличный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коллективный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субъект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(независимо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его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гражданско-правовой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иной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правосубъектности),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который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возложено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исполнение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публичных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функций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деятельность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которого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силу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этого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полностью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либо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частично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финансируется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за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счет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государственного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бюджета.</w:t>
            </w:r>
          </w:p>
        </w:tc>
      </w:tr>
      <w:tr w:rsidR="00BB7C6F" w:rsidRPr="00FE0E17" w:rsidTr="000C76D8">
        <w:trPr>
          <w:trHeight w:val="145"/>
        </w:trPr>
        <w:tc>
          <w:tcPr>
            <w:tcW w:w="709" w:type="dxa"/>
          </w:tcPr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B7C6F" w:rsidRPr="00FE0E17" w:rsidRDefault="00005E58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Естественное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5954" w:type="dxa"/>
          </w:tcPr>
          <w:p w:rsidR="00BB7C6F" w:rsidRPr="00FE0E17" w:rsidRDefault="00FD6824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С</w:t>
            </w:r>
            <w:r w:rsidR="00005E58" w:rsidRPr="00FE0E17">
              <w:rPr>
                <w:color w:val="000000"/>
                <w:sz w:val="20"/>
                <w:szCs w:val="20"/>
              </w:rPr>
              <w:t>истема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правовых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норм,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содержание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которых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обусловлено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природой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человека,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общества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Вселенной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не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подлежит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произвольному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изменению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волей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государства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отдельных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005E58" w:rsidRPr="00FE0E17">
              <w:rPr>
                <w:color w:val="000000"/>
                <w:sz w:val="20"/>
                <w:szCs w:val="20"/>
              </w:rPr>
              <w:t>лиц</w:t>
            </w:r>
          </w:p>
        </w:tc>
      </w:tr>
      <w:tr w:rsidR="00BB7C6F" w:rsidRPr="00FE0E17" w:rsidTr="000C76D8">
        <w:trPr>
          <w:trHeight w:val="145"/>
        </w:trPr>
        <w:tc>
          <w:tcPr>
            <w:tcW w:w="709" w:type="dxa"/>
          </w:tcPr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D6824" w:rsidRPr="00FE0E17" w:rsidRDefault="00FD6824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Жизнь</w:t>
            </w:r>
          </w:p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BB7C6F" w:rsidRPr="00FE0E17" w:rsidRDefault="00FD6824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Форма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бытия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биологических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существ,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характеризующаяся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обменом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веществ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другими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видами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  <w:tr w:rsidR="00BB7C6F" w:rsidRPr="00FE0E17" w:rsidTr="000C76D8">
        <w:trPr>
          <w:trHeight w:val="145"/>
        </w:trPr>
        <w:tc>
          <w:tcPr>
            <w:tcW w:w="709" w:type="dxa"/>
          </w:tcPr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B7C6F" w:rsidRPr="00FE0E17" w:rsidRDefault="00FD6824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Закон</w:t>
            </w:r>
          </w:p>
        </w:tc>
        <w:tc>
          <w:tcPr>
            <w:tcW w:w="5954" w:type="dxa"/>
          </w:tcPr>
          <w:p w:rsidR="00FD6824" w:rsidRPr="00FE0E17" w:rsidRDefault="00FD6824" w:rsidP="0029409F">
            <w:pPr>
              <w:pStyle w:val="af2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Акт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высшей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юридической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силы,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регулирующий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наиболее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важные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общественные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отношения,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как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правило,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имеющий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нормативный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характер.</w:t>
            </w:r>
          </w:p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C6F" w:rsidRPr="00FE0E17" w:rsidTr="000C76D8">
        <w:trPr>
          <w:trHeight w:val="145"/>
        </w:trPr>
        <w:tc>
          <w:tcPr>
            <w:tcW w:w="709" w:type="dxa"/>
          </w:tcPr>
          <w:p w:rsidR="00BB7C6F" w:rsidRPr="00FE0E17" w:rsidRDefault="00BB7C6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B7C6F" w:rsidRPr="00FE0E17" w:rsidRDefault="009D4BE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Защита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5954" w:type="dxa"/>
          </w:tcPr>
          <w:p w:rsidR="00BB7C6F" w:rsidRPr="00FE0E17" w:rsidRDefault="009D4BEF" w:rsidP="0029409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Правовой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механизм,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обеспечивающий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условия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для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реализации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субъективного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права.</w:t>
            </w:r>
          </w:p>
        </w:tc>
      </w:tr>
      <w:tr w:rsidR="00B557C7" w:rsidRPr="00FE0E17" w:rsidTr="000C76D8">
        <w:trPr>
          <w:trHeight w:val="145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57C7" w:rsidRPr="00FE0E17" w:rsidRDefault="009D4BE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Конституционный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закон</w:t>
            </w:r>
          </w:p>
        </w:tc>
        <w:tc>
          <w:tcPr>
            <w:tcW w:w="5954" w:type="dxa"/>
          </w:tcPr>
          <w:p w:rsidR="00B557C7" w:rsidRPr="00FE0E17" w:rsidRDefault="009D4BE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Закон,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вносящий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изменения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конституцию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составляющий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часть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некодифицированной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конституции</w:t>
            </w:r>
          </w:p>
        </w:tc>
      </w:tr>
      <w:tr w:rsidR="00B557C7" w:rsidRPr="00FE0E17" w:rsidTr="000C76D8">
        <w:trPr>
          <w:trHeight w:val="145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557C7" w:rsidRPr="00FE0E17" w:rsidRDefault="009D4BEF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Конституция</w:t>
            </w:r>
          </w:p>
        </w:tc>
        <w:tc>
          <w:tcPr>
            <w:tcW w:w="5954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Н</w:t>
            </w:r>
            <w:r w:rsidR="009D4BEF" w:rsidRPr="00FE0E17">
              <w:rPr>
                <w:color w:val="000000"/>
                <w:sz w:val="20"/>
                <w:szCs w:val="20"/>
              </w:rPr>
              <w:t>ормативный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правовой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акт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высшей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юридической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силы,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устанавливающий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принципы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порядок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функционирования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государства,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также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взаимоотношения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государства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личности,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соответствии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со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сложившимися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обществе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представлениями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характере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содержании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такого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="009D4BEF" w:rsidRPr="00FE0E17">
              <w:rPr>
                <w:color w:val="000000"/>
                <w:sz w:val="20"/>
                <w:szCs w:val="20"/>
              </w:rPr>
              <w:t>регулирования.</w:t>
            </w:r>
          </w:p>
        </w:tc>
      </w:tr>
      <w:tr w:rsidR="00B557C7" w:rsidRPr="00FE0E17" w:rsidTr="000C76D8">
        <w:trPr>
          <w:trHeight w:val="145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Поправка</w:t>
            </w:r>
          </w:p>
        </w:tc>
        <w:tc>
          <w:tcPr>
            <w:tcW w:w="5954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Предложение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изменении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дополнении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юридического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документа,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числе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нормативного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акта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проекта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нормативного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акта.</w:t>
            </w:r>
          </w:p>
        </w:tc>
      </w:tr>
      <w:tr w:rsidR="00B557C7" w:rsidRPr="00FE0E17" w:rsidTr="000C76D8">
        <w:trPr>
          <w:trHeight w:val="1974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Правосудие</w:t>
            </w:r>
          </w:p>
        </w:tc>
        <w:tc>
          <w:tcPr>
            <w:tcW w:w="5954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Деятельность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разрешению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споров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между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гражданами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(или)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юридическими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лицами,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состоящая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толковании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обязательном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применении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спорным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правоотношениям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норм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права,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также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установление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фактов,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имеющих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юридическое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значение.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П.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осуществляется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от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имени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государства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специальными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органами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(судами)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установленном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законе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процессуальном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порядке.</w:t>
            </w:r>
          </w:p>
        </w:tc>
      </w:tr>
      <w:tr w:rsidR="00B557C7" w:rsidRPr="00FE0E17" w:rsidTr="000C76D8">
        <w:trPr>
          <w:trHeight w:val="1469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С</w:t>
            </w:r>
            <w:r w:rsidR="008C6EBD" w:rsidRPr="00FE0E17">
              <w:rPr>
                <w:color w:val="000000"/>
                <w:sz w:val="20"/>
                <w:szCs w:val="20"/>
              </w:rPr>
              <w:t>уд</w:t>
            </w:r>
          </w:p>
        </w:tc>
        <w:tc>
          <w:tcPr>
            <w:tcW w:w="5954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Государственный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орган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некоторых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случаях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–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также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общественный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орган,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например,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третейский),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осуществляющий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рассмотрение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разрешение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споров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между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гражданами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(или)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юридическими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лицами.</w:t>
            </w:r>
          </w:p>
        </w:tc>
      </w:tr>
      <w:tr w:rsidR="00B557C7" w:rsidRPr="00FE0E17" w:rsidTr="000C76D8">
        <w:trPr>
          <w:trHeight w:val="961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Судебная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власть</w:t>
            </w:r>
          </w:p>
        </w:tc>
        <w:tc>
          <w:tcPr>
            <w:tcW w:w="5954" w:type="dxa"/>
          </w:tcPr>
          <w:p w:rsidR="00B557C7" w:rsidRPr="00FE0E17" w:rsidRDefault="008C6EBD" w:rsidP="0029409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Правосудие,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осуществляемое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посредством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гражданского,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административного,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уголовного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конституционного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судопроизводства.</w:t>
            </w:r>
          </w:p>
        </w:tc>
      </w:tr>
      <w:tr w:rsidR="00B557C7" w:rsidRPr="00FE0E17" w:rsidTr="000C76D8">
        <w:trPr>
          <w:trHeight w:val="1114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Эвтаназия</w:t>
            </w:r>
          </w:p>
        </w:tc>
        <w:tc>
          <w:tcPr>
            <w:tcW w:w="5954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Удовлетворение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просьбы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больного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ускорении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его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смерти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какими-либо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действиями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или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средствами,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том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числе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прекращением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искусственных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мер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поддержанию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жизни.</w:t>
            </w:r>
          </w:p>
        </w:tc>
      </w:tr>
      <w:tr w:rsidR="00B557C7" w:rsidRPr="00FE0E17" w:rsidTr="000C76D8">
        <w:trPr>
          <w:trHeight w:val="451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Юрисдикция</w:t>
            </w:r>
          </w:p>
        </w:tc>
        <w:tc>
          <w:tcPr>
            <w:tcW w:w="5954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Пределы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распространения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властных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полномочий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(территория,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которую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распространяется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ю.,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круг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лиц,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подпадающих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под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ю.).</w:t>
            </w:r>
          </w:p>
        </w:tc>
      </w:tr>
      <w:tr w:rsidR="00B557C7" w:rsidRPr="00FE0E17" w:rsidTr="000C76D8">
        <w:trPr>
          <w:trHeight w:val="1326"/>
        </w:trPr>
        <w:tc>
          <w:tcPr>
            <w:tcW w:w="709" w:type="dxa"/>
          </w:tcPr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bCs/>
                <w:color w:val="000000"/>
                <w:sz w:val="20"/>
                <w:szCs w:val="20"/>
              </w:rPr>
              <w:t>Язык</w:t>
            </w:r>
            <w:r w:rsidR="0029409F" w:rsidRPr="00FE0E1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bCs/>
                <w:color w:val="000000"/>
                <w:sz w:val="20"/>
                <w:szCs w:val="20"/>
              </w:rPr>
              <w:t>официальный</w:t>
            </w:r>
          </w:p>
          <w:p w:rsidR="00B557C7" w:rsidRPr="00FE0E17" w:rsidRDefault="00B557C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B557C7" w:rsidRPr="00FE0E17" w:rsidRDefault="003D2D47" w:rsidP="002940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E17">
              <w:rPr>
                <w:color w:val="000000"/>
                <w:sz w:val="20"/>
                <w:szCs w:val="20"/>
              </w:rPr>
              <w:t>Язык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населения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местности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компактного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проживания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нации,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не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имеющей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своих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национально-государственных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национально-территориальных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образований,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который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используется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официальных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сферах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общения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в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данной</w:t>
            </w:r>
            <w:r w:rsidR="0029409F" w:rsidRPr="00FE0E17">
              <w:rPr>
                <w:color w:val="000000"/>
                <w:sz w:val="20"/>
                <w:szCs w:val="20"/>
              </w:rPr>
              <w:t xml:space="preserve"> </w:t>
            </w:r>
            <w:r w:rsidRPr="00FE0E17">
              <w:rPr>
                <w:color w:val="000000"/>
                <w:sz w:val="20"/>
                <w:szCs w:val="20"/>
              </w:rPr>
              <w:t>местности.</w:t>
            </w:r>
          </w:p>
        </w:tc>
      </w:tr>
    </w:tbl>
    <w:p w:rsidR="003D2D47" w:rsidRPr="00FE0E17" w:rsidRDefault="003D2D47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_Toc240961270"/>
      <w:bookmarkStart w:id="10" w:name="_Toc240961298"/>
      <w:bookmarkStart w:id="11" w:name="_Toc240961913"/>
      <w:bookmarkStart w:id="12" w:name="_Toc241032066"/>
      <w:bookmarkStart w:id="13" w:name="_Toc241032167"/>
      <w:bookmarkStart w:id="14" w:name="_Toc241033489"/>
      <w:bookmarkStart w:id="15" w:name="_Toc249192819"/>
      <w:bookmarkStart w:id="16" w:name="_Toc218091961"/>
      <w:bookmarkStart w:id="17" w:name="_Toc246815277"/>
    </w:p>
    <w:p w:rsidR="003D2D47" w:rsidRPr="00FE0E17" w:rsidRDefault="003D2D47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B3D5D" w:rsidRPr="00FE0E17" w:rsidRDefault="0029409F" w:rsidP="0029409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E0E17">
        <w:rPr>
          <w:rFonts w:ascii="Times New Roman" w:hAnsi="Times New Roman" w:cs="Times New Roman"/>
          <w:color w:val="000000"/>
          <w:sz w:val="28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r w:rsidR="006B3D5D" w:rsidRPr="00FE0E17">
        <w:rPr>
          <w:rFonts w:ascii="Times New Roman" w:hAnsi="Times New Roman" w:cs="Times New Roman"/>
          <w:color w:val="000000"/>
          <w:sz w:val="28"/>
        </w:rPr>
        <w:t>Список</w:t>
      </w:r>
      <w:r w:rsidRPr="00FE0E17">
        <w:rPr>
          <w:rFonts w:ascii="Times New Roman" w:hAnsi="Times New Roman" w:cs="Times New Roman"/>
          <w:color w:val="000000"/>
          <w:sz w:val="28"/>
        </w:rPr>
        <w:t xml:space="preserve"> </w:t>
      </w:r>
      <w:r w:rsidR="006B3D5D" w:rsidRPr="00FE0E17">
        <w:rPr>
          <w:rFonts w:ascii="Times New Roman" w:hAnsi="Times New Roman" w:cs="Times New Roman"/>
          <w:color w:val="000000"/>
          <w:sz w:val="28"/>
        </w:rPr>
        <w:t>использованных</w:t>
      </w:r>
      <w:r w:rsidRPr="00FE0E17">
        <w:rPr>
          <w:rFonts w:ascii="Times New Roman" w:hAnsi="Times New Roman" w:cs="Times New Roman"/>
          <w:color w:val="000000"/>
          <w:sz w:val="28"/>
        </w:rPr>
        <w:t xml:space="preserve"> </w:t>
      </w:r>
      <w:r w:rsidR="006B3D5D" w:rsidRPr="00FE0E17">
        <w:rPr>
          <w:rFonts w:ascii="Times New Roman" w:hAnsi="Times New Roman" w:cs="Times New Roman"/>
          <w:color w:val="000000"/>
          <w:sz w:val="28"/>
        </w:rPr>
        <w:t>источников</w:t>
      </w:r>
    </w:p>
    <w:p w:rsidR="003D2D47" w:rsidRPr="00FE0E17" w:rsidRDefault="003D2D47" w:rsidP="0029409F">
      <w:pPr>
        <w:spacing w:line="360" w:lineRule="auto"/>
        <w:jc w:val="both"/>
        <w:rPr>
          <w:color w:val="000000"/>
          <w:sz w:val="28"/>
        </w:rPr>
      </w:pP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1.Конституция Российской Федерации [Текст]: [офиц. текст от 12 декабpя 1993 г. принята всенаpодным голосованием, по состоянию на 12 июля 2006 г. № 2-ФКЗ]// Российская газета. - 1993. - 25 декабря. - №237; 2006. - 15 июля.- № 153.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2.Гражданский кодекс Российской Федерации. [Текст]: [федеральный закон: принят Часть первая 30 ноября 1994 г. № 51-ФЗ. Часть вторая 26 января 1996 г. № 14-ФЗ; Часть тpетья 26.11.2001 № 146-ФЗ; Часть четвертая 18 декабря 2006 г. № 230-ФЗ, по состоянию на 23 июля 2008 г. № 160-ФЗ] // Собрание законодательства РФ. - 1994. - №32. - cт.3301; 1996. - №5. - Ст.410; 2001.- № 49. - Ст. 4552; 2006. - № 52 (часть I). - Ст. 5496: 2008. - № 30 (часть II). - Ст. 3616.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3.Уголовный кодекс Российской Федерации [Текст]: [офиц.текст от 13.06.1996 N 63-ФЗ // Собрание законодательства РФ, 17.06.1996, N 25, ст. 2954.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4.Уголовно-исполнительный кодекс Российской Федерации [Текст]: [офиц.текст от 08.01.1997 N 1-ФЗ // Собрание законодательства РФ, 13.01.1997, N 2, ст. 198.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5.Указ Президента РФ «О поэтапном сокращении применения смертной казни в связи с вхождением России в Совет Европы» [Текст]: [принят 16июня1996 № 724] // СЗ РФ от 20.05.1996, № 21, ст. 2468.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6.Постановление Правительства РФ «О Перечне социальных показаний для искусственного прерывания беременности» [Текст] : [от 11.08.2003 № 485 ] // СЗ РФ от 18.08.2003, № 33, ст. 3275.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7.Иногатова – Хегай А.В. Уголовное право России [Текст] / А.В. Иногатова – Хегай // М.: ИНФРА – М – Контракт, 2006 ISBN: 378-5-377-01859-5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8.Каламкарян Р.А., Карпец И.И., Блищенко И.П. Международное уголовное право[Текст]/ Под ред. Кудрявцева В.Н.// М.: Наука, 2000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9.ISBN: 978-5-397-08346-4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10.Кочои С.М. Геноцид: понятие, ответственность, практика [Текст]/ С.М Кочои // М.: Юристъ, 2004 ISBN: 528-5-397-05666-4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11.Барихин, А. Б. Большой юридический энциклопедический словарь [Текст] /Авт.-сост. А. Б. Барихин. - М. :Книжный мир,2008. -792 с. - ISBN 978-5-8041-0301-0.</w:t>
      </w:r>
    </w:p>
    <w:p w:rsidR="0029409F" w:rsidRPr="00FE0E17" w:rsidRDefault="0029409F" w:rsidP="0029409F">
      <w:pPr>
        <w:spacing w:line="360" w:lineRule="auto"/>
        <w:jc w:val="both"/>
        <w:rPr>
          <w:color w:val="000000"/>
          <w:sz w:val="28"/>
        </w:rPr>
      </w:pPr>
      <w:r w:rsidRPr="00FE0E17">
        <w:rPr>
          <w:color w:val="000000"/>
          <w:sz w:val="28"/>
        </w:rPr>
        <w:t>12.Батянов, М.В. Срок действия договора и защита гражданских прав [Текст] / М.В. Батянов // Защита гражданских прав: Сборник научных статей / Под ред. М.В. Немытиной, В.А. Хохлова. Сер. «Права человека: сферы реализации». Вып. 1.-Саратов: Изд-во Сарат. ун-та, 2003. -С. 117-134.</w:t>
      </w:r>
    </w:p>
    <w:p w:rsidR="00B56787" w:rsidRPr="00FE0E17" w:rsidRDefault="00B56787" w:rsidP="0029409F">
      <w:pPr>
        <w:spacing w:line="360" w:lineRule="auto"/>
        <w:jc w:val="both"/>
        <w:rPr>
          <w:color w:val="000000"/>
          <w:sz w:val="28"/>
        </w:rPr>
      </w:pPr>
    </w:p>
    <w:p w:rsidR="00B56787" w:rsidRPr="000C76D8" w:rsidRDefault="00B56787" w:rsidP="00B56787">
      <w:pPr>
        <w:spacing w:line="360" w:lineRule="auto"/>
        <w:jc w:val="center"/>
        <w:rPr>
          <w:color w:val="FFFFFF"/>
          <w:sz w:val="28"/>
          <w:szCs w:val="28"/>
        </w:rPr>
      </w:pPr>
      <w:bookmarkStart w:id="18" w:name="_GoBack"/>
      <w:bookmarkEnd w:id="16"/>
      <w:bookmarkEnd w:id="17"/>
      <w:bookmarkEnd w:id="18"/>
    </w:p>
    <w:sectPr w:rsidR="00B56787" w:rsidRPr="000C76D8" w:rsidSect="002940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17" w:rsidRDefault="00FE0E17">
      <w:r>
        <w:separator/>
      </w:r>
    </w:p>
  </w:endnote>
  <w:endnote w:type="continuationSeparator" w:id="0">
    <w:p w:rsidR="00FE0E17" w:rsidRDefault="00F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F" w:rsidRDefault="0029409F" w:rsidP="00B67270">
    <w:pPr>
      <w:pStyle w:val="ac"/>
      <w:framePr w:wrap="around" w:vAnchor="text" w:hAnchor="margin" w:xAlign="center" w:y="1"/>
      <w:rPr>
        <w:rStyle w:val="ab"/>
      </w:rPr>
    </w:pPr>
  </w:p>
  <w:p w:rsidR="0029409F" w:rsidRDefault="0029409F" w:rsidP="007F4A9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F" w:rsidRDefault="0029409F" w:rsidP="0029409F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17" w:rsidRDefault="00FE0E17">
      <w:r>
        <w:separator/>
      </w:r>
    </w:p>
  </w:footnote>
  <w:footnote w:type="continuationSeparator" w:id="0">
    <w:p w:rsidR="00FE0E17" w:rsidRDefault="00FE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F" w:rsidRDefault="0029409F" w:rsidP="007F4A99">
    <w:pPr>
      <w:pStyle w:val="a9"/>
      <w:framePr w:wrap="around" w:vAnchor="text" w:hAnchor="margin" w:xAlign="center" w:y="1"/>
      <w:rPr>
        <w:rStyle w:val="ab"/>
      </w:rPr>
    </w:pPr>
  </w:p>
  <w:p w:rsidR="0029409F" w:rsidRDefault="0029409F" w:rsidP="00E8325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F" w:rsidRPr="00B56787" w:rsidRDefault="0029409F" w:rsidP="00B56787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D3C"/>
    <w:multiLevelType w:val="hybridMultilevel"/>
    <w:tmpl w:val="D11A86BC"/>
    <w:lvl w:ilvl="0" w:tplc="62D035B4">
      <w:start w:val="1"/>
      <w:numFmt w:val="decimal"/>
      <w:lvlText w:val="%1."/>
      <w:lvlJc w:val="left"/>
      <w:pPr>
        <w:tabs>
          <w:tab w:val="num" w:pos="1106"/>
        </w:tabs>
        <w:ind w:firstLine="397"/>
      </w:pPr>
      <w:rPr>
        <w:rFonts w:ascii="Times New Roman" w:hAnsi="Times New Roman" w:cs="Times New Roman" w:hint="default"/>
        <w:spacing w:val="0"/>
        <w:kern w:val="0"/>
        <w:position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50435"/>
    <w:multiLevelType w:val="hybridMultilevel"/>
    <w:tmpl w:val="15723C9A"/>
    <w:lvl w:ilvl="0" w:tplc="5F20D492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D674E"/>
    <w:multiLevelType w:val="hybridMultilevel"/>
    <w:tmpl w:val="98B60996"/>
    <w:lvl w:ilvl="0" w:tplc="E7E4A7D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BB3C27"/>
    <w:multiLevelType w:val="hybridMultilevel"/>
    <w:tmpl w:val="CF9C3D76"/>
    <w:lvl w:ilvl="0" w:tplc="1548CA8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E06F3A"/>
    <w:multiLevelType w:val="hybridMultilevel"/>
    <w:tmpl w:val="AEB00A20"/>
    <w:lvl w:ilvl="0" w:tplc="62D035B4">
      <w:start w:val="1"/>
      <w:numFmt w:val="decimal"/>
      <w:lvlText w:val="%1."/>
      <w:lvlJc w:val="left"/>
      <w:pPr>
        <w:tabs>
          <w:tab w:val="num" w:pos="1106"/>
        </w:tabs>
        <w:ind w:firstLine="397"/>
      </w:pPr>
      <w:rPr>
        <w:rFonts w:ascii="Times New Roman" w:hAnsi="Times New Roman" w:cs="Times New Roman" w:hint="default"/>
        <w:spacing w:val="0"/>
        <w:kern w:val="0"/>
        <w:position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783655"/>
    <w:multiLevelType w:val="multilevel"/>
    <w:tmpl w:val="D1E60410"/>
    <w:lvl w:ilvl="0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83F05"/>
    <w:multiLevelType w:val="hybridMultilevel"/>
    <w:tmpl w:val="4E4C32D6"/>
    <w:lvl w:ilvl="0" w:tplc="62D035B4">
      <w:start w:val="1"/>
      <w:numFmt w:val="decimal"/>
      <w:lvlText w:val="%1."/>
      <w:lvlJc w:val="left"/>
      <w:pPr>
        <w:tabs>
          <w:tab w:val="num" w:pos="1069"/>
        </w:tabs>
        <w:ind w:left="-37" w:firstLine="397"/>
      </w:pPr>
      <w:rPr>
        <w:rFonts w:ascii="Times New Roman" w:hAnsi="Times New Roman" w:cs="Times New Roman" w:hint="default"/>
        <w:spacing w:val="0"/>
        <w:kern w:val="0"/>
        <w:position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7">
    <w:nsid w:val="247B3494"/>
    <w:multiLevelType w:val="hybridMultilevel"/>
    <w:tmpl w:val="B05AEA80"/>
    <w:lvl w:ilvl="0" w:tplc="F1C0EC64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5975B7"/>
    <w:multiLevelType w:val="hybridMultilevel"/>
    <w:tmpl w:val="613A5E94"/>
    <w:lvl w:ilvl="0" w:tplc="BEBCAC1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5F2FB5"/>
    <w:multiLevelType w:val="multilevel"/>
    <w:tmpl w:val="EC1ECC1A"/>
    <w:lvl w:ilvl="0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6609CC"/>
    <w:multiLevelType w:val="multilevel"/>
    <w:tmpl w:val="F7C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76BF3"/>
    <w:multiLevelType w:val="hybridMultilevel"/>
    <w:tmpl w:val="2D324346"/>
    <w:lvl w:ilvl="0" w:tplc="F3BC26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9DF57D1"/>
    <w:multiLevelType w:val="hybridMultilevel"/>
    <w:tmpl w:val="B00AFFAC"/>
    <w:lvl w:ilvl="0" w:tplc="EC4017A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55572A"/>
    <w:multiLevelType w:val="hybridMultilevel"/>
    <w:tmpl w:val="CBC0FD3C"/>
    <w:lvl w:ilvl="0" w:tplc="D5E68188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4">
    <w:nsid w:val="3F932200"/>
    <w:multiLevelType w:val="multilevel"/>
    <w:tmpl w:val="6CB287EE"/>
    <w:lvl w:ilvl="0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731161"/>
    <w:multiLevelType w:val="hybridMultilevel"/>
    <w:tmpl w:val="E2A6A0EA"/>
    <w:lvl w:ilvl="0" w:tplc="62D035B4">
      <w:start w:val="1"/>
      <w:numFmt w:val="decimal"/>
      <w:lvlText w:val="%1."/>
      <w:lvlJc w:val="left"/>
      <w:pPr>
        <w:tabs>
          <w:tab w:val="num" w:pos="1106"/>
        </w:tabs>
        <w:ind w:firstLine="397"/>
      </w:pPr>
      <w:rPr>
        <w:rFonts w:ascii="Times New Roman" w:hAnsi="Times New Roman" w:cs="Times New Roman" w:hint="default"/>
        <w:spacing w:val="0"/>
        <w:kern w:val="0"/>
        <w:position w:val="0"/>
        <w:sz w:val="28"/>
        <w:szCs w:val="28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E15AEA"/>
    <w:multiLevelType w:val="hybridMultilevel"/>
    <w:tmpl w:val="8DAC801A"/>
    <w:lvl w:ilvl="0" w:tplc="4F8AC0B6">
      <w:start w:val="1"/>
      <w:numFmt w:val="decimal"/>
      <w:lvlText w:val="%1."/>
      <w:lvlJc w:val="left"/>
      <w:pPr>
        <w:tabs>
          <w:tab w:val="num" w:pos="2495"/>
        </w:tabs>
        <w:ind w:left="2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5"/>
        </w:tabs>
        <w:ind w:left="3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5"/>
        </w:tabs>
        <w:ind w:left="3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5"/>
        </w:tabs>
        <w:ind w:left="5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5"/>
        </w:tabs>
        <w:ind w:left="6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5"/>
        </w:tabs>
        <w:ind w:left="7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5"/>
        </w:tabs>
        <w:ind w:left="8255" w:hanging="180"/>
      </w:pPr>
      <w:rPr>
        <w:rFonts w:cs="Times New Roman"/>
      </w:rPr>
    </w:lvl>
  </w:abstractNum>
  <w:abstractNum w:abstractNumId="17">
    <w:nsid w:val="54CF4BC1"/>
    <w:multiLevelType w:val="multilevel"/>
    <w:tmpl w:val="D46A72F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8">
    <w:nsid w:val="6518233B"/>
    <w:multiLevelType w:val="hybridMultilevel"/>
    <w:tmpl w:val="29DAFEE6"/>
    <w:lvl w:ilvl="0" w:tplc="4E08F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30BB9"/>
    <w:multiLevelType w:val="hybridMultilevel"/>
    <w:tmpl w:val="FDE87448"/>
    <w:lvl w:ilvl="0" w:tplc="69A8CBF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2A72AF"/>
    <w:multiLevelType w:val="hybridMultilevel"/>
    <w:tmpl w:val="20105202"/>
    <w:lvl w:ilvl="0" w:tplc="CACC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BEA3270"/>
    <w:multiLevelType w:val="hybridMultilevel"/>
    <w:tmpl w:val="61D8EF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550CF2"/>
    <w:multiLevelType w:val="multilevel"/>
    <w:tmpl w:val="192AB290"/>
    <w:lvl w:ilvl="0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2B0CA7"/>
    <w:multiLevelType w:val="singleLevel"/>
    <w:tmpl w:val="3E243F60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7E22399D"/>
    <w:multiLevelType w:val="hybridMultilevel"/>
    <w:tmpl w:val="BBF2D2DA"/>
    <w:lvl w:ilvl="0" w:tplc="B308ECBA">
      <w:start w:val="1"/>
      <w:numFmt w:val="decimal"/>
      <w:lvlText w:val="%1."/>
      <w:lvlJc w:val="left"/>
      <w:pPr>
        <w:tabs>
          <w:tab w:val="num" w:pos="1077"/>
        </w:tabs>
        <w:ind w:firstLine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8"/>
  </w:num>
  <w:num w:numId="5">
    <w:abstractNumId w:val="23"/>
  </w:num>
  <w:num w:numId="6">
    <w:abstractNumId w:val="6"/>
  </w:num>
  <w:num w:numId="7">
    <w:abstractNumId w:val="20"/>
  </w:num>
  <w:num w:numId="8">
    <w:abstractNumId w:val="15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22"/>
  </w:num>
  <w:num w:numId="16">
    <w:abstractNumId w:val="10"/>
  </w:num>
  <w:num w:numId="17">
    <w:abstractNumId w:val="3"/>
  </w:num>
  <w:num w:numId="18">
    <w:abstractNumId w:val="19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  <w:num w:numId="23">
    <w:abstractNumId w:val="2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512"/>
    <w:rsid w:val="0000038D"/>
    <w:rsid w:val="000005C0"/>
    <w:rsid w:val="00005E58"/>
    <w:rsid w:val="00010809"/>
    <w:rsid w:val="00011D75"/>
    <w:rsid w:val="0002292B"/>
    <w:rsid w:val="0002341A"/>
    <w:rsid w:val="00025977"/>
    <w:rsid w:val="000267FE"/>
    <w:rsid w:val="00034C30"/>
    <w:rsid w:val="00057E53"/>
    <w:rsid w:val="00070822"/>
    <w:rsid w:val="00075E6F"/>
    <w:rsid w:val="000824F0"/>
    <w:rsid w:val="00095072"/>
    <w:rsid w:val="000952EC"/>
    <w:rsid w:val="0009705A"/>
    <w:rsid w:val="000A0942"/>
    <w:rsid w:val="000B1F32"/>
    <w:rsid w:val="000C1EE8"/>
    <w:rsid w:val="000C76D8"/>
    <w:rsid w:val="000D47A4"/>
    <w:rsid w:val="000F5276"/>
    <w:rsid w:val="00100A62"/>
    <w:rsid w:val="00101ADD"/>
    <w:rsid w:val="0011117D"/>
    <w:rsid w:val="00113658"/>
    <w:rsid w:val="00120C8E"/>
    <w:rsid w:val="0012667E"/>
    <w:rsid w:val="00131CD4"/>
    <w:rsid w:val="001340D7"/>
    <w:rsid w:val="00140C45"/>
    <w:rsid w:val="0014278B"/>
    <w:rsid w:val="00146F94"/>
    <w:rsid w:val="001510AF"/>
    <w:rsid w:val="00163100"/>
    <w:rsid w:val="00163B6B"/>
    <w:rsid w:val="001806CB"/>
    <w:rsid w:val="00185388"/>
    <w:rsid w:val="00190DAD"/>
    <w:rsid w:val="001A30E8"/>
    <w:rsid w:val="001C18F9"/>
    <w:rsid w:val="001D3FD3"/>
    <w:rsid w:val="001D52B8"/>
    <w:rsid w:val="001D6DEB"/>
    <w:rsid w:val="001E15F2"/>
    <w:rsid w:val="001E2AA5"/>
    <w:rsid w:val="001E2E07"/>
    <w:rsid w:val="001E60D9"/>
    <w:rsid w:val="0020522D"/>
    <w:rsid w:val="00224073"/>
    <w:rsid w:val="002246AE"/>
    <w:rsid w:val="00226EA2"/>
    <w:rsid w:val="00234D53"/>
    <w:rsid w:val="002554FD"/>
    <w:rsid w:val="002664A2"/>
    <w:rsid w:val="00282839"/>
    <w:rsid w:val="0029409F"/>
    <w:rsid w:val="002B219E"/>
    <w:rsid w:val="002B34B1"/>
    <w:rsid w:val="002B3BAC"/>
    <w:rsid w:val="002B7F85"/>
    <w:rsid w:val="002C31CA"/>
    <w:rsid w:val="002C4609"/>
    <w:rsid w:val="002D32AB"/>
    <w:rsid w:val="002F77D3"/>
    <w:rsid w:val="0030679E"/>
    <w:rsid w:val="003239C6"/>
    <w:rsid w:val="00324EDC"/>
    <w:rsid w:val="0032788A"/>
    <w:rsid w:val="00333E9E"/>
    <w:rsid w:val="00334428"/>
    <w:rsid w:val="00343509"/>
    <w:rsid w:val="003462EE"/>
    <w:rsid w:val="00350F50"/>
    <w:rsid w:val="003620A8"/>
    <w:rsid w:val="00365B4B"/>
    <w:rsid w:val="003808E4"/>
    <w:rsid w:val="00383E58"/>
    <w:rsid w:val="00391731"/>
    <w:rsid w:val="0039173E"/>
    <w:rsid w:val="003A487F"/>
    <w:rsid w:val="003B4260"/>
    <w:rsid w:val="003B5630"/>
    <w:rsid w:val="003D2D47"/>
    <w:rsid w:val="003D7006"/>
    <w:rsid w:val="003F1AF6"/>
    <w:rsid w:val="003F393D"/>
    <w:rsid w:val="00413436"/>
    <w:rsid w:val="00415F77"/>
    <w:rsid w:val="00420E8D"/>
    <w:rsid w:val="00430392"/>
    <w:rsid w:val="0045057E"/>
    <w:rsid w:val="00453AC4"/>
    <w:rsid w:val="0045599E"/>
    <w:rsid w:val="00473D8C"/>
    <w:rsid w:val="004803D5"/>
    <w:rsid w:val="00482864"/>
    <w:rsid w:val="00491C1C"/>
    <w:rsid w:val="004975A9"/>
    <w:rsid w:val="004B2531"/>
    <w:rsid w:val="004B2A66"/>
    <w:rsid w:val="004B79E8"/>
    <w:rsid w:val="004C6A2B"/>
    <w:rsid w:val="004E66A3"/>
    <w:rsid w:val="004E7077"/>
    <w:rsid w:val="00500D2D"/>
    <w:rsid w:val="005079F5"/>
    <w:rsid w:val="00522846"/>
    <w:rsid w:val="00523DF3"/>
    <w:rsid w:val="00524862"/>
    <w:rsid w:val="0053076B"/>
    <w:rsid w:val="005361FC"/>
    <w:rsid w:val="00540D39"/>
    <w:rsid w:val="005514D3"/>
    <w:rsid w:val="00554133"/>
    <w:rsid w:val="00554D43"/>
    <w:rsid w:val="00562F69"/>
    <w:rsid w:val="00564B69"/>
    <w:rsid w:val="00564E63"/>
    <w:rsid w:val="005826FC"/>
    <w:rsid w:val="00585BB3"/>
    <w:rsid w:val="00594294"/>
    <w:rsid w:val="005944EF"/>
    <w:rsid w:val="005C3FD9"/>
    <w:rsid w:val="005C4617"/>
    <w:rsid w:val="005C71DE"/>
    <w:rsid w:val="005E43FD"/>
    <w:rsid w:val="005E493E"/>
    <w:rsid w:val="005E5472"/>
    <w:rsid w:val="005F01BB"/>
    <w:rsid w:val="005F4E85"/>
    <w:rsid w:val="005F5A4D"/>
    <w:rsid w:val="005F6603"/>
    <w:rsid w:val="005F67AD"/>
    <w:rsid w:val="00610DFB"/>
    <w:rsid w:val="00613EA2"/>
    <w:rsid w:val="0062780C"/>
    <w:rsid w:val="00631688"/>
    <w:rsid w:val="00632844"/>
    <w:rsid w:val="00633FFB"/>
    <w:rsid w:val="00637821"/>
    <w:rsid w:val="00642B10"/>
    <w:rsid w:val="00642E05"/>
    <w:rsid w:val="006452C8"/>
    <w:rsid w:val="00653E79"/>
    <w:rsid w:val="00657A06"/>
    <w:rsid w:val="00662958"/>
    <w:rsid w:val="00692E1F"/>
    <w:rsid w:val="00695DB5"/>
    <w:rsid w:val="006A6407"/>
    <w:rsid w:val="006B3D5D"/>
    <w:rsid w:val="006D716A"/>
    <w:rsid w:val="006E5BA6"/>
    <w:rsid w:val="006F4182"/>
    <w:rsid w:val="006F5C06"/>
    <w:rsid w:val="006F7F76"/>
    <w:rsid w:val="007033A5"/>
    <w:rsid w:val="00712967"/>
    <w:rsid w:val="00735F36"/>
    <w:rsid w:val="007361B5"/>
    <w:rsid w:val="00747FE7"/>
    <w:rsid w:val="00754AA2"/>
    <w:rsid w:val="00755512"/>
    <w:rsid w:val="00756DB0"/>
    <w:rsid w:val="00760005"/>
    <w:rsid w:val="00773B3D"/>
    <w:rsid w:val="00774248"/>
    <w:rsid w:val="007743F1"/>
    <w:rsid w:val="00784483"/>
    <w:rsid w:val="00790969"/>
    <w:rsid w:val="007A1DAE"/>
    <w:rsid w:val="007B4E1F"/>
    <w:rsid w:val="007D2F3B"/>
    <w:rsid w:val="007D43C0"/>
    <w:rsid w:val="007D59FC"/>
    <w:rsid w:val="007D78A7"/>
    <w:rsid w:val="007F4A99"/>
    <w:rsid w:val="007F5411"/>
    <w:rsid w:val="008002CF"/>
    <w:rsid w:val="008013E5"/>
    <w:rsid w:val="008022C7"/>
    <w:rsid w:val="00806C7F"/>
    <w:rsid w:val="00806DA6"/>
    <w:rsid w:val="00812106"/>
    <w:rsid w:val="00820DD3"/>
    <w:rsid w:val="0083196B"/>
    <w:rsid w:val="0083348D"/>
    <w:rsid w:val="008378BD"/>
    <w:rsid w:val="008467CC"/>
    <w:rsid w:val="00853843"/>
    <w:rsid w:val="00864BA3"/>
    <w:rsid w:val="008671AB"/>
    <w:rsid w:val="008727AA"/>
    <w:rsid w:val="008758BD"/>
    <w:rsid w:val="0087715B"/>
    <w:rsid w:val="00894C63"/>
    <w:rsid w:val="0089532C"/>
    <w:rsid w:val="0089635E"/>
    <w:rsid w:val="008B0986"/>
    <w:rsid w:val="008B3843"/>
    <w:rsid w:val="008C6EBD"/>
    <w:rsid w:val="008D0458"/>
    <w:rsid w:val="008D776E"/>
    <w:rsid w:val="008E2D52"/>
    <w:rsid w:val="008E39EC"/>
    <w:rsid w:val="008E5ADF"/>
    <w:rsid w:val="00912D72"/>
    <w:rsid w:val="00917374"/>
    <w:rsid w:val="00927009"/>
    <w:rsid w:val="00930631"/>
    <w:rsid w:val="00935736"/>
    <w:rsid w:val="00935C55"/>
    <w:rsid w:val="00937E3B"/>
    <w:rsid w:val="0094121B"/>
    <w:rsid w:val="009564EA"/>
    <w:rsid w:val="009602B2"/>
    <w:rsid w:val="009616FC"/>
    <w:rsid w:val="009628D3"/>
    <w:rsid w:val="0096361F"/>
    <w:rsid w:val="009658F2"/>
    <w:rsid w:val="00972C0A"/>
    <w:rsid w:val="00974882"/>
    <w:rsid w:val="0097675C"/>
    <w:rsid w:val="00976E78"/>
    <w:rsid w:val="00977BB5"/>
    <w:rsid w:val="009A024F"/>
    <w:rsid w:val="009A593F"/>
    <w:rsid w:val="009B5EC0"/>
    <w:rsid w:val="009B7F67"/>
    <w:rsid w:val="009C1B0E"/>
    <w:rsid w:val="009D415F"/>
    <w:rsid w:val="009D4BEF"/>
    <w:rsid w:val="009E497A"/>
    <w:rsid w:val="009E5182"/>
    <w:rsid w:val="009F1FD4"/>
    <w:rsid w:val="009F4E35"/>
    <w:rsid w:val="009F75B8"/>
    <w:rsid w:val="00A021F5"/>
    <w:rsid w:val="00A135E6"/>
    <w:rsid w:val="00A24C4C"/>
    <w:rsid w:val="00A25692"/>
    <w:rsid w:val="00A2669C"/>
    <w:rsid w:val="00A27379"/>
    <w:rsid w:val="00A3613C"/>
    <w:rsid w:val="00A420AC"/>
    <w:rsid w:val="00A45D9B"/>
    <w:rsid w:val="00A47C23"/>
    <w:rsid w:val="00A65254"/>
    <w:rsid w:val="00A67863"/>
    <w:rsid w:val="00A71835"/>
    <w:rsid w:val="00A72BCF"/>
    <w:rsid w:val="00A86CEB"/>
    <w:rsid w:val="00A9288D"/>
    <w:rsid w:val="00A95FF0"/>
    <w:rsid w:val="00AB23B1"/>
    <w:rsid w:val="00AB45F0"/>
    <w:rsid w:val="00AD280A"/>
    <w:rsid w:val="00AF1B29"/>
    <w:rsid w:val="00B031A1"/>
    <w:rsid w:val="00B06233"/>
    <w:rsid w:val="00B06B90"/>
    <w:rsid w:val="00B15E72"/>
    <w:rsid w:val="00B21CD6"/>
    <w:rsid w:val="00B3094F"/>
    <w:rsid w:val="00B353CB"/>
    <w:rsid w:val="00B41269"/>
    <w:rsid w:val="00B4160B"/>
    <w:rsid w:val="00B507DC"/>
    <w:rsid w:val="00B557C7"/>
    <w:rsid w:val="00B56787"/>
    <w:rsid w:val="00B67270"/>
    <w:rsid w:val="00B82833"/>
    <w:rsid w:val="00B87A06"/>
    <w:rsid w:val="00B97714"/>
    <w:rsid w:val="00BB1CBD"/>
    <w:rsid w:val="00BB7C6F"/>
    <w:rsid w:val="00BD0A31"/>
    <w:rsid w:val="00BD5994"/>
    <w:rsid w:val="00BE1730"/>
    <w:rsid w:val="00BE444D"/>
    <w:rsid w:val="00BF00AF"/>
    <w:rsid w:val="00C024D9"/>
    <w:rsid w:val="00C05E57"/>
    <w:rsid w:val="00C13BC2"/>
    <w:rsid w:val="00C33415"/>
    <w:rsid w:val="00C36F03"/>
    <w:rsid w:val="00C40096"/>
    <w:rsid w:val="00C517E6"/>
    <w:rsid w:val="00C62042"/>
    <w:rsid w:val="00C62685"/>
    <w:rsid w:val="00C66EB7"/>
    <w:rsid w:val="00C71246"/>
    <w:rsid w:val="00C91498"/>
    <w:rsid w:val="00C92F52"/>
    <w:rsid w:val="00C96BCA"/>
    <w:rsid w:val="00CA4CE6"/>
    <w:rsid w:val="00CA5BE5"/>
    <w:rsid w:val="00CB764E"/>
    <w:rsid w:val="00CC4891"/>
    <w:rsid w:val="00CF1D0D"/>
    <w:rsid w:val="00D010CA"/>
    <w:rsid w:val="00D01FF9"/>
    <w:rsid w:val="00D06146"/>
    <w:rsid w:val="00D27BA1"/>
    <w:rsid w:val="00D343BF"/>
    <w:rsid w:val="00D35E6A"/>
    <w:rsid w:val="00D4371B"/>
    <w:rsid w:val="00D47B6C"/>
    <w:rsid w:val="00D51506"/>
    <w:rsid w:val="00D62DEC"/>
    <w:rsid w:val="00D70CCF"/>
    <w:rsid w:val="00D75B17"/>
    <w:rsid w:val="00D948FE"/>
    <w:rsid w:val="00D95055"/>
    <w:rsid w:val="00D96ABD"/>
    <w:rsid w:val="00DA07F8"/>
    <w:rsid w:val="00DA30EE"/>
    <w:rsid w:val="00DC024D"/>
    <w:rsid w:val="00DD3A25"/>
    <w:rsid w:val="00DF2446"/>
    <w:rsid w:val="00DF73E5"/>
    <w:rsid w:val="00E008FA"/>
    <w:rsid w:val="00E1296C"/>
    <w:rsid w:val="00E164C4"/>
    <w:rsid w:val="00E21A1F"/>
    <w:rsid w:val="00E22D41"/>
    <w:rsid w:val="00E26148"/>
    <w:rsid w:val="00E50229"/>
    <w:rsid w:val="00E55B0D"/>
    <w:rsid w:val="00E56C78"/>
    <w:rsid w:val="00E576AD"/>
    <w:rsid w:val="00E60214"/>
    <w:rsid w:val="00E6317F"/>
    <w:rsid w:val="00E74D86"/>
    <w:rsid w:val="00E83255"/>
    <w:rsid w:val="00E83466"/>
    <w:rsid w:val="00E84E05"/>
    <w:rsid w:val="00E90A89"/>
    <w:rsid w:val="00E915FF"/>
    <w:rsid w:val="00E935A6"/>
    <w:rsid w:val="00E97334"/>
    <w:rsid w:val="00EB0106"/>
    <w:rsid w:val="00EB52D1"/>
    <w:rsid w:val="00ED4ED6"/>
    <w:rsid w:val="00ED6C08"/>
    <w:rsid w:val="00EF7019"/>
    <w:rsid w:val="00F03BE2"/>
    <w:rsid w:val="00F25C18"/>
    <w:rsid w:val="00F418E4"/>
    <w:rsid w:val="00F42D61"/>
    <w:rsid w:val="00F46926"/>
    <w:rsid w:val="00F51EE6"/>
    <w:rsid w:val="00F55830"/>
    <w:rsid w:val="00F645E1"/>
    <w:rsid w:val="00F70161"/>
    <w:rsid w:val="00F71660"/>
    <w:rsid w:val="00F72C1D"/>
    <w:rsid w:val="00F75554"/>
    <w:rsid w:val="00F87551"/>
    <w:rsid w:val="00FA0F83"/>
    <w:rsid w:val="00FA14AE"/>
    <w:rsid w:val="00FB7DB8"/>
    <w:rsid w:val="00FD638F"/>
    <w:rsid w:val="00FD6824"/>
    <w:rsid w:val="00FE0E17"/>
    <w:rsid w:val="00FF30A7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C89DDB-42DB-40BD-B0FC-1AA7B0BB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7E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555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F7555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"/>
    <w:link w:val="a5"/>
    <w:uiPriority w:val="99"/>
    <w:locked/>
    <w:rsid w:val="00F75554"/>
    <w:rPr>
      <w:rFonts w:cs="Times New Roman"/>
      <w:lang w:val="ru-RU" w:eastAsia="ru-RU" w:bidi="ar-SA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uppressAutoHyphens/>
      <w:autoSpaceDE w:val="0"/>
      <w:autoSpaceDN w:val="0"/>
      <w:adjustRightInd w:val="0"/>
      <w:spacing w:after="266" w:line="360" w:lineRule="auto"/>
      <w:ind w:left="132" w:firstLine="57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B15E72"/>
    <w:pPr>
      <w:ind w:left="240"/>
    </w:pPr>
  </w:style>
  <w:style w:type="character" w:styleId="a8">
    <w:name w:val="Hyperlink"/>
    <w:uiPriority w:val="99"/>
    <w:rsid w:val="00B15E7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5E72"/>
  </w:style>
  <w:style w:type="paragraph" w:styleId="a9">
    <w:name w:val="header"/>
    <w:basedOn w:val="a"/>
    <w:link w:val="aa"/>
    <w:uiPriority w:val="99"/>
    <w:rsid w:val="00E832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56787"/>
    <w:rPr>
      <w:rFonts w:cs="Times New Roman"/>
      <w:sz w:val="24"/>
      <w:szCs w:val="24"/>
    </w:rPr>
  </w:style>
  <w:style w:type="character" w:styleId="ab">
    <w:name w:val="page number"/>
    <w:uiPriority w:val="99"/>
    <w:rsid w:val="00E83255"/>
    <w:rPr>
      <w:rFonts w:cs="Times New Roman"/>
    </w:rPr>
  </w:style>
  <w:style w:type="paragraph" w:styleId="ac">
    <w:name w:val="footer"/>
    <w:basedOn w:val="a"/>
    <w:link w:val="ad"/>
    <w:uiPriority w:val="99"/>
    <w:rsid w:val="00582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7F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ловарная статья"/>
    <w:basedOn w:val="a"/>
    <w:next w:val="a"/>
    <w:rsid w:val="007F4A9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0">
    <w:name w:val="Прижатый влево"/>
    <w:basedOn w:val="a"/>
    <w:next w:val="a"/>
    <w:rsid w:val="007F4A9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1">
    <w:name w:val="Strong"/>
    <w:uiPriority w:val="22"/>
    <w:qFormat/>
    <w:rsid w:val="0089532C"/>
    <w:rPr>
      <w:rFonts w:cs="Times New Roman"/>
      <w:b/>
      <w:bCs/>
    </w:rPr>
  </w:style>
  <w:style w:type="paragraph" w:styleId="af2">
    <w:name w:val="Normal (Web)"/>
    <w:basedOn w:val="a"/>
    <w:uiPriority w:val="99"/>
    <w:rsid w:val="007A1DAE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3462E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5">
    <w:name w:val="Заголовок статьи"/>
    <w:basedOn w:val="a"/>
    <w:next w:val="a"/>
    <w:rsid w:val="00C4009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6">
    <w:name w:val="Document Map"/>
    <w:basedOn w:val="a"/>
    <w:link w:val="af7"/>
    <w:uiPriority w:val="99"/>
    <w:semiHidden/>
    <w:rsid w:val="001D3F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99"/>
    <w:rsid w:val="001D3FD3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7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Normal">
    <w:name w:val="ConsNormal"/>
    <w:uiPriority w:val="99"/>
    <w:rsid w:val="00095072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customStyle="1" w:styleId="apple-style-span">
    <w:name w:val="apple-style-span"/>
    <w:rsid w:val="007D2F3B"/>
    <w:rPr>
      <w:rFonts w:cs="Times New Roman"/>
    </w:rPr>
  </w:style>
  <w:style w:type="character" w:customStyle="1" w:styleId="apple-converted-space">
    <w:name w:val="apple-converted-space"/>
    <w:rsid w:val="007D2F3B"/>
    <w:rPr>
      <w:rFonts w:cs="Times New Roman"/>
    </w:rPr>
  </w:style>
  <w:style w:type="paragraph" w:styleId="afa">
    <w:name w:val="endnote text"/>
    <w:basedOn w:val="a"/>
    <w:link w:val="afb"/>
    <w:uiPriority w:val="99"/>
    <w:rsid w:val="00C33415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locked/>
    <w:rsid w:val="00C33415"/>
    <w:rPr>
      <w:rFonts w:cs="Times New Roman"/>
    </w:rPr>
  </w:style>
  <w:style w:type="character" w:styleId="afc">
    <w:name w:val="endnote reference"/>
    <w:uiPriority w:val="99"/>
    <w:rsid w:val="00C334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F56E-BC19-4599-9D12-6C4BC691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None</Company>
  <LinksUpToDate>false</LinksUpToDate>
  <CharactersWithSpaces>50923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None</dc:creator>
  <cp:keywords/>
  <dc:description/>
  <cp:lastModifiedBy>admin</cp:lastModifiedBy>
  <cp:revision>2</cp:revision>
  <cp:lastPrinted>2009-11-25T10:32:00Z</cp:lastPrinted>
  <dcterms:created xsi:type="dcterms:W3CDTF">2014-03-22T21:28:00Z</dcterms:created>
  <dcterms:modified xsi:type="dcterms:W3CDTF">2014-03-22T21:28:00Z</dcterms:modified>
</cp:coreProperties>
</file>