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7E" w:rsidRDefault="00E332CB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E332CB" w:rsidRPr="00E332CB" w:rsidRDefault="00E332CB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2C7E" w:rsidRPr="00E332CB" w:rsidRDefault="00242C7E" w:rsidP="00E332CB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Правовой режим валюты и валютных ценностей (понятие, виды, порядок обращения)</w:t>
      </w:r>
    </w:p>
    <w:p w:rsidR="00242C7E" w:rsidRPr="00E332CB" w:rsidRDefault="00242C7E" w:rsidP="00E332CB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Руководствуясь ФЗ " О несостоятельности (банкротстве) кредитных организаций", сравните правовое положение руководителя временной администрации и арбитражного управляющего при банкротстве кредитной организации. Назовите общие требования и особенности правового положения каждого из названных участников процедуры банкротства</w:t>
      </w:r>
    </w:p>
    <w:p w:rsidR="00242C7E" w:rsidRPr="00E332CB" w:rsidRDefault="00242C7E" w:rsidP="00E332CB">
      <w:pPr>
        <w:pStyle w:val="a7"/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Задача</w:t>
      </w:r>
    </w:p>
    <w:p w:rsidR="00242C7E" w:rsidRPr="00E332CB" w:rsidRDefault="00242C7E" w:rsidP="00E332CB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332CB">
        <w:rPr>
          <w:rFonts w:ascii="Times New Roman" w:hAnsi="Times New Roman"/>
          <w:sz w:val="28"/>
          <w:szCs w:val="28"/>
        </w:rPr>
        <w:t>Список литературы</w:t>
      </w:r>
    </w:p>
    <w:p w:rsidR="00242C7E" w:rsidRPr="00E332CB" w:rsidRDefault="00242C7E" w:rsidP="00E332CB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32CB" w:rsidRDefault="00E332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32CB">
        <w:rPr>
          <w:rFonts w:ascii="Times New Roman" w:hAnsi="Times New Roman"/>
          <w:sz w:val="28"/>
          <w:szCs w:val="28"/>
        </w:rPr>
        <w:t>1. Правовой режи</w:t>
      </w:r>
      <w:r w:rsidR="00BD433F" w:rsidRPr="00E332CB">
        <w:rPr>
          <w:rFonts w:ascii="Times New Roman" w:hAnsi="Times New Roman"/>
          <w:sz w:val="28"/>
          <w:szCs w:val="28"/>
        </w:rPr>
        <w:t>м валюты и валютных ценностей (</w:t>
      </w:r>
      <w:r w:rsidRPr="00E332CB">
        <w:rPr>
          <w:rFonts w:ascii="Times New Roman" w:hAnsi="Times New Roman"/>
          <w:sz w:val="28"/>
          <w:szCs w:val="28"/>
        </w:rPr>
        <w:t>по</w:t>
      </w:r>
      <w:r w:rsidR="00E332CB">
        <w:rPr>
          <w:rFonts w:ascii="Times New Roman" w:hAnsi="Times New Roman"/>
          <w:sz w:val="28"/>
          <w:szCs w:val="28"/>
        </w:rPr>
        <w:t>нятие, виды, порядок обращения)</w:t>
      </w:r>
    </w:p>
    <w:p w:rsidR="00E332CB" w:rsidRDefault="00E332CB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Определение валюты и валютных це</w:t>
      </w:r>
      <w:r w:rsidR="00E332CB">
        <w:rPr>
          <w:rFonts w:ascii="Times New Roman" w:hAnsi="Times New Roman"/>
          <w:sz w:val="28"/>
          <w:szCs w:val="28"/>
        </w:rPr>
        <w:t xml:space="preserve">нностей содержится в Законе РФ </w:t>
      </w:r>
      <w:r w:rsidRPr="00E332CB">
        <w:rPr>
          <w:rFonts w:ascii="Times New Roman" w:hAnsi="Times New Roman"/>
          <w:sz w:val="28"/>
          <w:szCs w:val="28"/>
        </w:rPr>
        <w:t xml:space="preserve">О валютном регулировании и валютном контроле". Нормы других законодательных актов отсылают, как правило, к определению валюты, содержащемуся в базовом правовом акте валютного законодательства. Так, например, поступает </w:t>
      </w:r>
      <w:r w:rsidR="00242C7E" w:rsidRPr="00E332CB">
        <w:rPr>
          <w:rFonts w:ascii="Times New Roman" w:hAnsi="Times New Roman"/>
          <w:sz w:val="28"/>
          <w:szCs w:val="28"/>
        </w:rPr>
        <w:t>ГК</w:t>
      </w:r>
      <w:r w:rsidRPr="00E332CB">
        <w:rPr>
          <w:rFonts w:ascii="Times New Roman" w:hAnsi="Times New Roman"/>
          <w:sz w:val="28"/>
          <w:szCs w:val="28"/>
        </w:rPr>
        <w:t xml:space="preserve"> РФ, где сказано (ст. 141): Виды имущества, признаваемого валютными ценностями, и порядок совершения сделок с ними определяются законом о валютном регулировании и валютном контроле".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Если законодательный акт не содержит вообще упоминания об определении валюты и валютных ценностей, это означает, что при применении такого закона следует использовать определения, содержащиеся в ст. 1 Закона РФ "О валютном регулировании и валютном контроле".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 узком смысле слова под валютой понимают денежные знаки иностранных государств. Наряду с таким определением валюты в законодательных актах ряда стран встречается расширительный подход к трактованию валюты, в соответствии с которым под валютой понимают не только денежные знаки иностранных государств, но и все денежные документы, а также имущество (чаще всего это касается недвижимости, находящейся за границей), являющееся основанием для расчетов в иностранной валюте. С понятием валюты в широком смысле слова тесно связано понятие девизы - платежного средства в иностранной валюте.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Действующее законодательство РФ также содержит понятие валюты в широком смысле. В этом случае используется категория "валютные ценности". В Законе "О валютном регулировании и валютном контроле" (ст. 1) под валютными ценностями понимаются: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иностранная валюта;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ценные бумаги в иностранной валюте - платежные документы (чеки, векселя, аккредитивы и др.), фондовые ценности (акции, облигации) и другие долговые обязательства, выраженные в иностранной валюте;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драгоценные металлы - золото, серебро, платина и металлы платиновой группы (палладий, иридий, родий, рутений и осмий) в любом виде и состоянии, за исключением ювелирных и других бытовых изделий и лома таких изделий;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природные драгоценные камни - алмазы, рубины, изумруды, сапфиры и александриты в сыром и обработанном виде, а также жемчуг, за исключением ювелирных и других бытовых изделий из этих камней и лома таких изделий.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Таким образом, понятия валюты и валютных ценностей соотносятся как часть и целое: в понятие валютных ценностей наряду с иностранными денежными знаками включаются и другие виды имущества (ценные бумаги, драгоценные металлы и драгоценные камни).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Российское законодательство различает два вида валюты в узком смысле, используя понятия "иностранная валюта" и "валюта Российской Федерации".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Под иностранной валютой законодатель понимает как наличную валюту (денежные знаки в виде банкнот, казначейских билетов, монеты, находящиеся в обращении и являющиеся законным платежным средством в соответствующем государстве или группе государств, а также изъятые или изымаемые из обращения, но подлежащие обмену денежные знаки), так и безналичную (средства на счетах в денежных единицах иностранных государств и международных денежных или расчетных единицах).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Примерно такой же подход наблюдается и при определении валюты Российской Федерации, под которой в Законе "О валютном регулировании и валютном контроле" понимаются: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находящиеся в обращении, а также изъятые или изымаемые из обращения, но подлежащие обмену рубли в виде банковских билетов Центрального банка РФ и монеты;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средства в рублях на счетах в банках и иных кредитных учреждениях в Российской Федерации;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- средства в рублях на счетах в банках и иных кредитных учреждениях за пределами </w:t>
      </w:r>
      <w:r w:rsidR="0096652D" w:rsidRPr="00E332CB">
        <w:rPr>
          <w:rFonts w:ascii="Times New Roman" w:hAnsi="Times New Roman"/>
          <w:sz w:val="28"/>
          <w:szCs w:val="28"/>
        </w:rPr>
        <w:t>РФ</w:t>
      </w:r>
      <w:r w:rsidRPr="00E332CB">
        <w:rPr>
          <w:rFonts w:ascii="Times New Roman" w:hAnsi="Times New Roman"/>
          <w:sz w:val="28"/>
          <w:szCs w:val="28"/>
        </w:rPr>
        <w:t xml:space="preserve"> на основании соглашения, заключаемого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</w:t>
      </w:r>
      <w:r w:rsidR="0096652D" w:rsidRPr="00E332CB">
        <w:rPr>
          <w:rFonts w:ascii="Times New Roman" w:hAnsi="Times New Roman"/>
          <w:sz w:val="28"/>
          <w:szCs w:val="28"/>
        </w:rPr>
        <w:t>РФ</w:t>
      </w:r>
      <w:r w:rsidRPr="00E332CB">
        <w:rPr>
          <w:rFonts w:ascii="Times New Roman" w:hAnsi="Times New Roman"/>
          <w:sz w:val="28"/>
          <w:szCs w:val="28"/>
        </w:rPr>
        <w:t xml:space="preserve"> в качестве законного платежного средства.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 соответствии с Законом "О валютном регулировании и валютном контроле" видами денежных знаков, выступающих в качестве иностранной валюты, являются банкноты, казначейские билеты и монеты.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Банкноты (банковские билеты, к</w:t>
      </w:r>
      <w:r w:rsidR="0096652D" w:rsidRPr="00E332CB">
        <w:rPr>
          <w:rFonts w:ascii="Times New Roman" w:hAnsi="Times New Roman"/>
          <w:sz w:val="28"/>
          <w:szCs w:val="28"/>
        </w:rPr>
        <w:t>редитные</w:t>
      </w:r>
      <w:r w:rsidRPr="00E332CB">
        <w:rPr>
          <w:rFonts w:ascii="Times New Roman" w:hAnsi="Times New Roman"/>
          <w:sz w:val="28"/>
          <w:szCs w:val="28"/>
        </w:rPr>
        <w:t xml:space="preserve"> билеты) - разновидность денежных знаков, выпускаемых в обращение центральными банками. 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Казначейские билеты (казначейские ноты) - это бумажные деньги, выпускаемые Министерством финансов или специальным государственным финансовым органом (казначейством), как правило, д</w:t>
      </w:r>
      <w:r w:rsidR="0096652D" w:rsidRPr="00E332CB">
        <w:rPr>
          <w:rFonts w:ascii="Times New Roman" w:hAnsi="Times New Roman"/>
          <w:sz w:val="28"/>
          <w:szCs w:val="28"/>
        </w:rPr>
        <w:t>ля покрытия бюджетного дефицита.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Сейчас разница между ними в значительной степени стерлась. Банкноты и казначейские билеты становятся неполноценными бумажными деньгами. Казначейские билеты используются для совершения мелких платежей и размена банкнот.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Монета как вид денежного знака представляет собой слиток металла (золота, серебра, платины, меди и т.д.), имеющий установленные весовое содержание и форму и являющийся законным средством обращения и платежа.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 обращении могут находиться только подлинные денежные знаки, именно они выступают в качестве законного платежного средства. Все выявленные подделки подлежат изъятию из денежного оборота.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Следует различать понятия подлинности и платежности денежных знаков. В ряде случаев подлинные денежные знаки из-за повреждений и дефектов, а также по другим основания (в связи с решением банка - эмитента о выведении денежных знаков из обращения) могут утратить свойства средства платежа. Неплатежные иностранные денежные знаки изымаются из обращения и подлежат обмену. </w:t>
      </w:r>
    </w:p>
    <w:p w:rsidR="006202E3" w:rsidRPr="00E332CB" w:rsidRDefault="006202E3" w:rsidP="00E33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В соответствии с Инструкцией Банка России от 27.02.1995 </w:t>
      </w:r>
      <w:r w:rsidRPr="00E332CB">
        <w:rPr>
          <w:rFonts w:ascii="Times New Roman" w:hAnsi="Times New Roman"/>
          <w:sz w:val="28"/>
          <w:szCs w:val="28"/>
          <w:lang w:val="en-US"/>
        </w:rPr>
        <w:t>N</w:t>
      </w:r>
      <w:r w:rsidR="00BA79E8" w:rsidRPr="00E332CB">
        <w:rPr>
          <w:rFonts w:ascii="Times New Roman" w:hAnsi="Times New Roman"/>
          <w:sz w:val="28"/>
          <w:szCs w:val="28"/>
        </w:rPr>
        <w:t xml:space="preserve"> 27 </w:t>
      </w:r>
      <w:r w:rsidR="003B60B2" w:rsidRPr="00E332CB">
        <w:rPr>
          <w:rFonts w:ascii="Times New Roman" w:hAnsi="Times New Roman"/>
          <w:sz w:val="28"/>
          <w:szCs w:val="28"/>
        </w:rPr>
        <w:t xml:space="preserve">(действует в настоящее время в редакции указания Банка России от 28.09.99 N 649-У) </w:t>
      </w:r>
      <w:r w:rsidRPr="00E332CB">
        <w:rPr>
          <w:rFonts w:ascii="Times New Roman" w:hAnsi="Times New Roman"/>
          <w:sz w:val="28"/>
          <w:szCs w:val="28"/>
        </w:rPr>
        <w:t>признаются неплатежными денежные знаки (банкноты, казначейские билеты) иностранных государств: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разорванные на части и склеенные;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не сохранившие основных признаков платежности (наименования эмиссионного банка, номера и серии, достоинства цифрами и прописью, основного рисунка (портрета) лицевой и оборотной стороны, а также элементов защиты от подделки - водяных знаков, магнитных меток, внедренных в бумагу, цветных волокон, включая видимые в ультрафиолетовых лучах, конфетти, защитных нитей, микротекста и т.д.);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изменившие первоначальную окраску или обесцвеченные;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обожженные или прожженные;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залитые полностью или в значительной степени краской, чернилами, маслом;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подвергнутые воздействию химических реактивов, в том числе реактивов, приведших к свечению бумаги в ультрафиолетовых лучах;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имеющие значительные повреждения умышленного характера (удалена защитная нить, наличие значительных надписей и др.);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имеющие явный печатный брак;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изменившие геометрические размеры более чем на 3 мм как в сторону уменьшения, так и в сторону увеличения.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Закон "О валютном регулировании и валютном контроле" к валютным ценностям относит ценные бумаги в иностранной валюте, выделяя следующие их разновидности: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платежные документы;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фондовые ценности;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- другие долговые обязательства, выраженные в иностранной валюте.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Основные виды платежных документов - чеки, векселя и аккредитивы. Перечень платежных документов оставлен в законе открытым, поскольку в результате совершенствования банковских услуг появляются новые виды платежных документов. Фондовыми ценностями, относящимися к валютным ценностям, являются акции и облигации, выраженные в иностранной валюте. Под иными долговыми обязательствами понимаются казначейские векселя, некоторые товаросопроводительные документы (варранты), железнодорожные накладные, коносаменты и др.</w:t>
      </w:r>
    </w:p>
    <w:p w:rsidR="006202E3" w:rsidRPr="00E332CB" w:rsidRDefault="006202E3" w:rsidP="00E33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Ценные бумаги, как и денежные знаки, должны отвечать требованиям подлинности и платежности, правила определения признаков подлинности и платежности для денежных знаков иностранных государств платежных документов в иностранной валюте одинаковы и содержатся в Инструкции Банка России </w:t>
      </w:r>
      <w:r w:rsidRPr="00E332CB">
        <w:rPr>
          <w:rFonts w:ascii="Times New Roman" w:hAnsi="Times New Roman"/>
          <w:sz w:val="28"/>
          <w:szCs w:val="28"/>
          <w:lang w:val="en-US"/>
        </w:rPr>
        <w:t>N</w:t>
      </w:r>
      <w:r w:rsidRPr="00E332CB">
        <w:rPr>
          <w:rFonts w:ascii="Times New Roman" w:hAnsi="Times New Roman"/>
          <w:sz w:val="28"/>
          <w:szCs w:val="28"/>
        </w:rPr>
        <w:t xml:space="preserve"> 27 (</w:t>
      </w:r>
      <w:r w:rsidR="003B60B2" w:rsidRPr="00E332CB">
        <w:rPr>
          <w:rFonts w:ascii="Times New Roman" w:hAnsi="Times New Roman"/>
          <w:sz w:val="28"/>
          <w:szCs w:val="28"/>
        </w:rPr>
        <w:t>действует в настоящее время в редакции указания Банка России от 28.09.99 N 649-У</w:t>
      </w:r>
      <w:r w:rsidRPr="00E332CB">
        <w:rPr>
          <w:rFonts w:ascii="Times New Roman" w:hAnsi="Times New Roman"/>
          <w:sz w:val="28"/>
          <w:szCs w:val="28"/>
        </w:rPr>
        <w:t>).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Ценные бумаги, выраженные в иностранной валюте, могут быть эмитированы как за рубежом, так и в Российской Федерации. Примером последних являются облигации внутреннего валютного займа.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Третьей компонентой комплексного понятия "валютные ценности", закрепленного в Законе "О валютном регулировании и валютном контроле", являются драгоценные металлы - золото, серебро, платина и металлы платиновой группы. В условиях демонетизации золота и других благородных металлов они становятся валютными ценностями по ряду причин: вследствие их ограниченности и невосполнимости, из-за уникальных физико - химических свойств, востребованных в различных отраслях промышленности (оборонной, космической, медицинской, ювелирной и др.), капиталоемкости (имея большую стоимость в единице объема, драгоценные металлы удобны для хранения, накапливаются в качестве сокровищ, резервов) и др.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Наконец, последней составляющей валютных ценностей являются драгоценные камни. Закон "О валютном регулировании и валютном контроле" относит к ним как минеральные камни (алмазы, рубины, изумруды, сапфиры и александриты), так и органические (жемчуг). Валютными ценностями считаются драгоценные камни, находящиеся как в сыром, так и в обработанном виде, при условии, что они природные (искусственные, синтетические камни не относятся к валютным ценностям).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 отличие от драгоценных металлов драгоценные камни не могут выполнять функцию денег: металл качественно однороден, а каждый кристалл камня неповторим; металл делится на любые части и вновь может быть соединен без потери стоимости, камни таким свойством не обладают; цена драгоценного металла не меняется от размера партии, стоимость драгоценных камней растет с увеличением размера кристалла опережающим темпом; наконец, камни в большей степени, чем металл, выводятся из мирового оборота и безвозвратно теряются из-за сгорания и неосторожного обращения.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Количество банковских операций с драгоценными камнями довольно ограничено по сравнению с драгоценными металлами. Это объясняется относительной стабильностью цен на драгоценные камни, что затрудняет применение ряда финансовых инструментов (фьючерсов и др.). При этом драгоценные камни так же, как и драгоценные металлы, успешно выполняют тезаврационную функцию (накопления сокровищ), что делает оправданным их отнесение к валютным ценностям.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Законом установлено, что к валютным ценностям не относятся драгоценные металлы и драгоценные камни, существующие в форме ювелирных и бытовых изделий, а также в виде лома. Положение о порядке отнесения изделий, содержащих драгоценные металлы, к ювелирным утверждено Приказом Роскомдрагмета от 30.10.1996 </w:t>
      </w:r>
      <w:r w:rsidRPr="00E332CB">
        <w:rPr>
          <w:rFonts w:ascii="Times New Roman" w:hAnsi="Times New Roman"/>
          <w:sz w:val="28"/>
          <w:szCs w:val="28"/>
          <w:lang w:val="en-US"/>
        </w:rPr>
        <w:t>N</w:t>
      </w:r>
      <w:r w:rsidRPr="00E332CB">
        <w:rPr>
          <w:rFonts w:ascii="Times New Roman" w:hAnsi="Times New Roman"/>
          <w:sz w:val="28"/>
          <w:szCs w:val="28"/>
        </w:rPr>
        <w:t xml:space="preserve"> 146. </w:t>
      </w:r>
    </w:p>
    <w:p w:rsidR="004145E1" w:rsidRPr="00257D91" w:rsidRDefault="002209C7" w:rsidP="002209C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257D91">
        <w:rPr>
          <w:rFonts w:ascii="Times New Roman" w:hAnsi="Times New Roman"/>
          <w:color w:val="FFFFFF"/>
          <w:sz w:val="28"/>
          <w:szCs w:val="28"/>
        </w:rPr>
        <w:t>руководитель банкротство валюта арбитражный управляющий</w:t>
      </w:r>
    </w:p>
    <w:p w:rsidR="00E332CB" w:rsidRDefault="00E332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1195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32CB">
        <w:rPr>
          <w:rFonts w:ascii="Times New Roman" w:hAnsi="Times New Roman"/>
          <w:sz w:val="28"/>
          <w:szCs w:val="28"/>
        </w:rPr>
        <w:t>2. Руководств</w:t>
      </w:r>
      <w:r w:rsidR="00C45252" w:rsidRPr="00E332CB">
        <w:rPr>
          <w:rFonts w:ascii="Times New Roman" w:hAnsi="Times New Roman"/>
          <w:sz w:val="28"/>
          <w:szCs w:val="28"/>
        </w:rPr>
        <w:t>уясь ФЗ " О несостоятельности (банкротстве</w:t>
      </w:r>
      <w:r w:rsidRPr="00E332CB">
        <w:rPr>
          <w:rFonts w:ascii="Times New Roman" w:hAnsi="Times New Roman"/>
          <w:sz w:val="28"/>
          <w:szCs w:val="28"/>
        </w:rPr>
        <w:t>) кредитных организаций", сравните правовое положение руководителя временной администрации и арбитражного управляющего при банкротстве кредитной организации. Назовите общие требования и особенности правового положения каждого из названных у</w:t>
      </w:r>
      <w:r w:rsidR="00E332CB">
        <w:rPr>
          <w:rFonts w:ascii="Times New Roman" w:hAnsi="Times New Roman"/>
          <w:sz w:val="28"/>
          <w:szCs w:val="28"/>
        </w:rPr>
        <w:t>частников процедуры банкротства</w:t>
      </w:r>
    </w:p>
    <w:p w:rsidR="00E332CB" w:rsidRPr="00E332CB" w:rsidRDefault="00E332CB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Банкротство кредитных организаций регулируется Федеральным законом "О несостоятельности (банкротстве)" в части, не урегулированной Федеральным законом от 25 февраля 1999 г. "О несостоятельности (банкротстве) кредитных организаций" (далее - Закон). Здесь наиболее существенная особенность - подконтрольность всех процессов Центральному банку РФ, начиная от назначения управляющего до ликвидации кредитной организации.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Предусматриваются две процедуры банкротства кредитной организации: наблюдение и конкурсное производство, когда действуют соответственно временная администрация и арбитражный управляющий.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Временную администрацию возглавляет ее руководитель, который так же, как и арбитражный управляющий, должен иметь аттестат, выдаваемый в соответствии с Положением о 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организации, изданным Центральным банком РФ 25 марта 1999 г. Аттестат выдается уполномоченным органом Центрального банка - временной аттестационной комиссией (и ее территориальными подразделениями), если кандидат прошел обучение в учебно - методическом центре Банка и имеет лицензию арбитражного управляющего Федерал</w:t>
      </w:r>
      <w:r w:rsidR="006E7381" w:rsidRPr="00E332CB">
        <w:rPr>
          <w:rFonts w:ascii="Times New Roman" w:hAnsi="Times New Roman"/>
          <w:sz w:val="28"/>
          <w:szCs w:val="28"/>
        </w:rPr>
        <w:t>ьной службы</w:t>
      </w:r>
      <w:r w:rsidRPr="00E332CB">
        <w:rPr>
          <w:rFonts w:ascii="Times New Roman" w:hAnsi="Times New Roman"/>
          <w:sz w:val="28"/>
          <w:szCs w:val="28"/>
        </w:rPr>
        <w:t>. Кроме этого, к кандидату предъявляется еще целый ряд требо</w:t>
      </w:r>
      <w:r w:rsidR="003B60B2" w:rsidRPr="00E332CB">
        <w:rPr>
          <w:rFonts w:ascii="Times New Roman" w:hAnsi="Times New Roman"/>
          <w:sz w:val="28"/>
          <w:szCs w:val="28"/>
        </w:rPr>
        <w:t>ваний</w:t>
      </w:r>
      <w:r w:rsidRPr="00E332CB">
        <w:rPr>
          <w:rFonts w:ascii="Times New Roman" w:hAnsi="Times New Roman"/>
          <w:sz w:val="28"/>
          <w:szCs w:val="28"/>
        </w:rPr>
        <w:t>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Временная администрация назначается Банком России, чье решение исполняется немедленно, но может быть обжаловано кредитной организацией (ст. 25 Закона), и объем ее функций зависит от того, ограничены или приостановлены полномочия исполнительных органов кредитной организации. В первом случае разрабатываются и проводятся мероприятия по финансовому оздоровлению (например, изменяется структура активов и пассивов), а также контролируется распоряжение имуществом со стороны исполнительных органов (в части отчуждения недвижимого имущества и совершения иных сделок, предусмотренных п. 3 ст. 21 Закона). При этом временная администрация вправе получать от исполнительных органов всю необходимую информацию и документы, касающиеся деятельности кредитной организации.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Если функции исполнительных органов кредитной организации приостановлены, то временная администрация, помимо проведения мероприятий по финансовому оздоровлению, реализует полномочия этих органов. Она вправе отчуждать недвижимое имущество кредитной организации и осуществлять иные действия, предусмотренные п. 3 ст. 22 Закона, только с согласия совета директоров кредитной организации или общего собрания ее учредителей. Среди других функций - принятие мер по обеспечению сохранности имущества и документации кредитной организации, взысканию задолженности перед ней, установление ее кредиторов.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Временная администрация вправе: предъявлять в суды от имени кредитной организации иски о признании недействительными сделок, а также и другие иски, отказываться от исполнения договоров кредитной организации в порядке, предусмотренном Законом "О несостоятельности (банкротстве)".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На практике все меры по финансовому оздоровлению нередко сводятся к тому, что временная администрация добивается возбуждения уголовных дел в отношении должников организации с тем, чтобы таким образом попытаться вернуть невозвращенные кредиты.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Смета расходов временной администрации утверждается Банком РФ, перед ним она и отчитывается, прекращая свою деятельность при восстановлении платежеспособности кредитной организации либо открытии конкурсного производства. Порядок назначения конкурсного управляющего регулируется нормативными актами Банка России (п. 2 ст. 31 Закона)</w:t>
      </w:r>
      <w:r w:rsidR="006E7381" w:rsidRPr="00E332CB">
        <w:rPr>
          <w:rFonts w:ascii="Times New Roman" w:hAnsi="Times New Roman"/>
          <w:sz w:val="28"/>
          <w:szCs w:val="28"/>
        </w:rPr>
        <w:t>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Права и обязанности конкурсного управляющего регулируются Законом "О несостоятельности (банкротстве)". Особенностью конкурсного производства в данном случае является опять же жесткий контроль Банка России.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Конкурсный управляющий действует под контролем Банка России, ежемесячно представляя ему бухгалтерскую и статистическую отчетность ликвидируемой организации, и обязан использовать в ходе конкурсного производства только корреспондентский счет кредитной организации, признанной банкротом, открытый в учреждении Банка России.</w:t>
      </w:r>
    </w:p>
    <w:p w:rsidR="004141EE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После составления реестра требований кредиторов в срок не позднее шести месяцев после открытия конкурсного производства составляется промежуточный ликвидационный баланс, который направляется в Банк России.</w:t>
      </w:r>
    </w:p>
    <w:p w:rsidR="007A059A" w:rsidRPr="00E332CB" w:rsidRDefault="004141EE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На практике стадия конкурсного производства заключается в том, что фонд обязательного резервирования кредитной организации депонируется в каком-либо надежном банке, а проценты с депозита идут на содержание конкурсного управляющего и его команды, распродающей имущество ликвидируемой кредитной организации.</w:t>
      </w:r>
    </w:p>
    <w:p w:rsidR="00DD3D06" w:rsidRPr="00E332CB" w:rsidRDefault="00DD3D06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9C7" w:rsidRDefault="002209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32CB" w:rsidRPr="00E332CB" w:rsidRDefault="00E332CB" w:rsidP="00E332CB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</w:p>
    <w:p w:rsidR="00E332CB" w:rsidRPr="00E332CB" w:rsidRDefault="00E332CB" w:rsidP="00E332CB">
      <w:pPr>
        <w:pStyle w:val="a7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3D06" w:rsidRPr="00E332CB" w:rsidRDefault="006202E3" w:rsidP="00E332CB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В управление по борьбе с экономическими преступлениями ГУВД г. Москвы поступила оперативная информация о том, что некто, представившись Андреем Васильевичем Акудиновым, директором ООО " Новая система", обратился в ООО " Инквар-сервис"</w:t>
      </w:r>
      <w:r w:rsidR="00E332CB">
        <w:rPr>
          <w:rFonts w:ascii="Times New Roman" w:hAnsi="Times New Roman"/>
          <w:sz w:val="28"/>
          <w:szCs w:val="28"/>
        </w:rPr>
        <w:t xml:space="preserve"> </w:t>
      </w:r>
      <w:r w:rsidRPr="00E332CB">
        <w:rPr>
          <w:rFonts w:ascii="Times New Roman" w:hAnsi="Times New Roman"/>
          <w:sz w:val="28"/>
          <w:szCs w:val="28"/>
        </w:rPr>
        <w:t>с предложением о продаже векселей Управления федерального казначейства РФ по республике Северная Осетия г. Владикавказа. Общая сумма предлагаемых векселей 3 млн. рублей.</w:t>
      </w:r>
    </w:p>
    <w:p w:rsidR="00DD3D06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Как было установлено, данные векселя Управлением федерального казначейства республики Северной Осетии в обращение не выпускались. Акудинов был задержан правоохранительными органами при попытке оформить </w:t>
      </w:r>
      <w:r w:rsidR="00DD3D06" w:rsidRPr="00E332CB">
        <w:rPr>
          <w:rFonts w:ascii="Times New Roman" w:hAnsi="Times New Roman"/>
          <w:sz w:val="28"/>
          <w:szCs w:val="28"/>
        </w:rPr>
        <w:t>сделку купли-продажи векселей.</w:t>
      </w:r>
    </w:p>
    <w:p w:rsidR="00DD3D06" w:rsidRPr="00E332CB" w:rsidRDefault="00E332CB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Вопросы к задаче варианта 5</w:t>
      </w:r>
    </w:p>
    <w:p w:rsidR="00DD3D06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1. Квалифицируйте действия Акудинова, указав како</w:t>
      </w:r>
      <w:r w:rsidR="00F25E3C" w:rsidRPr="00E332CB">
        <w:rPr>
          <w:rFonts w:ascii="Times New Roman" w:hAnsi="Times New Roman"/>
          <w:sz w:val="28"/>
          <w:szCs w:val="28"/>
        </w:rPr>
        <w:t>е</w:t>
      </w:r>
      <w:r w:rsidRPr="00E332CB">
        <w:rPr>
          <w:rFonts w:ascii="Times New Roman" w:hAnsi="Times New Roman"/>
          <w:sz w:val="28"/>
          <w:szCs w:val="28"/>
        </w:rPr>
        <w:t xml:space="preserve"> </w:t>
      </w:r>
      <w:r w:rsidR="00DD3D06" w:rsidRPr="00E332CB">
        <w:rPr>
          <w:rFonts w:ascii="Times New Roman" w:hAnsi="Times New Roman"/>
          <w:sz w:val="28"/>
          <w:szCs w:val="28"/>
        </w:rPr>
        <w:t>преступное деяние им совершено.</w:t>
      </w:r>
    </w:p>
    <w:p w:rsidR="006202E3" w:rsidRPr="00E332CB" w:rsidRDefault="006202E3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2. Какое наказание может быть назначено Акудинову?</w:t>
      </w:r>
    </w:p>
    <w:p w:rsidR="004E4F8B" w:rsidRPr="00E332CB" w:rsidRDefault="00736F74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Ответ:</w:t>
      </w:r>
    </w:p>
    <w:p w:rsidR="00E75EF4" w:rsidRPr="00E332CB" w:rsidRDefault="00742D8F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Согласно условиям задачи, Акудинов пытался продать векселя ООО «Инквар-сервис» на общую сумму 3 млн. рублей. Как было установлено, данные векселя в оборот не выпускались. </w:t>
      </w:r>
      <w:r w:rsidR="00242C7E" w:rsidRPr="00E332CB">
        <w:rPr>
          <w:rFonts w:ascii="Times New Roman" w:hAnsi="Times New Roman"/>
          <w:sz w:val="28"/>
          <w:szCs w:val="28"/>
        </w:rPr>
        <w:t>Я считаю, что</w:t>
      </w:r>
      <w:r w:rsidRPr="00E332CB">
        <w:rPr>
          <w:rFonts w:ascii="Times New Roman" w:hAnsi="Times New Roman"/>
          <w:sz w:val="28"/>
          <w:szCs w:val="28"/>
        </w:rPr>
        <w:t xml:space="preserve"> все эти обстоятельства свидетельствуют о направленности умысла Акудинова на грубый обман ограниченного числа лиц. Согласно п.3 </w:t>
      </w:r>
      <w:r w:rsidRPr="00E332CB">
        <w:rPr>
          <w:rFonts w:ascii="Times New Roman" w:hAnsi="Times New Roman"/>
          <w:bCs/>
          <w:sz w:val="28"/>
          <w:szCs w:val="28"/>
        </w:rPr>
        <w:t xml:space="preserve">постановления Пленума Верховного Суда РФ от 28 апреля 1994 г. N 2 "О судебной </w:t>
      </w:r>
      <w:r w:rsidR="008B0C25" w:rsidRPr="00E332CB">
        <w:rPr>
          <w:rFonts w:ascii="Times New Roman" w:hAnsi="Times New Roman"/>
          <w:bCs/>
          <w:sz w:val="28"/>
          <w:szCs w:val="28"/>
        </w:rPr>
        <w:t>практике</w:t>
      </w:r>
      <w:r w:rsidRPr="00E332CB">
        <w:rPr>
          <w:rFonts w:ascii="Times New Roman" w:hAnsi="Times New Roman"/>
          <w:bCs/>
          <w:sz w:val="28"/>
          <w:szCs w:val="28"/>
        </w:rPr>
        <w:t xml:space="preserve"> по делам об изготовлении или сбыте поддельных денег или ценных бумаг"</w:t>
      </w:r>
      <w:r w:rsidR="00E332CB">
        <w:rPr>
          <w:rFonts w:ascii="Times New Roman" w:hAnsi="Times New Roman"/>
          <w:bCs/>
          <w:sz w:val="28"/>
          <w:szCs w:val="28"/>
        </w:rPr>
        <w:t xml:space="preserve"> </w:t>
      </w:r>
      <w:r w:rsidRPr="00E332CB">
        <w:rPr>
          <w:rFonts w:ascii="Times New Roman" w:hAnsi="Times New Roman"/>
          <w:bCs/>
          <w:sz w:val="28"/>
          <w:szCs w:val="28"/>
        </w:rPr>
        <w:t>такие действия следует квалифицировать как мошенничество.</w:t>
      </w:r>
    </w:p>
    <w:p w:rsidR="001449AC" w:rsidRPr="00E332CB" w:rsidRDefault="00E75EF4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Согласно п.4 примечания к ст. 158 УК РФ особо крупным размером признается стоимость имущества, превышающая оди</w:t>
      </w:r>
      <w:r w:rsidR="008B0C25" w:rsidRPr="00E332CB">
        <w:rPr>
          <w:rFonts w:ascii="Times New Roman" w:hAnsi="Times New Roman"/>
          <w:sz w:val="28"/>
          <w:szCs w:val="28"/>
        </w:rPr>
        <w:t>н миллион рублей. В нашем случае</w:t>
      </w:r>
      <w:r w:rsidRPr="00E332CB">
        <w:rPr>
          <w:rFonts w:ascii="Times New Roman" w:hAnsi="Times New Roman"/>
          <w:sz w:val="28"/>
          <w:szCs w:val="28"/>
        </w:rPr>
        <w:t xml:space="preserve"> общая сумма предлагаемых векселей </w:t>
      </w:r>
      <w:r w:rsidR="008B0C25" w:rsidRPr="00E332CB">
        <w:rPr>
          <w:rFonts w:ascii="Times New Roman" w:hAnsi="Times New Roman"/>
          <w:sz w:val="28"/>
          <w:szCs w:val="28"/>
        </w:rPr>
        <w:t>составляет 3 млн. рублей. А з</w:t>
      </w:r>
      <w:r w:rsidRPr="00E332CB">
        <w:rPr>
          <w:rFonts w:ascii="Times New Roman" w:hAnsi="Times New Roman"/>
          <w:sz w:val="28"/>
          <w:szCs w:val="28"/>
        </w:rPr>
        <w:t>начит</w:t>
      </w:r>
      <w:r w:rsidR="008B0C25" w:rsidRPr="00E332CB">
        <w:rPr>
          <w:rFonts w:ascii="Times New Roman" w:hAnsi="Times New Roman"/>
          <w:sz w:val="28"/>
          <w:szCs w:val="28"/>
        </w:rPr>
        <w:t>,</w:t>
      </w:r>
      <w:r w:rsidRPr="00E332CB">
        <w:rPr>
          <w:rFonts w:ascii="Times New Roman" w:hAnsi="Times New Roman"/>
          <w:sz w:val="28"/>
          <w:szCs w:val="28"/>
        </w:rPr>
        <w:t xml:space="preserve"> наказание необходимо назначать руководствуясь п.4 ст. 159</w:t>
      </w:r>
      <w:r w:rsidR="008B0C25" w:rsidRPr="00E332CB">
        <w:rPr>
          <w:rFonts w:ascii="Times New Roman" w:hAnsi="Times New Roman"/>
          <w:sz w:val="28"/>
          <w:szCs w:val="28"/>
        </w:rPr>
        <w:t xml:space="preserve"> УК РФ</w:t>
      </w:r>
      <w:r w:rsidRPr="00E332CB">
        <w:rPr>
          <w:rFonts w:ascii="Times New Roman" w:hAnsi="Times New Roman"/>
          <w:sz w:val="28"/>
          <w:szCs w:val="28"/>
        </w:rPr>
        <w:t>, а именно мошенничество в особо крупном размере</w:t>
      </w:r>
      <w:r w:rsidR="008B0C25" w:rsidRPr="00E332CB">
        <w:rPr>
          <w:rFonts w:ascii="Times New Roman" w:hAnsi="Times New Roman"/>
          <w:sz w:val="28"/>
          <w:szCs w:val="28"/>
        </w:rPr>
        <w:t>.</w:t>
      </w:r>
      <w:r w:rsidRPr="00E332CB">
        <w:rPr>
          <w:rFonts w:ascii="Times New Roman" w:hAnsi="Times New Roman"/>
          <w:sz w:val="28"/>
          <w:szCs w:val="28"/>
        </w:rPr>
        <w:t xml:space="preserve"> </w:t>
      </w:r>
      <w:r w:rsidR="008B0C25" w:rsidRPr="00E332CB">
        <w:rPr>
          <w:rFonts w:ascii="Times New Roman" w:hAnsi="Times New Roman"/>
          <w:sz w:val="28"/>
          <w:szCs w:val="28"/>
        </w:rPr>
        <w:t>И согласно данной статье наказанием будет</w:t>
      </w:r>
      <w:r w:rsidR="00E332CB">
        <w:rPr>
          <w:rFonts w:ascii="Times New Roman" w:hAnsi="Times New Roman"/>
          <w:sz w:val="28"/>
          <w:szCs w:val="28"/>
        </w:rPr>
        <w:t xml:space="preserve"> </w:t>
      </w:r>
      <w:r w:rsidR="008B0C25" w:rsidRPr="00E332CB">
        <w:rPr>
          <w:rFonts w:ascii="Times New Roman" w:hAnsi="Times New Roman"/>
          <w:sz w:val="28"/>
          <w:szCs w:val="28"/>
        </w:rPr>
        <w:t>лишение</w:t>
      </w:r>
      <w:r w:rsidRPr="00E332CB">
        <w:rPr>
          <w:rFonts w:ascii="Times New Roman" w:hAnsi="Times New Roman"/>
          <w:sz w:val="28"/>
          <w:szCs w:val="28"/>
        </w:rPr>
        <w:t xml:space="preserve">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:rsidR="001449AC" w:rsidRPr="00E332CB" w:rsidRDefault="001449AC" w:rsidP="00E332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2CB" w:rsidRDefault="00E332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2C7E" w:rsidRPr="002209C7" w:rsidRDefault="002209C7" w:rsidP="00E33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242C7E" w:rsidRPr="00E332CB" w:rsidRDefault="00242C7E" w:rsidP="00E332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B2" w:rsidRPr="00E332CB" w:rsidRDefault="003B60B2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"Гражданский кодекс Российской Федерации (часть первая)" от 30.11.1994 N 51-ФЗ (принят ГД ФС РФ 21.10.1994) (ред. от 27.07.2010);</w:t>
      </w:r>
    </w:p>
    <w:p w:rsidR="003B60B2" w:rsidRPr="00E332CB" w:rsidRDefault="003B60B2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"Уголовный кодекс Российской Федерации" от 13.06.1996 N63 ФЗ (принят ГД ФС РФ 24.05.1996)(ред. от 29.12.2010) (с изм. и доп., вступающими в силу с 11.01.2011);</w:t>
      </w:r>
    </w:p>
    <w:p w:rsidR="003B60B2" w:rsidRPr="00E332CB" w:rsidRDefault="003B60B2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 xml:space="preserve">Инструкция Банка России от 27.02.1995 </w:t>
      </w:r>
      <w:r w:rsidRPr="00E332CB">
        <w:rPr>
          <w:rFonts w:ascii="Times New Roman" w:hAnsi="Times New Roman"/>
          <w:sz w:val="28"/>
          <w:szCs w:val="28"/>
          <w:lang w:val="en-US"/>
        </w:rPr>
        <w:t>N</w:t>
      </w:r>
      <w:r w:rsidRPr="00E332CB">
        <w:rPr>
          <w:rFonts w:ascii="Times New Roman" w:hAnsi="Times New Roman"/>
          <w:sz w:val="28"/>
          <w:szCs w:val="28"/>
        </w:rPr>
        <w:t xml:space="preserve"> 27 (действует в настоящее время в редакции указания Банка России от 28.09.99 N 649-У);</w:t>
      </w:r>
    </w:p>
    <w:p w:rsidR="00BA79E8" w:rsidRPr="00E332CB" w:rsidRDefault="00BA79E8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bCs/>
          <w:sz w:val="28"/>
          <w:szCs w:val="28"/>
        </w:rPr>
        <w:t>Постановление</w:t>
      </w:r>
      <w:r w:rsidR="00242C7E" w:rsidRPr="00E332CB">
        <w:rPr>
          <w:rFonts w:ascii="Times New Roman" w:hAnsi="Times New Roman"/>
          <w:bCs/>
          <w:sz w:val="28"/>
          <w:szCs w:val="28"/>
        </w:rPr>
        <w:t xml:space="preserve"> Пленума Верховного Суда РФ от 28 апреля 1994 г. N 2 "О судебной практике по делам об изготовлении или сбыте подд</w:t>
      </w:r>
      <w:r w:rsidRPr="00E332CB">
        <w:rPr>
          <w:rFonts w:ascii="Times New Roman" w:hAnsi="Times New Roman"/>
          <w:bCs/>
          <w:sz w:val="28"/>
          <w:szCs w:val="28"/>
        </w:rPr>
        <w:t xml:space="preserve">ельных денег или ценных бумаг" </w:t>
      </w:r>
      <w:r w:rsidR="003B60B2" w:rsidRPr="00E332CB">
        <w:rPr>
          <w:rFonts w:ascii="Times New Roman" w:hAnsi="Times New Roman"/>
          <w:bCs/>
          <w:sz w:val="28"/>
          <w:szCs w:val="28"/>
        </w:rPr>
        <w:t>;</w:t>
      </w:r>
    </w:p>
    <w:p w:rsidR="00BA79E8" w:rsidRPr="00E332CB" w:rsidRDefault="00BA79E8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Федеральный закон от 26.10.2002 N 127-ФЗ (ред. от 28.12.2010) "О несостоятельности (банкротстве)" (принят ГД ФС РФ 27.09.2002) (с изм. и доп., вступающими в силу с 01.01.2011)</w:t>
      </w:r>
      <w:r w:rsidR="003B60B2" w:rsidRPr="00E332CB">
        <w:rPr>
          <w:rFonts w:ascii="Times New Roman" w:hAnsi="Times New Roman"/>
          <w:sz w:val="28"/>
          <w:szCs w:val="28"/>
        </w:rPr>
        <w:t>;</w:t>
      </w:r>
    </w:p>
    <w:p w:rsidR="00BA79E8" w:rsidRPr="00E332CB" w:rsidRDefault="00BA79E8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Федеральный закон от 25.02.1999 N 40-ФЗ (ред. от 19.07.2009) "О несостоятельности (банкротстве) кредитных организаций" (принят ГД ФС РФ 18.09.1998)</w:t>
      </w:r>
      <w:r w:rsidR="003B60B2" w:rsidRPr="00E332CB">
        <w:rPr>
          <w:rFonts w:ascii="Times New Roman" w:hAnsi="Times New Roman"/>
          <w:sz w:val="28"/>
          <w:szCs w:val="28"/>
        </w:rPr>
        <w:t>;</w:t>
      </w:r>
    </w:p>
    <w:p w:rsidR="00BA79E8" w:rsidRPr="00E332CB" w:rsidRDefault="00BA79E8" w:rsidP="00E332CB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32CB">
        <w:rPr>
          <w:rFonts w:ascii="Times New Roman" w:hAnsi="Times New Roman"/>
          <w:sz w:val="28"/>
          <w:szCs w:val="28"/>
        </w:rPr>
        <w:t>Федеральный закон от 10.12.2003 N 173-ФЗ (ред. от 22.07.2008) "О валютном регулировании и валютном контроле" (принят ГД ФС РФ 21.11.2003)</w:t>
      </w:r>
      <w:r w:rsidR="003B60B2" w:rsidRPr="00E332CB">
        <w:rPr>
          <w:rFonts w:ascii="Times New Roman" w:hAnsi="Times New Roman"/>
          <w:sz w:val="28"/>
          <w:szCs w:val="28"/>
        </w:rPr>
        <w:t>.</w:t>
      </w:r>
    </w:p>
    <w:p w:rsidR="00125527" w:rsidRPr="00257D91" w:rsidRDefault="00125527" w:rsidP="00E332C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125527" w:rsidRPr="00257D91" w:rsidSect="00E332CB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58" w:rsidRDefault="001C7958" w:rsidP="00301195">
      <w:pPr>
        <w:spacing w:after="0" w:line="240" w:lineRule="auto"/>
      </w:pPr>
      <w:r>
        <w:separator/>
      </w:r>
    </w:p>
  </w:endnote>
  <w:endnote w:type="continuationSeparator" w:id="0">
    <w:p w:rsidR="001C7958" w:rsidRDefault="001C7958" w:rsidP="0030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58" w:rsidRDefault="001C7958" w:rsidP="00301195">
      <w:pPr>
        <w:spacing w:after="0" w:line="240" w:lineRule="auto"/>
      </w:pPr>
      <w:r>
        <w:separator/>
      </w:r>
    </w:p>
  </w:footnote>
  <w:footnote w:type="continuationSeparator" w:id="0">
    <w:p w:rsidR="001C7958" w:rsidRDefault="001C7958" w:rsidP="0030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CB" w:rsidRPr="00E332CB" w:rsidRDefault="00E332CB" w:rsidP="00E332C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6151"/>
    <w:multiLevelType w:val="hybridMultilevel"/>
    <w:tmpl w:val="3FDC65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D52289B"/>
    <w:multiLevelType w:val="hybridMultilevel"/>
    <w:tmpl w:val="E9E0DE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2172C5"/>
    <w:multiLevelType w:val="hybridMultilevel"/>
    <w:tmpl w:val="CCDCCE60"/>
    <w:lvl w:ilvl="0" w:tplc="52B4185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2E3"/>
    <w:rsid w:val="000028A4"/>
    <w:rsid w:val="00004445"/>
    <w:rsid w:val="00027E39"/>
    <w:rsid w:val="00091E9F"/>
    <w:rsid w:val="000D1B17"/>
    <w:rsid w:val="000F34F9"/>
    <w:rsid w:val="00125527"/>
    <w:rsid w:val="001449AC"/>
    <w:rsid w:val="00167C5C"/>
    <w:rsid w:val="001A05AD"/>
    <w:rsid w:val="001B6593"/>
    <w:rsid w:val="001C0080"/>
    <w:rsid w:val="001C7958"/>
    <w:rsid w:val="002209C7"/>
    <w:rsid w:val="00242C7E"/>
    <w:rsid w:val="00247033"/>
    <w:rsid w:val="00257D91"/>
    <w:rsid w:val="00271182"/>
    <w:rsid w:val="002945DC"/>
    <w:rsid w:val="002B5634"/>
    <w:rsid w:val="00301195"/>
    <w:rsid w:val="003454D2"/>
    <w:rsid w:val="00370E83"/>
    <w:rsid w:val="003B60B2"/>
    <w:rsid w:val="004141EE"/>
    <w:rsid w:val="004145E1"/>
    <w:rsid w:val="00426F7F"/>
    <w:rsid w:val="004514F0"/>
    <w:rsid w:val="004E4F8B"/>
    <w:rsid w:val="005071D0"/>
    <w:rsid w:val="00545A4B"/>
    <w:rsid w:val="00585E72"/>
    <w:rsid w:val="005D6AA2"/>
    <w:rsid w:val="00604039"/>
    <w:rsid w:val="006202E3"/>
    <w:rsid w:val="006469F1"/>
    <w:rsid w:val="00667235"/>
    <w:rsid w:val="00671F0B"/>
    <w:rsid w:val="006A4A13"/>
    <w:rsid w:val="006E7381"/>
    <w:rsid w:val="006F1E98"/>
    <w:rsid w:val="00736F74"/>
    <w:rsid w:val="00742D8F"/>
    <w:rsid w:val="00796CFA"/>
    <w:rsid w:val="007A059A"/>
    <w:rsid w:val="007D7447"/>
    <w:rsid w:val="00874494"/>
    <w:rsid w:val="008B0C25"/>
    <w:rsid w:val="00945106"/>
    <w:rsid w:val="0096652D"/>
    <w:rsid w:val="00967D39"/>
    <w:rsid w:val="009C0168"/>
    <w:rsid w:val="00B93F41"/>
    <w:rsid w:val="00BA79E8"/>
    <w:rsid w:val="00BD433F"/>
    <w:rsid w:val="00C45252"/>
    <w:rsid w:val="00C5511D"/>
    <w:rsid w:val="00C945C4"/>
    <w:rsid w:val="00CF41DE"/>
    <w:rsid w:val="00D42C28"/>
    <w:rsid w:val="00D4629F"/>
    <w:rsid w:val="00DD3D06"/>
    <w:rsid w:val="00DF7D58"/>
    <w:rsid w:val="00E332CB"/>
    <w:rsid w:val="00E34BE7"/>
    <w:rsid w:val="00E635A7"/>
    <w:rsid w:val="00E75EF4"/>
    <w:rsid w:val="00EE4DDA"/>
    <w:rsid w:val="00F25E3C"/>
    <w:rsid w:val="00F30604"/>
    <w:rsid w:val="00F915A0"/>
    <w:rsid w:val="00FC7F38"/>
    <w:rsid w:val="00FE5811"/>
    <w:rsid w:val="00FF09EA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A7CC6-2020-46DE-9CD9-5536B42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rsid w:val="006202E3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3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0119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01195"/>
    <w:rPr>
      <w:rFonts w:cs="Times New Roman"/>
    </w:rPr>
  </w:style>
  <w:style w:type="paragraph" w:customStyle="1" w:styleId="ConsPlusNonformat">
    <w:name w:val="ConsPlusNonformat"/>
    <w:uiPriority w:val="99"/>
    <w:rsid w:val="00426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26F7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C945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6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69F1"/>
    <w:rPr>
      <w:rFonts w:ascii="Courier New" w:hAnsi="Courier New" w:cs="Courier New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9451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rsid w:val="00F25E3C"/>
    <w:rPr>
      <w:rFonts w:cs="Times New Roman"/>
      <w:color w:val="008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191"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  <w:div w:id="7758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936D-6DE1-4D61-8EDC-3CF0A2F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2014-03-24T21:42:00Z</dcterms:created>
  <dcterms:modified xsi:type="dcterms:W3CDTF">2014-03-24T21:42:00Z</dcterms:modified>
</cp:coreProperties>
</file>