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03" w:rsidRPr="00075CF9" w:rsidRDefault="00075CF9" w:rsidP="00075CF9">
      <w:pPr>
        <w:suppressAutoHyphens/>
        <w:spacing w:after="0" w:line="360" w:lineRule="auto"/>
        <w:ind w:firstLine="709"/>
        <w:jc w:val="both"/>
        <w:rPr>
          <w:rFonts w:ascii="Times New Roman" w:hAnsi="Times New Roman"/>
          <w:sz w:val="28"/>
          <w:szCs w:val="28"/>
          <w:lang w:val="en-US"/>
        </w:rPr>
      </w:pPr>
      <w:r w:rsidRPr="00075CF9">
        <w:rPr>
          <w:rFonts w:ascii="Times New Roman" w:hAnsi="Times New Roman"/>
          <w:sz w:val="28"/>
          <w:szCs w:val="28"/>
        </w:rPr>
        <w:t>Содержание</w:t>
      </w:r>
    </w:p>
    <w:p w:rsidR="00696574" w:rsidRPr="00075CF9" w:rsidRDefault="00696574" w:rsidP="00075CF9">
      <w:pPr>
        <w:suppressAutoHyphens/>
        <w:spacing w:after="0" w:line="360" w:lineRule="auto"/>
        <w:rPr>
          <w:rFonts w:ascii="Times New Roman" w:hAnsi="Times New Roman"/>
          <w:sz w:val="28"/>
          <w:szCs w:val="28"/>
        </w:rPr>
      </w:pP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lang w:val="en-US"/>
        </w:rPr>
        <w:t>1.</w:t>
      </w:r>
      <w:r w:rsidRPr="00075CF9">
        <w:rPr>
          <w:rFonts w:ascii="Times New Roman" w:hAnsi="Times New Roman"/>
          <w:sz w:val="28"/>
          <w:szCs w:val="28"/>
        </w:rPr>
        <w:t xml:space="preserve"> Методы оценки. Обязательная оценка. Объекты оценки. Субъекты оценочной деятельности</w:t>
      </w: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rPr>
        <w:t>2. Правовое положение кредитных организаций, страховщиков, инвестиционных фондов</w:t>
      </w:r>
    </w:p>
    <w:p w:rsidR="00075CF9" w:rsidRPr="00A3330F" w:rsidRDefault="00075CF9" w:rsidP="00075CF9">
      <w:pPr>
        <w:tabs>
          <w:tab w:val="left" w:pos="8755"/>
        </w:tabs>
        <w:suppressAutoHyphens/>
        <w:spacing w:after="0" w:line="360" w:lineRule="auto"/>
        <w:rPr>
          <w:rFonts w:ascii="Times New Roman" w:hAnsi="Times New Roman"/>
          <w:sz w:val="28"/>
          <w:szCs w:val="28"/>
          <w:lang w:val="en-US"/>
        </w:rPr>
      </w:pPr>
      <w:r w:rsidRPr="00075CF9">
        <w:rPr>
          <w:rFonts w:ascii="Times New Roman" w:hAnsi="Times New Roman"/>
          <w:sz w:val="28"/>
          <w:szCs w:val="28"/>
        </w:rPr>
        <w:t xml:space="preserve">3. Понятие и виды финансирования предпринимательской деятельности. Правовые основы </w:t>
      </w:r>
      <w:r w:rsidR="00A3330F">
        <w:rPr>
          <w:rFonts w:ascii="Times New Roman" w:hAnsi="Times New Roman"/>
          <w:sz w:val="28"/>
          <w:szCs w:val="28"/>
        </w:rPr>
        <w:t>государственного финансирования</w:t>
      </w: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rPr>
        <w:t>4. Процедуры банкротства</w:t>
      </w:r>
    </w:p>
    <w:p w:rsidR="00075CF9" w:rsidRPr="00A3330F" w:rsidRDefault="00075CF9" w:rsidP="00075CF9">
      <w:pPr>
        <w:tabs>
          <w:tab w:val="left" w:pos="8755"/>
        </w:tabs>
        <w:suppressAutoHyphens/>
        <w:spacing w:after="0" w:line="360" w:lineRule="auto"/>
        <w:rPr>
          <w:rFonts w:ascii="Times New Roman" w:hAnsi="Times New Roman"/>
          <w:sz w:val="28"/>
          <w:szCs w:val="28"/>
          <w:lang w:val="en-US"/>
        </w:rPr>
      </w:pPr>
      <w:r w:rsidRPr="00075CF9">
        <w:rPr>
          <w:rFonts w:ascii="Times New Roman" w:hAnsi="Times New Roman"/>
          <w:sz w:val="28"/>
          <w:szCs w:val="28"/>
        </w:rPr>
        <w:t>5. Защита информации и прав субъектов в области информационного обеспечения. Государственное регулир</w:t>
      </w:r>
      <w:r w:rsidR="00A3330F">
        <w:rPr>
          <w:rFonts w:ascii="Times New Roman" w:hAnsi="Times New Roman"/>
          <w:sz w:val="28"/>
          <w:szCs w:val="28"/>
        </w:rPr>
        <w:t>ование информационных отношений</w:t>
      </w: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rPr>
        <w:t>6. Права и обязанности аудиторов (аудиторских организаций) и аудируемых лиц. Аудиторское заключение</w:t>
      </w: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lang w:val="en-US"/>
        </w:rPr>
        <w:t xml:space="preserve">7. </w:t>
      </w:r>
      <w:r w:rsidRPr="00075CF9">
        <w:rPr>
          <w:rFonts w:ascii="Times New Roman" w:hAnsi="Times New Roman"/>
          <w:sz w:val="28"/>
          <w:szCs w:val="28"/>
        </w:rPr>
        <w:t>Реорганизация субъектов предпринимательского права. Ликвидация субъектов предпринимательского права</w:t>
      </w: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rPr>
        <w:t>8. Правовое регулирование формирование себестоимости выпускаемой продукции и формирования финансового результата</w:t>
      </w: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rPr>
        <w:t>9. Правовое положение субъектов малого предпринимательства</w:t>
      </w:r>
    </w:p>
    <w:p w:rsidR="00075CF9" w:rsidRPr="00075CF9" w:rsidRDefault="00075CF9" w:rsidP="00075CF9">
      <w:pPr>
        <w:tabs>
          <w:tab w:val="left" w:pos="8755"/>
        </w:tabs>
        <w:suppressAutoHyphens/>
        <w:spacing w:after="0" w:line="360" w:lineRule="auto"/>
        <w:rPr>
          <w:rFonts w:ascii="Times New Roman" w:hAnsi="Times New Roman"/>
          <w:sz w:val="28"/>
          <w:szCs w:val="28"/>
        </w:rPr>
      </w:pPr>
      <w:r w:rsidRPr="00075CF9">
        <w:rPr>
          <w:rFonts w:ascii="Times New Roman" w:hAnsi="Times New Roman"/>
          <w:sz w:val="28"/>
          <w:szCs w:val="28"/>
          <w:lang w:val="en-US"/>
        </w:rPr>
        <w:t>10.</w:t>
      </w:r>
      <w:r w:rsidRPr="00075CF9">
        <w:rPr>
          <w:rFonts w:ascii="Times New Roman" w:hAnsi="Times New Roman"/>
          <w:sz w:val="28"/>
          <w:szCs w:val="28"/>
        </w:rPr>
        <w:t xml:space="preserve"> Общие положения договора энергоснабжения. Понятие и виды цен. Правовые основы государственного регулирования цен</w:t>
      </w:r>
    </w:p>
    <w:p w:rsidR="002D337D" w:rsidRPr="00075CF9" w:rsidRDefault="002D337D" w:rsidP="00075CF9">
      <w:pPr>
        <w:suppressAutoHyphens/>
        <w:spacing w:after="0" w:line="360" w:lineRule="auto"/>
        <w:rPr>
          <w:rFonts w:ascii="Times New Roman" w:hAnsi="Times New Roman"/>
          <w:sz w:val="28"/>
          <w:szCs w:val="28"/>
        </w:rPr>
      </w:pPr>
    </w:p>
    <w:p w:rsidR="002D337D" w:rsidRPr="00075CF9" w:rsidRDefault="00075CF9" w:rsidP="00075CF9">
      <w:pPr>
        <w:suppressAutoHyphens/>
        <w:spacing w:after="0" w:line="360" w:lineRule="auto"/>
        <w:ind w:firstLine="709"/>
        <w:jc w:val="both"/>
        <w:rPr>
          <w:rFonts w:ascii="Times New Roman" w:hAnsi="Times New Roman"/>
          <w:caps/>
          <w:sz w:val="28"/>
          <w:szCs w:val="28"/>
        </w:rPr>
      </w:pPr>
      <w:r w:rsidRPr="00075CF9">
        <w:rPr>
          <w:rFonts w:ascii="Times New Roman" w:hAnsi="Times New Roman"/>
          <w:sz w:val="28"/>
          <w:szCs w:val="28"/>
        </w:rPr>
        <w:br w:type="page"/>
      </w:r>
      <w:r w:rsidR="00582765" w:rsidRPr="00075CF9">
        <w:rPr>
          <w:rFonts w:ascii="Times New Roman" w:hAnsi="Times New Roman"/>
          <w:caps/>
          <w:sz w:val="28"/>
          <w:szCs w:val="28"/>
        </w:rPr>
        <w:t>1</w:t>
      </w:r>
      <w:r w:rsidRPr="00075CF9">
        <w:rPr>
          <w:rFonts w:ascii="Times New Roman" w:hAnsi="Times New Roman"/>
          <w:caps/>
          <w:sz w:val="28"/>
          <w:szCs w:val="28"/>
        </w:rPr>
        <w:t>.</w:t>
      </w:r>
      <w:r w:rsidRPr="00075CF9">
        <w:rPr>
          <w:rFonts w:ascii="Times New Roman" w:hAnsi="Times New Roman"/>
          <w:sz w:val="28"/>
          <w:szCs w:val="28"/>
        </w:rPr>
        <w:t xml:space="preserve"> Методы оценки. Обязательная оценка. Объекты оценки. Субъекты оценочной деятельности</w:t>
      </w:r>
    </w:p>
    <w:p w:rsidR="002D337D" w:rsidRPr="00075CF9" w:rsidRDefault="002D337D" w:rsidP="00075CF9">
      <w:pPr>
        <w:suppressAutoHyphens/>
        <w:spacing w:after="0" w:line="360" w:lineRule="auto"/>
        <w:ind w:firstLine="709"/>
        <w:jc w:val="both"/>
        <w:rPr>
          <w:rFonts w:ascii="Times New Roman" w:hAnsi="Times New Roman"/>
          <w:sz w:val="28"/>
          <w:szCs w:val="28"/>
        </w:rPr>
      </w:pPr>
    </w:p>
    <w:p w:rsidR="00FA0D38" w:rsidRPr="00075CF9" w:rsidRDefault="00FA0D38"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Методы оценки</w:t>
      </w:r>
    </w:p>
    <w:p w:rsidR="00075CF9" w:rsidRPr="00075CF9" w:rsidRDefault="00582765"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В российской оценочной деятельности профессиональное суждение оценщика выражается в самостоятельном выборе методов оценки при формировании заключения о стоимости объекта. Это предусмотрено ст. 14 Федерального закона от 29 июля 1998 г. N 135-ФЗ "Об оценочной деятельности в Российской Федерации." В соответствии со ст. 15 данного Закона оценщик обязан соблюдать в своей деятельности требования настоящего Федерального закона, других федеральных законов и иных нормативных правовых актов РФ, федеральные стандарты оценки, а также стандарты и правила оценочной деятельности, утвержденные саморегулируемой организацией оценщиков, членом которой он является.</w:t>
      </w:r>
    </w:p>
    <w:p w:rsidR="00582765" w:rsidRPr="00075CF9" w:rsidRDefault="00FA0D38"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Методы оценки можно рассмотреть на примере оценки жилых помещений.</w:t>
      </w:r>
    </w:p>
    <w:p w:rsidR="00FA0D38"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Исходя из мировой и отечественной практики, применяется несколько подходов к оценке стоимости жилищной недвижимости.</w:t>
      </w:r>
    </w:p>
    <w:p w:rsidR="00FA0D38"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Применяются следующие подходы к оценке стоимости жилья:</w:t>
      </w:r>
    </w:p>
    <w:p w:rsidR="00FA0D38"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затратный подход - совокупность методов оценки*(1) стоимости жилья, основанных на определении затрат, необходимых для восстановления (замещения) объекта оценки, с учетом его естественного износа. Однако этот подход не учитывает такие важные факторы, определяющие рыночную стоимость, как месторасположение здания, состояние окружающей среды, развитость сети социальной инфраструктуры, индивидуальные свойства оцениваемого жилого помещения (этажность, высота жилых помещений, площадь кухни и т.п.);</w:t>
      </w:r>
    </w:p>
    <w:p w:rsidR="00FA0D38"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сравнительный подход состоит из совокупности методов оценки стоимости жилого объекта, основанных на его сравнении с аналогичными объектами, в отношении которых имеется ин</w:t>
      </w:r>
      <w:r w:rsidR="001B5411" w:rsidRPr="00075CF9">
        <w:rPr>
          <w:rFonts w:ascii="Times New Roman" w:hAnsi="Times New Roman"/>
          <w:sz w:val="28"/>
          <w:szCs w:val="28"/>
          <w:lang w:eastAsia="ru-RU"/>
        </w:rPr>
        <w:t>формация о ценах сделок с ними</w:t>
      </w:r>
      <w:r w:rsidR="007111F4" w:rsidRPr="00075CF9">
        <w:rPr>
          <w:rFonts w:ascii="Times New Roman" w:hAnsi="Times New Roman"/>
          <w:sz w:val="28"/>
          <w:szCs w:val="28"/>
          <w:lang w:eastAsia="ru-RU"/>
        </w:rPr>
        <w:t>;</w:t>
      </w:r>
    </w:p>
    <w:p w:rsidR="00075CF9"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доходный подход состоит из совокупности методов оценки стоимости жилого объекта, основанных на определении ожидаемых доходов от его использования.</w:t>
      </w:r>
    </w:p>
    <w:p w:rsidR="00FA0D38"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Обязательная оценка</w:t>
      </w:r>
    </w:p>
    <w:p w:rsidR="00FA0D38"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Федеральным законом от 07.05.2009 г. N 91-ФЗ предусмотрена обязательная оценка земельных участков и иной недвижимости Федерального фонда содействия развитию жилищного строительства в случае их продажи, передачи в аренду или в залог. Рыночная стоимость объектов недвижимости Фонда устанавливается в том числе в случае продажи земельных участков Фонда, на которых расположены находящиеся в частной собственности объекты инфраструктуры.</w:t>
      </w:r>
    </w:p>
    <w:p w:rsidR="00FA0D38" w:rsidRPr="00075CF9" w:rsidRDefault="00FA0D38"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Для ускорения передачи в собственность Фонда находящихся в федеральной собственности земельных участков (в том числе с расположенными на них недвижимыми объектами) исключена необходимость проведения оценки передаваемых объектов. В целях разграничения государственной собственности на землю уточнено, что к федеральной собственности относятся земельные участки, принадлежащие организациям, созданным и (или) подведомственным государственным академиям наук.</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В соответствии с Российским законодательством обязательная оценка проводится в следующих случаях:</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при определении стоимости объектов оценки, принадлежащих Российской Федерации, субъектам Российской Федерации или муниципальным образованиям, в целях их приватизации, передачи в доверительное управление либо передачи в аренду;</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при использовании объектов оценки, принадлежащих Российской Федерации, субъектам Российской Федерации либо муниципальным образованиям, в качестве предмета залога;</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при продаже или ином отчуждении объектов оценки, принадлежащих Российской Федерации, субъектам Российской Федерации или муниципальным образованиям;</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Объекты оценки</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xml:space="preserve">В соответствии со ст. 5 ФЗ </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Об оценочной деятельности в Российской федерации</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 xml:space="preserve"> № 135-ФЗ от 29 июля 1998 года к объектам оценки относятся:</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отдельные материальные объекты (вещи);</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совокупность вещей, составляющих имущество лица, в том числе имущество определенного вида (движимое или недвижимое, в том числе предприятия);</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 собственности и иные вещные права на имущество или отдельные вещи из состава имущества;</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права требования, обязательства (долги);</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работы, услуги, информация;</w:t>
      </w:r>
    </w:p>
    <w:p w:rsidR="00075CF9"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иные объекты гражданских прав, в отношении которых законодательством Российской Федерации установлена возможность их участия в гражданском обороте.</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caps/>
          <w:sz w:val="28"/>
          <w:szCs w:val="28"/>
          <w:lang w:eastAsia="ru-RU"/>
        </w:rPr>
      </w:pPr>
      <w:r w:rsidRPr="00075CF9">
        <w:rPr>
          <w:rFonts w:ascii="Times New Roman" w:hAnsi="Times New Roman"/>
          <w:caps/>
          <w:sz w:val="28"/>
          <w:szCs w:val="28"/>
        </w:rPr>
        <w:t>2</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Правовое положение кредитных организаций, страховщиков, инвестиционных фондов</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Правовое положение кредитных организаций</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Правовые основы создания и деятельности кредитных организаций в РФ установлены Федеральным законом от 3 февраля 1996 г. "О банках и банковской деятельности".</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Кредитной организацией признается юридическое лицо, которое для извлечения прибыли как основной цели своей деятельности на основе специального разрешения (лицензии) Центрального банка РФ имеет право осуществлять предусмотренные законом о банках банковские операции. Кредитные организации могут образовываться на основе любой формы собственности как хозяйственное общество.</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Законом предусмотрено создание двух видов кредитных организаций: банков и небанковских кредитных организаций.</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Банк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В отличие от банка, небанковская кредитная организация имеет право осуществлять лишь отдельные банковские операции, допустимые сочетания которых устанавливаются Банком России. К небанковским кредитным организациям, в частности, относятся организации, созданные для осуществления расчетов на рынке ценных бумаг, клиринговые учреждения.</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Кредитные организации являются одним из элементов банковской системы Российской Федерации, в которую входят также Банк России, филиалы и представительства иностранных банков.</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Правовое положение страховщиков</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Осуществление страховой деятельности является профессиональной функцией юридических лиц, которые занимаются исключительно организацией и ведением страхового дела.</w:t>
      </w:r>
    </w:p>
    <w:p w:rsidR="00BF11C7"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Страховая организация является специальным субъектом гражданско-правовых отношений, так как законодатель установил особый правовой режим создания и деятельности страховых организаций. Термин "страховая организация" является нарицательным, он присвоен законодателем тому участнику страховых отношений, который занимается исключительно организацией и ведением страхового дела. В частности, в ст. 4.1 Закона о страховом деле определено, что одним из участников страховых отношений является страховая организация.</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В ст. 938 ГК РФ страховщик определен как юридическое лицо, которое может заключать договоры страхования при наличии разрешения (лицензии) на осуществление страхования соответствующего вида. В ст. 6 Закона о страховом деле страховщик определен как юридическое лицо, созданное в соответствии с законодательством РФ для осуществления страхования, перестрахования, взаимного страхования и получившее лицензию в установленном законом порядке.</w:t>
      </w:r>
    </w:p>
    <w:p w:rsidR="00BF11C7"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Правовое положение инвестиционных фондов</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Правовое положение инвестиционных фондов определяется Федеральным законом от 29 ноября 2001 г. "Об инвестиционных фондах".</w:t>
      </w:r>
    </w:p>
    <w:p w:rsidR="00075CF9"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Субъектом предпринимательской деятельности является акционерный инвестиционный фонд (в отличие от паевого инвестиционного фонда, представляющего собой объект права). Акционерный инвестиционный фонд - открытое акционерное общество, исключительным предметом деятельности которого является инвестирование имущества в ценные бумаги и иные объекты, предусмотренные законом об акционерных обществах, и фирменное наименование которого содержат слова "акционерный инвестиционный фонд" или "инвестиционный фонд". Акционерный инвестиционный фонд не вправе осуществлять иные виды предпринимательской деятельности. Свою деятельность он ведет на основании лицензии.</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caps/>
          <w:sz w:val="28"/>
          <w:szCs w:val="28"/>
          <w:lang w:eastAsia="ru-RU"/>
        </w:rPr>
      </w:pPr>
      <w:r w:rsidRPr="00075CF9">
        <w:rPr>
          <w:rFonts w:ascii="Times New Roman" w:hAnsi="Times New Roman"/>
          <w:caps/>
          <w:sz w:val="28"/>
          <w:szCs w:val="28"/>
        </w:rPr>
        <w:t>3</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Понятие и виды финансирования предпринимательской деятельности. Правовые основы государственного финансирования</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rPr>
      </w:pP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rPr>
        <w:t>Понятие и виды финансирования</w:t>
      </w:r>
      <w:r w:rsidR="00075CF9" w:rsidRPr="00075CF9">
        <w:rPr>
          <w:rFonts w:ascii="Times New Roman" w:hAnsi="Times New Roman"/>
          <w:sz w:val="28"/>
          <w:szCs w:val="28"/>
        </w:rPr>
        <w:t xml:space="preserve"> </w:t>
      </w:r>
      <w:r w:rsidRPr="00075CF9">
        <w:rPr>
          <w:rFonts w:ascii="Times New Roman" w:hAnsi="Times New Roman"/>
          <w:sz w:val="28"/>
          <w:szCs w:val="28"/>
        </w:rPr>
        <w:t>предпринимательской деятельности</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Финансирование и кредитование представляют собой способы обеспечения денежными средствами предпринимательской деятельности.</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Финансирование - это безвозмездное и безвозвратное предоставление денежных средств в разных формах для осуществления какой-либо деятельности. Принципами безвозвратности и безвозмездности финансирование отличается от кредитования, предусматривающего предоставление средств на условиях возвратности и возмездное(tm) (платности).</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Правовой режим инвестирования отличается от финансирования главным образом тем, что инвестор приобретает право собственности на объект инвестиционной деятельности. При финансировании право собственности у субъекта, предоставившего денежные средства, не возникает. Кроме того, инвестициями могут быть любые материальные и нематериальные ценности, финансирование же осуществляется денежными средствами. Можно проследить различия и по целям деятельности (инвестиционная, как правило, ориентирована на получение прибыли), по субъектам этой деятельности.</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rPr>
        <w:t>Правовые основы государственного финансирования</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Основным принципом финансового обеспечения хозяйственной деятельности в рыночных условиях является переход на все более полное самофинансирование организациями своих потребностей.</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Самофинансирование, как известно, осуществляется за счет таких источников, как прибыль организации, амортизационные отчисления, включение затрат в себестоимость выпускаемой продукции.</w:t>
      </w:r>
    </w:p>
    <w:p w:rsidR="00075CF9"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Изучение нормативных правовых актов показывает, что в условиях рынка государство берет на себя обязанность финансового обеспечения приоритетных государственных программ развития промышленности, сельского хозяйства, транспорта, связи. Кроме того, финансируются отрасли и предприятия, деятельность которых удовлетворяет социальные потребности, нужды населения. Однако в силу ряда причин хозяйствующие субъекты, осуществляющие такого рода деятельность, либо являются заведомо убыточными (например, организации агропромышленного комплекса), либо государство считает необходимым их финансовую поддержку, обеспечивая тем самым соблюдение публичных интересов общества. Так, как правило, из федерального бюджета финансируется конверсия оборонных отраслей промышленности, осуществляется государственная поддержка атомной энергетики. В соответствии со ст. 86 БК РФ, исключительно из бюджетов субъектов Российской Федерации финансируются следующие функциональные виды расходов:</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 обеспечение реализации региональных целевых программ;</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 формирование государственной собственности субъектов Российской Федерации;</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 осуществление международных и внешнеэкономических связей субъектов Российской Федерации;</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 xml:space="preserve">- содержание и развитие организаций, находящихся </w:t>
      </w:r>
      <w:r w:rsidRPr="00075CF9">
        <w:rPr>
          <w:rFonts w:ascii="Times New Roman" w:eastAsia="Times-Bold" w:hAnsi="Times New Roman"/>
          <w:bCs/>
          <w:sz w:val="28"/>
          <w:szCs w:val="28"/>
          <w:lang w:eastAsia="ru-RU"/>
        </w:rPr>
        <w:t xml:space="preserve">в </w:t>
      </w:r>
      <w:r w:rsidRPr="00075CF9">
        <w:rPr>
          <w:rFonts w:ascii="Times New Roman" w:eastAsia="Times-Roman" w:hAnsi="Times New Roman"/>
          <w:sz w:val="28"/>
          <w:szCs w:val="28"/>
          <w:lang w:eastAsia="ru-RU"/>
        </w:rPr>
        <w:t>ведении органов государственной власти субъектов Российской Федерации и др.</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Источниками государственного финансирования служат средства федерального бюджета или бюджета субъекта Российской Федерации. Соответственно основными нормативными актами, определяющими порядок государственного финансирования, являются Бюджетный кодекс РФ и законы о бюджете на соответствующий год.</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Расходование средств не по целевому назначению следует рассматривать в качестве нарушения обязательства со стороны получателя ассигнований и может служить основанием для применения мер ответственности.</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Bold" w:hAnsi="Times New Roman"/>
          <w:bCs/>
          <w:sz w:val="28"/>
          <w:szCs w:val="28"/>
          <w:lang w:eastAsia="ru-RU"/>
        </w:rPr>
      </w:pPr>
      <w:r w:rsidRPr="00075CF9">
        <w:rPr>
          <w:rFonts w:ascii="Times New Roman" w:eastAsia="Times-Roman" w:hAnsi="Times New Roman"/>
          <w:sz w:val="28"/>
          <w:szCs w:val="28"/>
          <w:lang w:eastAsia="ru-RU"/>
        </w:rPr>
        <w:t xml:space="preserve">Государственное финансирование предпринимательской деятельности осуществляется в следующих </w:t>
      </w:r>
      <w:r w:rsidRPr="00075CF9">
        <w:rPr>
          <w:rFonts w:ascii="Times New Roman" w:eastAsia="Times-Bold" w:hAnsi="Times New Roman"/>
          <w:bCs/>
          <w:sz w:val="28"/>
          <w:szCs w:val="28"/>
          <w:lang w:eastAsia="ru-RU"/>
        </w:rPr>
        <w:t>основных формах:</w:t>
      </w:r>
    </w:p>
    <w:p w:rsidR="00A518EA" w:rsidRPr="00075CF9" w:rsidRDefault="00A518EA" w:rsidP="00075CF9">
      <w:pPr>
        <w:suppressAutoHyphens/>
        <w:autoSpaceDE w:val="0"/>
        <w:autoSpaceDN w:val="0"/>
        <w:adjustRightInd w:val="0"/>
        <w:spacing w:after="0" w:line="360" w:lineRule="auto"/>
        <w:ind w:firstLine="709"/>
        <w:jc w:val="both"/>
        <w:rPr>
          <w:rFonts w:ascii="Times New Roman" w:eastAsia="Times-Roman" w:hAnsi="Times New Roman"/>
          <w:sz w:val="28"/>
          <w:szCs w:val="28"/>
          <w:lang w:eastAsia="ru-RU"/>
        </w:rPr>
      </w:pPr>
      <w:r w:rsidRPr="00075CF9">
        <w:rPr>
          <w:rFonts w:ascii="Times New Roman" w:eastAsia="Times-Roman" w:hAnsi="Times New Roman"/>
          <w:sz w:val="28"/>
          <w:szCs w:val="28"/>
          <w:lang w:eastAsia="ru-RU"/>
        </w:rPr>
        <w:t>- предоставление бюджетных средств на оплату товаров, работ и услуг, выполняемых физическими и юридическими лицами по государственным контрактам;</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eastAsia="Times-Roman" w:hAnsi="Times New Roman"/>
          <w:sz w:val="28"/>
          <w:szCs w:val="28"/>
          <w:lang w:eastAsia="ru-RU"/>
        </w:rPr>
        <w:t xml:space="preserve">- предоставление дотаций, субсидий и субвенций физическим </w:t>
      </w:r>
      <w:r w:rsidRPr="00075CF9">
        <w:rPr>
          <w:rFonts w:ascii="Times New Roman" w:eastAsia="Times-Bold" w:hAnsi="Times New Roman"/>
          <w:bCs/>
          <w:sz w:val="28"/>
          <w:szCs w:val="28"/>
          <w:lang w:eastAsia="ru-RU"/>
        </w:rPr>
        <w:t xml:space="preserve">и </w:t>
      </w:r>
      <w:r w:rsidRPr="00075CF9">
        <w:rPr>
          <w:rFonts w:ascii="Times New Roman" w:eastAsia="Times-Roman" w:hAnsi="Times New Roman"/>
          <w:sz w:val="28"/>
          <w:szCs w:val="28"/>
          <w:lang w:eastAsia="ru-RU"/>
        </w:rPr>
        <w:t>юридическим лицам, а также бюджетам других уровней бюджетной системы Российской Федерации.</w:t>
      </w:r>
    </w:p>
    <w:p w:rsidR="00A518EA" w:rsidRPr="00075CF9" w:rsidRDefault="009A760C" w:rsidP="00075CF9">
      <w:pPr>
        <w:suppressAutoHyphens/>
        <w:autoSpaceDE w:val="0"/>
        <w:autoSpaceDN w:val="0"/>
        <w:adjustRightInd w:val="0"/>
        <w:spacing w:after="0" w:line="360" w:lineRule="auto"/>
        <w:ind w:firstLine="709"/>
        <w:jc w:val="both"/>
        <w:rPr>
          <w:rFonts w:ascii="Times New Roman" w:hAnsi="Times New Roman"/>
          <w:caps/>
          <w:sz w:val="28"/>
          <w:szCs w:val="28"/>
          <w:lang w:eastAsia="ru-RU"/>
        </w:rPr>
      </w:pPr>
      <w:r>
        <w:rPr>
          <w:rFonts w:ascii="Times New Roman" w:hAnsi="Times New Roman"/>
          <w:sz w:val="28"/>
          <w:szCs w:val="28"/>
          <w:lang w:eastAsia="ru-RU"/>
        </w:rPr>
        <w:br w:type="page"/>
      </w:r>
      <w:r w:rsidR="00A518EA" w:rsidRPr="00075CF9">
        <w:rPr>
          <w:rFonts w:ascii="Times New Roman" w:hAnsi="Times New Roman"/>
          <w:caps/>
          <w:sz w:val="28"/>
          <w:szCs w:val="28"/>
        </w:rPr>
        <w:t>4</w:t>
      </w:r>
      <w:r w:rsidR="00075CF9" w:rsidRPr="00075CF9">
        <w:rPr>
          <w:rFonts w:ascii="Times New Roman" w:hAnsi="Times New Roman"/>
          <w:caps/>
          <w:sz w:val="28"/>
          <w:szCs w:val="28"/>
          <w:lang w:val="en-US"/>
        </w:rPr>
        <w:t>.</w:t>
      </w:r>
      <w:r w:rsidR="00075CF9" w:rsidRPr="00075CF9">
        <w:rPr>
          <w:rFonts w:ascii="Times New Roman" w:hAnsi="Times New Roman"/>
          <w:sz w:val="28"/>
          <w:szCs w:val="28"/>
        </w:rPr>
        <w:t xml:space="preserve"> Процедуры банкротства</w:t>
      </w:r>
    </w:p>
    <w:p w:rsidR="00BF11C7" w:rsidRPr="00075CF9" w:rsidRDefault="00BF11C7"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Закон выделяет следующие основные процедуры банкротства:</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наблюдение;</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финансовое оздоровление;</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внешнее управление;</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конкурсное производство;</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мировое соглашение.</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w:t>
      </w:r>
    </w:p>
    <w:p w:rsidR="00A518EA"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Финансовое оздоровление - процедура банкротства, применяемая к должнику в целях восстановления его платежеспособности и погашения задолженности перед всеми кредиторами в соответствии с утвержденным арбитражным судом графиком погашения задолженности.</w:t>
      </w:r>
    </w:p>
    <w:p w:rsidR="00717228"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Внешнее управление - процедура банкротства, применяемая к должнику в целях восстановления его платежеспособности. Эта процедура вводится арбитражным судом на основании решения собрания кредиторов в случае установления реальной возможности восстановления платежеспособности должника. Максимальный срок внешнего упра</w:t>
      </w:r>
      <w:r w:rsidR="00717228" w:rsidRPr="00075CF9">
        <w:rPr>
          <w:rFonts w:ascii="Times New Roman" w:hAnsi="Times New Roman"/>
          <w:sz w:val="28"/>
          <w:szCs w:val="28"/>
          <w:lang w:eastAsia="ru-RU"/>
        </w:rPr>
        <w:t>вления также составляет 2 года.</w:t>
      </w:r>
    </w:p>
    <w:p w:rsidR="00075CF9"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Конкурсное производство вводится сроком на один год. Срок конкурсного производства может продлеваться по ходатайству лица, участвующего в деле, не более чем на шесть месяцев.</w:t>
      </w:r>
    </w:p>
    <w:p w:rsidR="00075CF9" w:rsidRPr="00075CF9" w:rsidRDefault="00A518EA" w:rsidP="00075CF9">
      <w:pPr>
        <w:suppressAutoHyphens/>
        <w:autoSpaceDE w:val="0"/>
        <w:autoSpaceDN w:val="0"/>
        <w:adjustRightInd w:val="0"/>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Мировое соглашение - процедура банкротства, применяемая на любой стадии рассмотрения дела о банкротстве в целях прекращения производства по делу о банкротстве путем достижения соглашения между должником и кредиторами. Мировое соглашение заключается по решению собрания кредиторов между конкурсными кредиторами и уполномоченными органами, с одной стороны, и должником - с другой, и представляет собой гражданско-правовую сделку, путем которой стороны на основе взаимных уступок определяют размер подлежащих погашению денежных требований и сроки их погашения.</w:t>
      </w:r>
    </w:p>
    <w:p w:rsidR="002D337D" w:rsidRPr="00075CF9" w:rsidRDefault="002D337D" w:rsidP="00075CF9">
      <w:pPr>
        <w:suppressAutoHyphens/>
        <w:spacing w:after="0" w:line="360" w:lineRule="auto"/>
        <w:ind w:firstLine="709"/>
        <w:jc w:val="both"/>
        <w:rPr>
          <w:rFonts w:ascii="Times New Roman" w:hAnsi="Times New Roman"/>
          <w:sz w:val="28"/>
          <w:szCs w:val="28"/>
        </w:rPr>
      </w:pPr>
    </w:p>
    <w:p w:rsidR="002D337D" w:rsidRPr="00075CF9" w:rsidRDefault="00717228" w:rsidP="00075CF9">
      <w:pPr>
        <w:suppressAutoHyphens/>
        <w:spacing w:after="0" w:line="360" w:lineRule="auto"/>
        <w:ind w:firstLine="709"/>
        <w:jc w:val="both"/>
        <w:rPr>
          <w:rFonts w:ascii="Times New Roman" w:hAnsi="Times New Roman"/>
          <w:caps/>
          <w:sz w:val="28"/>
          <w:szCs w:val="28"/>
          <w:lang w:val="en-US"/>
        </w:rPr>
      </w:pPr>
      <w:r w:rsidRPr="00075CF9">
        <w:rPr>
          <w:rFonts w:ascii="Times New Roman" w:hAnsi="Times New Roman"/>
          <w:caps/>
          <w:sz w:val="28"/>
          <w:szCs w:val="28"/>
        </w:rPr>
        <w:t>5</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Защита информации и прав субъектов в области информационного обеспечения. Государственное регулирование информационных отношений</w:t>
      </w:r>
    </w:p>
    <w:p w:rsidR="002D337D" w:rsidRPr="00075CF9" w:rsidRDefault="002D337D" w:rsidP="00075CF9">
      <w:pPr>
        <w:suppressAutoHyphens/>
        <w:spacing w:after="0" w:line="360" w:lineRule="auto"/>
        <w:ind w:firstLine="709"/>
        <w:jc w:val="both"/>
        <w:rPr>
          <w:rFonts w:ascii="Times New Roman" w:hAnsi="Times New Roman"/>
          <w:sz w:val="28"/>
          <w:szCs w:val="28"/>
        </w:rPr>
      </w:pPr>
    </w:p>
    <w:p w:rsidR="00717228" w:rsidRPr="00075CF9" w:rsidRDefault="00717228"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Защита информации и прав субъектов в области информационного обеспечения</w:t>
      </w:r>
    </w:p>
    <w:p w:rsidR="00717228" w:rsidRPr="00075CF9" w:rsidRDefault="00717228"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Защите подлежит любая документированная информация, неправомерное обращение с которой может нанести ущерб ее собственнику, владельцу, пользователю, иному лицу. Режим защиты информации устанавливается:</w:t>
      </w:r>
    </w:p>
    <w:p w:rsidR="00717228" w:rsidRPr="00075CF9" w:rsidRDefault="00717228"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 отношении сведений, отнесенных к государственной тайне, - Законом РФ "О государственной тайне";</w:t>
      </w:r>
    </w:p>
    <w:p w:rsidR="00717228" w:rsidRPr="00075CF9" w:rsidRDefault="00717228"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 отношении персональных данных, информации о частной жизни граждан - Конституцией РФ и иными федеральными законами. Например, согласно Федеральному закону от 15 ноября 1997 г. № 104 "Об актах гражданского состояния" сведения, ставшие известными работнику органов записи актов 1ражданского состояния в связи с государственной регистрацией акта гражданского состояния, являются персональными данными и, следовательно, не подлежат разглашению;</w:t>
      </w:r>
    </w:p>
    <w:p w:rsidR="00717228" w:rsidRPr="00075CF9" w:rsidRDefault="00717228"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 отношении коммерческой и служебной тайны - законодательными актами и локальными нормативными актами организации. Например, в соответствии со ст. 15 Закона РФ "О конкуренции и ограничении монополистической деятельности на товарных рынках" сведения, составляющие коммерческую тайну, которые получены федеральным антимонопольным органом (территориальным органом), не подлежат разглашению. Получение, использование, разглашение хозяйствующими субъектами в процессе предпринимательской деятельности коммерческой тайны без согласия ее владельца рассматривается в качестве одной из форм недобросовестной конкуренции;</w:t>
      </w:r>
    </w:p>
    <w:p w:rsidR="00717228" w:rsidRPr="00075CF9" w:rsidRDefault="00717228"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 отношении банковской тайны - ст. 857 ГК РФ, ст. 26 Федерального закона "О банках и банковской деятельности". Сведения, составляющие банковскую тайну, могут быть предоставлены только самим клиентам или их представителям. Государственным органам и их должностным лицам такие сведения могут быть предоставлены исключительно в случаях и в порядке, определенных законом.</w:t>
      </w:r>
    </w:p>
    <w:p w:rsidR="002D337D" w:rsidRPr="00075CF9" w:rsidRDefault="00717228"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Государственное регулирование информационных отношений.</w:t>
      </w:r>
    </w:p>
    <w:p w:rsidR="00075CF9" w:rsidRPr="00075CF9" w:rsidRDefault="00717228" w:rsidP="009A760C">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Правовой базис института государственной тайны составляет ин формационная правовая норма, содержащаяся в ст. 29 Конституции РФ: "4.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r w:rsidR="009A760C" w:rsidRPr="009A760C">
        <w:rPr>
          <w:rFonts w:ascii="Times New Roman" w:hAnsi="Times New Roman"/>
          <w:sz w:val="28"/>
          <w:szCs w:val="28"/>
        </w:rPr>
        <w:t xml:space="preserve"> </w:t>
      </w:r>
      <w:r w:rsidRPr="00075CF9">
        <w:rPr>
          <w:rFonts w:ascii="Times New Roman" w:hAnsi="Times New Roman"/>
          <w:sz w:val="28"/>
          <w:szCs w:val="28"/>
        </w:rPr>
        <w:t>Правовую основу этого института составляют также законы РФ "О безопасности", "О государственной тайне", Федеральный закон "Об информации, информатизации и защите информации", указы и распоряжения Президента РФ, постановления и распоряжения Правительства РФ, регулирующие отношения в области защиты государственной тайны.</w:t>
      </w:r>
    </w:p>
    <w:p w:rsidR="002D337D" w:rsidRPr="00075CF9" w:rsidRDefault="009E3A34"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 соответствии со ст. 16 ФЗ</w:t>
      </w:r>
      <w:r w:rsidR="00717228" w:rsidRPr="00075CF9">
        <w:rPr>
          <w:rFonts w:ascii="Times New Roman" w:hAnsi="Times New Roman"/>
          <w:sz w:val="28"/>
          <w:szCs w:val="28"/>
        </w:rPr>
        <w:t xml:space="preserve"> от 27 июля 2006 г. N 149-ФЗ</w:t>
      </w:r>
      <w:r w:rsidR="00075CF9" w:rsidRPr="00075CF9">
        <w:rPr>
          <w:rFonts w:ascii="Times New Roman" w:hAnsi="Times New Roman"/>
          <w:sz w:val="28"/>
          <w:szCs w:val="28"/>
        </w:rPr>
        <w:t xml:space="preserve"> </w:t>
      </w:r>
      <w:r w:rsidR="00717228" w:rsidRPr="00075CF9">
        <w:rPr>
          <w:rFonts w:ascii="Times New Roman" w:hAnsi="Times New Roman"/>
          <w:sz w:val="28"/>
          <w:szCs w:val="28"/>
        </w:rPr>
        <w:t>"Об информации, информационных технологиях и о защите информации"</w:t>
      </w:r>
      <w:r w:rsidR="00075CF9" w:rsidRPr="00075CF9">
        <w:rPr>
          <w:rFonts w:ascii="Times New Roman" w:hAnsi="Times New Roman"/>
          <w:sz w:val="28"/>
          <w:szCs w:val="28"/>
        </w:rPr>
        <w:t xml:space="preserve"> </w:t>
      </w:r>
      <w:r w:rsidR="00717228" w:rsidRPr="00075CF9">
        <w:rPr>
          <w:rFonts w:ascii="Times New Roman" w:hAnsi="Times New Roman"/>
          <w:sz w:val="28"/>
          <w:szCs w:val="28"/>
        </w:rPr>
        <w:t>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C11A1D" w:rsidRPr="00075CF9" w:rsidRDefault="009A760C" w:rsidP="00075CF9">
      <w:pPr>
        <w:suppressAutoHyphens/>
        <w:spacing w:after="0" w:line="360" w:lineRule="auto"/>
        <w:ind w:firstLine="709"/>
        <w:jc w:val="both"/>
        <w:rPr>
          <w:rFonts w:ascii="Times New Roman" w:hAnsi="Times New Roman"/>
          <w:caps/>
          <w:sz w:val="28"/>
          <w:szCs w:val="28"/>
        </w:rPr>
      </w:pPr>
      <w:r>
        <w:rPr>
          <w:rFonts w:ascii="Times New Roman" w:hAnsi="Times New Roman"/>
          <w:sz w:val="28"/>
          <w:szCs w:val="28"/>
        </w:rPr>
        <w:br w:type="page"/>
      </w:r>
      <w:r w:rsidR="00C11A1D" w:rsidRPr="00075CF9">
        <w:rPr>
          <w:rFonts w:ascii="Times New Roman" w:hAnsi="Times New Roman"/>
          <w:caps/>
          <w:sz w:val="28"/>
          <w:szCs w:val="28"/>
        </w:rPr>
        <w:t>6</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Права и обязанности аудиторов (аудиторских организаций) и аудируемых лиц. Аудиторское заключение</w:t>
      </w:r>
    </w:p>
    <w:p w:rsidR="00C11A1D" w:rsidRPr="00075CF9" w:rsidRDefault="00C11A1D" w:rsidP="00075CF9">
      <w:pPr>
        <w:suppressAutoHyphens/>
        <w:spacing w:after="0" w:line="360" w:lineRule="auto"/>
        <w:ind w:firstLine="709"/>
        <w:jc w:val="both"/>
        <w:rPr>
          <w:rFonts w:ascii="Times New Roman" w:hAnsi="Times New Roman"/>
          <w:sz w:val="28"/>
          <w:szCs w:val="28"/>
        </w:rPr>
      </w:pPr>
    </w:p>
    <w:p w:rsidR="00075CF9"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Права и обязанности аудиторов (аудиторских организаций) и аудируемых лиц.</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Основные права и обязанности аудиторов, аудиторских организаций и проверяемых субъектов определены Законом об аудите и могут быть конкретизированы при заключении договора. В соответствии со ст. 5 данного Закона индивидуальные аудиторы и аудиторские организации имеют, в частности, право:</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а) самостоятельно определять формы и методы аудита;</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б) проверять у аудируемых лиц документацию о финансово-хозяйственной деятельности, получать разъяснения и дополнительные сведения, необходимые для проверки;</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 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следующих случаях:</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непредставления аудируемым лицом всей необходимой документации;</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выявления в ходе проверки обстоятельств, оказывающих или могущих оказать существенное влияние на мнение о степени достоверности финансовой отчетности.</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Данным правам аудиторов и аудиторских организаций соответствуют обязанности проверяемого субъекта (ст. 6 Закона об аудите), в частности:</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а) создавать аудитору (аудиторской организации) условия для своевременного и полного проведения аудиторской проверки, предоставлять всю документацию, необходимую для ее проведения, а также давать по запросу аудитора разъяснения и объяснения в устной и письменной форме, запрашивать необходимые для проверки сведения у третьих лиц;</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б) оперативно устранять выявленные аудиторской проверкой нарушения порядка ведения бухгалтерского учета и составления бухгалтерской (финансовой) отчетности;</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в) не предпринимать действий в целях ограничения круга вопросов, подлежащих выяснению в процессе проведения аудиторской проверки;</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г) заключать договоры на проведение обязательного аудита с аудиторскими организациями в установленные законодательством РФ сроки;</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д) своевременно оплачивать услуга аудиторских организаций (индивидуальных аудиторов) в соответствии с договором независимо от высказанного аудитором мнения, в том числе в случае неполного выполнения аудиторами работы по независящим от них причинам.</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Аудиторское заключение.</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Аудиторское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Заключение аудиторской организации по результатам проверки годовой отчетности является неотъемлемым элементом годовой бухгалтерской отчетности для предприятий, подлежащих в соответствии с действующим законодательством обязательному аудиту.</w:t>
      </w:r>
    </w:p>
    <w:p w:rsidR="00C11A1D" w:rsidRPr="00075CF9" w:rsidRDefault="00C11A1D"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 xml:space="preserve">Аудиторское заключение составляется в соответствии с требованиями, сформулированными в правиле (стандарте) аудиторской деятельности </w:t>
      </w:r>
      <w:r w:rsidR="00075CF9" w:rsidRPr="00075CF9">
        <w:rPr>
          <w:rFonts w:ascii="Times New Roman" w:hAnsi="Times New Roman"/>
          <w:sz w:val="28"/>
          <w:szCs w:val="28"/>
        </w:rPr>
        <w:t>"</w:t>
      </w:r>
      <w:r w:rsidRPr="00075CF9">
        <w:rPr>
          <w:rFonts w:ascii="Times New Roman" w:hAnsi="Times New Roman"/>
          <w:sz w:val="28"/>
          <w:szCs w:val="28"/>
        </w:rPr>
        <w:t>Порядок составления аудиторского заключения о бухгалтерской отчетности</w:t>
      </w:r>
      <w:r w:rsidR="00075CF9" w:rsidRPr="00075CF9">
        <w:rPr>
          <w:rFonts w:ascii="Times New Roman" w:hAnsi="Times New Roman"/>
          <w:sz w:val="28"/>
          <w:szCs w:val="28"/>
        </w:rPr>
        <w:t>"</w:t>
      </w:r>
      <w:r w:rsidRPr="00075CF9">
        <w:rPr>
          <w:rFonts w:ascii="Times New Roman" w:hAnsi="Times New Roman"/>
          <w:sz w:val="28"/>
          <w:szCs w:val="28"/>
        </w:rPr>
        <w:t>.</w:t>
      </w:r>
    </w:p>
    <w:p w:rsidR="009B4054" w:rsidRPr="00075CF9" w:rsidRDefault="009B4054" w:rsidP="00075CF9">
      <w:pPr>
        <w:suppressAutoHyphens/>
        <w:spacing w:after="0" w:line="360" w:lineRule="auto"/>
        <w:ind w:firstLine="709"/>
        <w:jc w:val="both"/>
        <w:rPr>
          <w:rFonts w:ascii="Times New Roman" w:hAnsi="Times New Roman"/>
          <w:sz w:val="28"/>
          <w:szCs w:val="28"/>
        </w:rPr>
      </w:pPr>
    </w:p>
    <w:p w:rsidR="009B4054" w:rsidRPr="00075CF9" w:rsidRDefault="009A760C" w:rsidP="00075CF9">
      <w:pPr>
        <w:suppressAutoHyphens/>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9B4054" w:rsidRPr="00075CF9">
        <w:rPr>
          <w:rFonts w:ascii="Times New Roman" w:hAnsi="Times New Roman"/>
          <w:caps/>
          <w:sz w:val="28"/>
          <w:szCs w:val="28"/>
        </w:rPr>
        <w:t>7</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Реорганизация субъектов предпринимательского права. Ликвидация субъектов предпринимательского права</w:t>
      </w:r>
    </w:p>
    <w:p w:rsidR="009B4054" w:rsidRPr="00075CF9" w:rsidRDefault="009B4054" w:rsidP="00075CF9">
      <w:pPr>
        <w:suppressAutoHyphens/>
        <w:spacing w:after="0" w:line="360" w:lineRule="auto"/>
        <w:ind w:firstLine="709"/>
        <w:jc w:val="both"/>
        <w:rPr>
          <w:rFonts w:ascii="Times New Roman" w:hAnsi="Times New Roman"/>
          <w:caps/>
          <w:sz w:val="28"/>
          <w:szCs w:val="28"/>
        </w:rPr>
      </w:pPr>
    </w:p>
    <w:p w:rsidR="009B4054" w:rsidRPr="00075CF9" w:rsidRDefault="009B4054" w:rsidP="00075CF9">
      <w:pPr>
        <w:pStyle w:val="af0"/>
        <w:suppressAutoHyphens/>
        <w:spacing w:before="0" w:beforeAutospacing="0" w:after="0" w:afterAutospacing="0" w:line="360" w:lineRule="auto"/>
        <w:ind w:firstLine="709"/>
        <w:jc w:val="both"/>
        <w:rPr>
          <w:sz w:val="28"/>
          <w:szCs w:val="28"/>
        </w:rPr>
      </w:pPr>
      <w:r w:rsidRPr="00075CF9">
        <w:rPr>
          <w:sz w:val="28"/>
          <w:szCs w:val="28"/>
        </w:rPr>
        <w:t>Реорганизация представляет собой прекращение организации с правопреемством, т.е. с переходом прав и обязанностей к другим лицам. Целью реорганизации является изменение правового статуса юридического лица.</w:t>
      </w:r>
    </w:p>
    <w:p w:rsidR="009B4054" w:rsidRPr="00075CF9" w:rsidRDefault="009B4054" w:rsidP="00075CF9">
      <w:pPr>
        <w:pStyle w:val="af0"/>
        <w:suppressAutoHyphens/>
        <w:spacing w:before="0" w:beforeAutospacing="0" w:after="0" w:afterAutospacing="0" w:line="360" w:lineRule="auto"/>
        <w:ind w:firstLine="709"/>
        <w:jc w:val="both"/>
        <w:rPr>
          <w:sz w:val="28"/>
          <w:szCs w:val="28"/>
        </w:rPr>
      </w:pPr>
      <w:r w:rsidRPr="00075CF9">
        <w:rPr>
          <w:sz w:val="28"/>
          <w:szCs w:val="28"/>
        </w:rPr>
        <w:t xml:space="preserve">Порядок реорганизации субъектов определяется ст. 57-60 ГК РФ, а </w:t>
      </w:r>
      <w:r w:rsidRPr="00F70787">
        <w:rPr>
          <w:sz w:val="28"/>
          <w:szCs w:val="28"/>
        </w:rPr>
        <w:t>также Законом о регистрации</w:t>
      </w:r>
      <w:r w:rsidRPr="00075CF9">
        <w:rPr>
          <w:sz w:val="28"/>
          <w:szCs w:val="28"/>
        </w:rPr>
        <w:t>.</w:t>
      </w:r>
    </w:p>
    <w:p w:rsidR="009B4054" w:rsidRPr="00075CF9" w:rsidRDefault="009B4054" w:rsidP="00075CF9">
      <w:pPr>
        <w:pStyle w:val="af0"/>
        <w:suppressAutoHyphens/>
        <w:spacing w:before="0" w:beforeAutospacing="0" w:after="0" w:afterAutospacing="0" w:line="360" w:lineRule="auto"/>
        <w:ind w:firstLine="709"/>
        <w:jc w:val="both"/>
        <w:rPr>
          <w:sz w:val="28"/>
          <w:szCs w:val="28"/>
        </w:rPr>
      </w:pPr>
      <w:r w:rsidRPr="00075CF9">
        <w:rPr>
          <w:sz w:val="28"/>
          <w:szCs w:val="28"/>
        </w:rPr>
        <w:t xml:space="preserve">Реорганизация может быть добровольной и принудительной. Решение о добровольной реорганизации коммерческой организации может быть принято ее учредителями (участниками) либо органом организации, уполномоченным на то ее учредительными документами. Кроме как по воле юридического лица, реорганизация осуществляется по решению уполномоченного государственного органа или по решению суда. Это возможно в случаях, прямо указанных в законе. Например, в соответствии со ст. 19 Закона о </w:t>
      </w:r>
      <w:r w:rsidRPr="00F70787">
        <w:rPr>
          <w:sz w:val="28"/>
          <w:szCs w:val="28"/>
        </w:rPr>
        <w:t>конкуренции</w:t>
      </w:r>
      <w:r w:rsidRPr="00075CF9">
        <w:rPr>
          <w:sz w:val="28"/>
          <w:szCs w:val="28"/>
        </w:rPr>
        <w:t xml:space="preserve">, Федеральная </w:t>
      </w:r>
      <w:r w:rsidRPr="00F70787">
        <w:rPr>
          <w:sz w:val="28"/>
          <w:szCs w:val="28"/>
        </w:rPr>
        <w:t>антимонопольная</w:t>
      </w:r>
      <w:r w:rsidRPr="00075CF9">
        <w:rPr>
          <w:sz w:val="28"/>
          <w:szCs w:val="28"/>
        </w:rPr>
        <w:t xml:space="preserve"> служба может принять решение о </w:t>
      </w:r>
      <w:r w:rsidRPr="00F70787">
        <w:rPr>
          <w:sz w:val="28"/>
          <w:szCs w:val="28"/>
        </w:rPr>
        <w:t>принудительном разделении</w:t>
      </w:r>
      <w:r w:rsidRPr="00075CF9">
        <w:rPr>
          <w:sz w:val="28"/>
          <w:szCs w:val="28"/>
        </w:rPr>
        <w:t xml:space="preserve"> или выделении хозяйствующего субъекта, </w:t>
      </w:r>
      <w:r w:rsidRPr="00F70787">
        <w:rPr>
          <w:sz w:val="28"/>
          <w:szCs w:val="28"/>
        </w:rPr>
        <w:t>занимающего доминирующее положение</w:t>
      </w:r>
      <w:r w:rsidRPr="00075CF9">
        <w:rPr>
          <w:sz w:val="28"/>
          <w:szCs w:val="28"/>
        </w:rPr>
        <w:t xml:space="preserve"> на товарном рынке и злоупотребляющего своим положением.</w:t>
      </w:r>
    </w:p>
    <w:p w:rsidR="009B4054" w:rsidRPr="00075CF9" w:rsidRDefault="009B4054" w:rsidP="00075CF9">
      <w:pPr>
        <w:pStyle w:val="af0"/>
        <w:suppressAutoHyphens/>
        <w:spacing w:before="0" w:beforeAutospacing="0" w:after="0" w:afterAutospacing="0" w:line="360" w:lineRule="auto"/>
        <w:ind w:firstLine="709"/>
        <w:jc w:val="both"/>
        <w:rPr>
          <w:sz w:val="28"/>
          <w:szCs w:val="28"/>
        </w:rPr>
      </w:pPr>
      <w:r w:rsidRPr="00075CF9">
        <w:rPr>
          <w:sz w:val="28"/>
          <w:szCs w:val="28"/>
        </w:rPr>
        <w:t>Ликвидация представляет собой прекращение субъекта предпринимательского права без перехода прав и обязанностей в порядке правопреемства к другим лицам. Это означает, что права и обязанности ликвидированного субъекта к другим лицам не переходят.</w:t>
      </w:r>
    </w:p>
    <w:p w:rsidR="009B4054" w:rsidRPr="00075CF9" w:rsidRDefault="009B4054" w:rsidP="00075CF9">
      <w:pPr>
        <w:pStyle w:val="af0"/>
        <w:suppressAutoHyphens/>
        <w:spacing w:before="0" w:beforeAutospacing="0" w:after="0" w:afterAutospacing="0" w:line="360" w:lineRule="auto"/>
        <w:ind w:firstLine="709"/>
        <w:jc w:val="both"/>
        <w:rPr>
          <w:sz w:val="28"/>
          <w:szCs w:val="28"/>
        </w:rPr>
      </w:pPr>
      <w:r w:rsidRPr="00075CF9">
        <w:rPr>
          <w:sz w:val="28"/>
          <w:szCs w:val="28"/>
        </w:rPr>
        <w:t>Правовые основы осуществления ликвидации организаций и индивидуальной предпринимательской деятельности закреплены ГК РФ, НК РФ, Законами Об АО, Об ООО, О производственных кооперативах, Об унитарных предприятиях.</w:t>
      </w:r>
    </w:p>
    <w:p w:rsidR="009B4054" w:rsidRPr="00075CF9" w:rsidRDefault="009B4054" w:rsidP="00075CF9">
      <w:pPr>
        <w:pStyle w:val="af0"/>
        <w:suppressAutoHyphens/>
        <w:spacing w:before="0" w:beforeAutospacing="0" w:after="0" w:afterAutospacing="0" w:line="360" w:lineRule="auto"/>
        <w:ind w:firstLine="709"/>
        <w:jc w:val="both"/>
        <w:rPr>
          <w:sz w:val="28"/>
          <w:szCs w:val="28"/>
        </w:rPr>
      </w:pPr>
      <w:r w:rsidRPr="00075CF9">
        <w:rPr>
          <w:sz w:val="28"/>
          <w:szCs w:val="28"/>
        </w:rPr>
        <w:t>Порядок государственной регистрации ликвидации юридического лица и прекращения индивидуальной предпринимательской деятельности определяется Законом о регистрации.</w:t>
      </w:r>
    </w:p>
    <w:p w:rsidR="009B4054" w:rsidRPr="00075CF9" w:rsidRDefault="009B4054" w:rsidP="00075CF9">
      <w:pPr>
        <w:pStyle w:val="af0"/>
        <w:suppressAutoHyphens/>
        <w:spacing w:before="0" w:beforeAutospacing="0" w:after="0" w:afterAutospacing="0" w:line="360" w:lineRule="auto"/>
        <w:ind w:firstLine="709"/>
        <w:jc w:val="both"/>
        <w:rPr>
          <w:sz w:val="28"/>
          <w:szCs w:val="28"/>
        </w:rPr>
      </w:pPr>
      <w:r w:rsidRPr="00075CF9">
        <w:rPr>
          <w:sz w:val="28"/>
          <w:szCs w:val="28"/>
        </w:rPr>
        <w:t>Ликвидация может быть добровольной и принудительной.</w:t>
      </w:r>
    </w:p>
    <w:p w:rsidR="009B4054" w:rsidRPr="00075CF9" w:rsidRDefault="009B4054" w:rsidP="00075CF9">
      <w:pPr>
        <w:suppressAutoHyphens/>
        <w:spacing w:after="0" w:line="360" w:lineRule="auto"/>
        <w:ind w:firstLine="709"/>
        <w:jc w:val="both"/>
        <w:rPr>
          <w:rFonts w:ascii="Times New Roman" w:hAnsi="Times New Roman"/>
          <w:caps/>
          <w:sz w:val="28"/>
          <w:szCs w:val="28"/>
        </w:rPr>
      </w:pPr>
    </w:p>
    <w:p w:rsidR="009B4054" w:rsidRPr="00075CF9" w:rsidRDefault="009B4054" w:rsidP="00075CF9">
      <w:pPr>
        <w:suppressAutoHyphens/>
        <w:spacing w:after="0" w:line="360" w:lineRule="auto"/>
        <w:ind w:firstLine="709"/>
        <w:jc w:val="both"/>
        <w:rPr>
          <w:rFonts w:ascii="Times New Roman" w:hAnsi="Times New Roman"/>
          <w:caps/>
          <w:sz w:val="28"/>
          <w:szCs w:val="28"/>
        </w:rPr>
      </w:pPr>
      <w:r w:rsidRPr="00075CF9">
        <w:rPr>
          <w:rFonts w:ascii="Times New Roman" w:hAnsi="Times New Roman"/>
          <w:caps/>
          <w:sz w:val="28"/>
          <w:szCs w:val="28"/>
        </w:rPr>
        <w:t>8</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Правовое регулирование формирование себестоимости выпускаемой продукции и формирования финансового результата</w:t>
      </w:r>
    </w:p>
    <w:p w:rsidR="009B4054" w:rsidRPr="00075CF9" w:rsidRDefault="009B4054" w:rsidP="00075CF9">
      <w:pPr>
        <w:suppressAutoHyphens/>
        <w:spacing w:after="0" w:line="360" w:lineRule="auto"/>
        <w:ind w:firstLine="709"/>
        <w:jc w:val="both"/>
        <w:rPr>
          <w:rFonts w:ascii="Times New Roman" w:hAnsi="Times New Roman"/>
          <w:caps/>
          <w:sz w:val="28"/>
          <w:szCs w:val="28"/>
        </w:rPr>
      </w:pPr>
    </w:p>
    <w:p w:rsidR="00075CF9"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Формирование издержек производства и обращения, их учет имеют важное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w:t>
      </w:r>
    </w:p>
    <w:p w:rsidR="009B4054"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xml:space="preserve">В соответствии с п.1 Положения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 утвержденного Постановлением Правительства РФ от 5 августа 1992 года </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 xml:space="preserve"> 552 (далее – Положение о составе затрат),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9B4054"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 xml:space="preserve">Необходимо отметить, что до принятия Министерством финансов РФ Приказа от 19 октября 1995 г. № 115 </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О годовой бухгалтерской отчетности организаций за 1995 год</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 xml:space="preserve"> понятия </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полная себестоимость</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 xml:space="preserve"> и </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себестоимость реализованной продукции</w:t>
      </w:r>
      <w:r w:rsidR="00075CF9" w:rsidRPr="00075CF9">
        <w:rPr>
          <w:rFonts w:ascii="Times New Roman" w:hAnsi="Times New Roman"/>
          <w:sz w:val="28"/>
          <w:szCs w:val="28"/>
          <w:lang w:eastAsia="ru-RU"/>
        </w:rPr>
        <w:t>"</w:t>
      </w:r>
      <w:r w:rsidRPr="00075CF9">
        <w:rPr>
          <w:rFonts w:ascii="Times New Roman" w:hAnsi="Times New Roman"/>
          <w:sz w:val="28"/>
          <w:szCs w:val="28"/>
          <w:lang w:eastAsia="ru-RU"/>
        </w:rPr>
        <w:t xml:space="preserve"> не всегда совпадали. Так, у предприятий, определяющих выручку по реализации продукции по оплаченным счетам, полная себестоимость представляла собой производственную себестоимость плюс некоторые коммерческие расходы, включаемые в себестоимость конкретных видов продукции (работ, услуг) прямым путем: транспортные расходы и расходы на упаковку. В то же время на себестоимость реализованной продукции относились все остальные коммерческие расходы, которые подлежали отнесению на себестоимость продукции только в момент ее реализации, т.е. оплаты. Однако после того, как было установлено, что для всех целей бухгалтерской отчетности возникает в момент ее отгрузки (выполнения работ, оказания услуг), специальное выделение этих видов себестоимости потеряло смысл, поскольку понятия отгруженной и реализованной продукции стали совпадать.</w:t>
      </w:r>
    </w:p>
    <w:p w:rsidR="009B4054"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Конечный финансовый результат деятельности хозяйствующего субъекта - это та прибыль (убыток), которую получает предприниматель в результате реализации товаров (работ, услуг), имущественных прав, а также в результате осуществления внереализационных операций.</w:t>
      </w:r>
    </w:p>
    <w:p w:rsidR="009B4054"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Конечный финансовый результат (прибыль или убыток) слагается из доходов от обычных видов деятельности организации, операционных и внереализационных доходов, уменьшенных на сумму расходов по этим операциям.</w:t>
      </w:r>
    </w:p>
    <w:p w:rsidR="00075CF9"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Доходами от обычных видов деятельности является выручка от продажи продукции и товаров, поступления, связанные с выполнением работ, оказанием услуг. Величина поступления определяется исходя из цены, установленной договором между организацией и покупателем (заказчиком) или пользователем активов организации (по договору аренды).</w:t>
      </w:r>
    </w:p>
    <w:p w:rsidR="009B4054"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Расходами по обычным видам деятельности являются расходы, связанные с изготовлением продукции, приобретением и продажей товаров, выполнением работ, оказанием услуг. Для целей формирования организацией финансового результата от обычных видов деятельности определяется себестоимость товаров, работ, услуг.</w:t>
      </w:r>
    </w:p>
    <w:p w:rsidR="00075CF9"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Исчисленная хозяйствующими субъектами прибыль служит источником налогообложения при уплате ряда налогов. При этом законодательством устанавливаются специальные правила определения объекта налогообложения для уплаты различных налогов.</w:t>
      </w:r>
    </w:p>
    <w:p w:rsidR="00F01406"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В целях налогообложения порядок формирования прибыли (убытка) определяется НК РФ и, в частности, главой 25 Налогового кодекса РФ "Налог на прибыль организаций". Налоговое законодательство доходом признает экономическую выгоду в денежной или натуральной форме, учитываемую в случае возможности ее оценки и в той мере, в какой такую выгоду можно оценить, и определяемую в соответствии с НК РФ. Расходами признаются обоснованные и документально подтвержденные затраты (а в случаях, предусмотренных НК РФ, убытки), осуществленные (понесенные) налогоплательщиком</w:t>
      </w:r>
    </w:p>
    <w:p w:rsidR="009B4054" w:rsidRPr="00075CF9" w:rsidRDefault="009B4054"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В соответствии со ст. 253 НК РФ, расходы, связанные с производством и реализацией, включают в себя:</w:t>
      </w:r>
    </w:p>
    <w:p w:rsidR="00075CF9" w:rsidRPr="00075CF9" w:rsidRDefault="009B4054" w:rsidP="00075CF9">
      <w:pPr>
        <w:numPr>
          <w:ilvl w:val="0"/>
          <w:numId w:val="27"/>
        </w:numPr>
        <w:suppressAutoHyphens/>
        <w:spacing w:after="0" w:line="360" w:lineRule="auto"/>
        <w:ind w:left="0" w:firstLine="709"/>
        <w:jc w:val="both"/>
        <w:rPr>
          <w:rFonts w:ascii="Times New Roman" w:hAnsi="Times New Roman"/>
          <w:sz w:val="28"/>
          <w:szCs w:val="28"/>
          <w:lang w:eastAsia="ru-RU"/>
        </w:rPr>
      </w:pPr>
      <w:r w:rsidRPr="00075CF9">
        <w:rPr>
          <w:rFonts w:ascii="Times New Roman" w:hAnsi="Times New Roman"/>
          <w:sz w:val="28"/>
          <w:szCs w:val="28"/>
          <w:lang w:eastAsia="ru-RU"/>
        </w:rPr>
        <w:t>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075CF9" w:rsidRPr="00075CF9" w:rsidRDefault="009B4054" w:rsidP="00075CF9">
      <w:pPr>
        <w:numPr>
          <w:ilvl w:val="0"/>
          <w:numId w:val="27"/>
        </w:numPr>
        <w:suppressAutoHyphens/>
        <w:spacing w:after="0" w:line="360" w:lineRule="auto"/>
        <w:ind w:left="0" w:firstLine="709"/>
        <w:jc w:val="both"/>
        <w:rPr>
          <w:rFonts w:ascii="Times New Roman" w:hAnsi="Times New Roman"/>
          <w:sz w:val="28"/>
          <w:szCs w:val="28"/>
          <w:lang w:eastAsia="ru-RU"/>
        </w:rPr>
      </w:pPr>
      <w:r w:rsidRPr="00075CF9">
        <w:rPr>
          <w:rFonts w:ascii="Times New Roman" w:hAnsi="Times New Roman"/>
          <w:sz w:val="28"/>
          <w:szCs w:val="28"/>
          <w:lang w:eastAsia="ru-RU"/>
        </w:rPr>
        <w:t>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075CF9" w:rsidRPr="00075CF9" w:rsidRDefault="009B4054" w:rsidP="00075CF9">
      <w:pPr>
        <w:numPr>
          <w:ilvl w:val="0"/>
          <w:numId w:val="27"/>
        </w:numPr>
        <w:suppressAutoHyphens/>
        <w:spacing w:after="0" w:line="360" w:lineRule="auto"/>
        <w:ind w:left="0" w:firstLine="709"/>
        <w:jc w:val="both"/>
        <w:rPr>
          <w:rFonts w:ascii="Times New Roman" w:hAnsi="Times New Roman"/>
          <w:sz w:val="28"/>
          <w:szCs w:val="28"/>
          <w:lang w:eastAsia="ru-RU"/>
        </w:rPr>
      </w:pPr>
      <w:r w:rsidRPr="00075CF9">
        <w:rPr>
          <w:rFonts w:ascii="Times New Roman" w:hAnsi="Times New Roman"/>
          <w:sz w:val="28"/>
          <w:szCs w:val="28"/>
          <w:lang w:eastAsia="ru-RU"/>
        </w:rPr>
        <w:t>расходы на освоение природных ресурсов;</w:t>
      </w:r>
    </w:p>
    <w:p w:rsidR="00075CF9" w:rsidRPr="00075CF9" w:rsidRDefault="009B4054" w:rsidP="00075CF9">
      <w:pPr>
        <w:numPr>
          <w:ilvl w:val="0"/>
          <w:numId w:val="27"/>
        </w:numPr>
        <w:suppressAutoHyphens/>
        <w:spacing w:after="0" w:line="360" w:lineRule="auto"/>
        <w:ind w:left="0" w:firstLine="709"/>
        <w:jc w:val="both"/>
        <w:rPr>
          <w:rFonts w:ascii="Times New Roman" w:hAnsi="Times New Roman"/>
          <w:sz w:val="28"/>
          <w:szCs w:val="28"/>
          <w:lang w:eastAsia="ru-RU"/>
        </w:rPr>
      </w:pPr>
      <w:r w:rsidRPr="00075CF9">
        <w:rPr>
          <w:rFonts w:ascii="Times New Roman" w:hAnsi="Times New Roman"/>
          <w:sz w:val="28"/>
          <w:szCs w:val="28"/>
          <w:lang w:eastAsia="ru-RU"/>
        </w:rPr>
        <w:t>расходы на научные исследования и опытно-конструкторские разработки;</w:t>
      </w:r>
    </w:p>
    <w:p w:rsidR="00075CF9" w:rsidRPr="00075CF9" w:rsidRDefault="009B4054" w:rsidP="00075CF9">
      <w:pPr>
        <w:numPr>
          <w:ilvl w:val="0"/>
          <w:numId w:val="27"/>
        </w:numPr>
        <w:suppressAutoHyphens/>
        <w:spacing w:after="0" w:line="360" w:lineRule="auto"/>
        <w:ind w:left="0" w:firstLine="709"/>
        <w:jc w:val="both"/>
        <w:rPr>
          <w:rFonts w:ascii="Times New Roman" w:hAnsi="Times New Roman"/>
          <w:sz w:val="28"/>
          <w:szCs w:val="28"/>
          <w:lang w:eastAsia="ru-RU"/>
        </w:rPr>
      </w:pPr>
      <w:r w:rsidRPr="00075CF9">
        <w:rPr>
          <w:rFonts w:ascii="Times New Roman" w:hAnsi="Times New Roman"/>
          <w:sz w:val="28"/>
          <w:szCs w:val="28"/>
          <w:lang w:eastAsia="ru-RU"/>
        </w:rPr>
        <w:t>расходы на обязательное и добровольное страхование и др.</w:t>
      </w:r>
    </w:p>
    <w:p w:rsidR="009B4054" w:rsidRPr="00075CF9" w:rsidRDefault="009B4054" w:rsidP="00075CF9">
      <w:pPr>
        <w:suppressAutoHyphens/>
        <w:spacing w:after="0" w:line="360" w:lineRule="auto"/>
        <w:ind w:firstLine="709"/>
        <w:jc w:val="both"/>
        <w:rPr>
          <w:rFonts w:ascii="Times New Roman" w:hAnsi="Times New Roman"/>
          <w:caps/>
          <w:sz w:val="28"/>
          <w:szCs w:val="28"/>
        </w:rPr>
      </w:pPr>
    </w:p>
    <w:p w:rsidR="001B5411" w:rsidRPr="00075CF9" w:rsidRDefault="001B5411" w:rsidP="00075CF9">
      <w:pPr>
        <w:suppressAutoHyphens/>
        <w:spacing w:after="0" w:line="360" w:lineRule="auto"/>
        <w:ind w:firstLine="709"/>
        <w:jc w:val="both"/>
        <w:rPr>
          <w:rFonts w:ascii="Times New Roman" w:hAnsi="Times New Roman"/>
          <w:caps/>
          <w:sz w:val="28"/>
          <w:szCs w:val="28"/>
        </w:rPr>
      </w:pPr>
      <w:r w:rsidRPr="00075CF9">
        <w:rPr>
          <w:rFonts w:ascii="Times New Roman" w:hAnsi="Times New Roman"/>
          <w:caps/>
          <w:sz w:val="28"/>
          <w:szCs w:val="28"/>
        </w:rPr>
        <w:t>9</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Правовое положение субъектов малого предпринимательства</w:t>
      </w:r>
    </w:p>
    <w:p w:rsidR="001B5411" w:rsidRPr="00075CF9" w:rsidRDefault="001B5411" w:rsidP="00075CF9">
      <w:pPr>
        <w:suppressAutoHyphens/>
        <w:spacing w:after="0" w:line="360" w:lineRule="auto"/>
        <w:ind w:firstLine="709"/>
        <w:jc w:val="both"/>
        <w:rPr>
          <w:rFonts w:ascii="Times New Roman" w:hAnsi="Times New Roman"/>
          <w:caps/>
          <w:sz w:val="28"/>
          <w:szCs w:val="28"/>
        </w:rPr>
      </w:pP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Правовое положение субъектов малого предпринимательства определяется Федеральным законом от 14 июня 1995 г. "О государственной поддержке малого предпринимательства в Российской Федерации". Под субъектами малого предпринимательства понимаются коммерческие организации, в уставном капитале которых доля участия Российской Федерации, субъектов РФ, общественных и религиозных организаций (объединений), благотворительных и иных фондов не превышает 25%, доля, принадлежащая одному Или нескольким юридическим лицам, не являющимся субъектами малого предпринимательства, не превышает 25% и в которых средняя численность работников за отчетный период не превышает предельных уровней, установленных дифференцированно по отраслям (напр., в промышленности - и человек, в розничной торговле и бытовом обслуживании населения - 30 человек). Численность определяется с учетом всех работников организации, в том числе работающих по договорам гражданско-правового характера и по совместительству, а также работников представительств, филиалов и других обособленных подразделений данного юридического лица. 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 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1B5411" w:rsidRPr="00075CF9" w:rsidRDefault="001B5411" w:rsidP="00075CF9">
      <w:pPr>
        <w:suppressAutoHyphens/>
        <w:spacing w:after="0" w:line="360" w:lineRule="auto"/>
        <w:ind w:firstLine="709"/>
        <w:jc w:val="both"/>
        <w:rPr>
          <w:rFonts w:ascii="Times New Roman" w:hAnsi="Times New Roman"/>
          <w:caps/>
          <w:sz w:val="28"/>
          <w:szCs w:val="28"/>
        </w:rPr>
      </w:pPr>
    </w:p>
    <w:p w:rsidR="001B5411" w:rsidRPr="00075CF9" w:rsidRDefault="001B5411" w:rsidP="00075CF9">
      <w:pPr>
        <w:suppressAutoHyphens/>
        <w:spacing w:after="0" w:line="360" w:lineRule="auto"/>
        <w:ind w:firstLine="709"/>
        <w:jc w:val="both"/>
        <w:rPr>
          <w:rFonts w:ascii="Times New Roman" w:hAnsi="Times New Roman"/>
          <w:caps/>
          <w:sz w:val="28"/>
          <w:szCs w:val="28"/>
        </w:rPr>
      </w:pPr>
      <w:r w:rsidRPr="00075CF9">
        <w:rPr>
          <w:rFonts w:ascii="Times New Roman" w:hAnsi="Times New Roman"/>
          <w:caps/>
          <w:sz w:val="28"/>
          <w:szCs w:val="28"/>
        </w:rPr>
        <w:t>10</w:t>
      </w:r>
      <w:r w:rsidR="00075CF9" w:rsidRPr="00075CF9">
        <w:rPr>
          <w:rFonts w:ascii="Times New Roman" w:hAnsi="Times New Roman"/>
          <w:caps/>
          <w:sz w:val="28"/>
          <w:szCs w:val="28"/>
        </w:rPr>
        <w:t>.</w:t>
      </w:r>
      <w:r w:rsidR="00075CF9" w:rsidRPr="00075CF9">
        <w:rPr>
          <w:rFonts w:ascii="Times New Roman" w:hAnsi="Times New Roman"/>
          <w:sz w:val="28"/>
          <w:szCs w:val="28"/>
        </w:rPr>
        <w:t xml:space="preserve"> Общие положения договора энергоснабжения. Понятие и виды цен. Правовые основы государственного регулирования цен</w:t>
      </w:r>
    </w:p>
    <w:p w:rsidR="001B5411" w:rsidRPr="00075CF9" w:rsidRDefault="001B5411" w:rsidP="00075CF9">
      <w:pPr>
        <w:suppressAutoHyphens/>
        <w:spacing w:after="0" w:line="360" w:lineRule="auto"/>
        <w:ind w:firstLine="709"/>
        <w:jc w:val="both"/>
        <w:rPr>
          <w:rFonts w:ascii="Times New Roman" w:hAnsi="Times New Roman"/>
          <w:caps/>
          <w:sz w:val="28"/>
          <w:szCs w:val="28"/>
        </w:rPr>
      </w:pPr>
    </w:p>
    <w:p w:rsidR="001B5411" w:rsidRPr="00075CF9" w:rsidRDefault="001B5411"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Договор энергоснабжения относится к числу широко распространенных по субъектному составу, так как все физические и юридические лица в современном мире практически не могут обходиться без потребления электрической и тепловой энергии, газа.</w:t>
      </w:r>
    </w:p>
    <w:p w:rsidR="001B5411" w:rsidRPr="00075CF9" w:rsidRDefault="001B5411"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Отношения, связанные с энергопотреблением, опосредуются договором энергоснабжения.</w:t>
      </w:r>
    </w:p>
    <w:p w:rsidR="001B5411" w:rsidRPr="00075CF9" w:rsidRDefault="001B5411"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Согласно статье 539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075CF9" w:rsidRPr="00075CF9" w:rsidRDefault="001B5411"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Из содержания приведенной нормы видно, что договору энергоснабжения присущ ряд характерных черт, отсутствующих у значительного числа гражданско - правовых договоров. К таковым относятся необходимость иметь присоединенную к энергоснабжающей организации сеть, обязанность абонента соблюдать предусмотренный договором режим потребления энергии, обеспечивать безопасность эксплуатации находящихся в его ведении сетей, исправность токоприемников и приборов учета.</w:t>
      </w:r>
    </w:p>
    <w:p w:rsidR="00075CF9" w:rsidRPr="00075CF9" w:rsidRDefault="001B5411" w:rsidP="00075CF9">
      <w:pPr>
        <w:suppressAutoHyphens/>
        <w:spacing w:after="0" w:line="360" w:lineRule="auto"/>
        <w:ind w:firstLine="709"/>
        <w:jc w:val="both"/>
        <w:rPr>
          <w:rFonts w:ascii="Times New Roman" w:hAnsi="Times New Roman"/>
          <w:sz w:val="28"/>
          <w:szCs w:val="28"/>
        </w:rPr>
      </w:pPr>
      <w:r w:rsidRPr="00075CF9">
        <w:rPr>
          <w:rFonts w:ascii="Times New Roman" w:hAnsi="Times New Roman"/>
          <w:sz w:val="28"/>
          <w:szCs w:val="28"/>
        </w:rPr>
        <w:t>Сущность договора энергоснабжения заключается в том, что согласно ему осуществляется отпуск энергоснабжающей организацией абоненту (потребителю) материального блага, ценности, каковым является энергия, на возмездной основе.</w:t>
      </w:r>
    </w:p>
    <w:p w:rsidR="001B5411" w:rsidRPr="00075CF9" w:rsidRDefault="001B5411" w:rsidP="00075CF9">
      <w:pPr>
        <w:suppressAutoHyphens/>
        <w:spacing w:after="0" w:line="360" w:lineRule="auto"/>
        <w:ind w:firstLine="709"/>
        <w:jc w:val="both"/>
        <w:rPr>
          <w:rFonts w:ascii="Times New Roman" w:hAnsi="Times New Roman"/>
          <w:caps/>
          <w:sz w:val="28"/>
          <w:szCs w:val="28"/>
        </w:rPr>
      </w:pPr>
      <w:r w:rsidRPr="00075CF9">
        <w:rPr>
          <w:rFonts w:ascii="Times New Roman" w:hAnsi="Times New Roman"/>
          <w:sz w:val="28"/>
          <w:szCs w:val="28"/>
        </w:rPr>
        <w:t>Договору энергоснабжения присущи и черты, которые не являются характерными или вовсе отсутствуют у договора купли - продажи, в традиционном понимании этого института.</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Цена представляет собой денежное выражение стоимости товара. Разновидностью цены является тариф - цена на оказываемые услуги и выполняемые работы. В юридической литературе цена рассматривается как экономическая и правовая категория. В качестве юридической категории цена выступает существенным условием ряда договоров, базой для формирования налога на добавленную стоимость, акцизов, снабженческо-сбытовых, торговых надбавок, а также имеет ряд других значений.</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Можно выделить следующие виды цен:</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1. В зависимости от роли государства в их формировании цены могут быть свободными и регулируемыми. Под свободной, или рыночной, ценой понимают цену, складывающуюся на товарном рынке без государственного воздействия на нее.</w:t>
      </w:r>
    </w:p>
    <w:p w:rsidR="00075CF9"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2. Различают цены контролируемые и неконтролируемые.</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3. В зависимости от рынка цены делятся на оптовые и розничные. По оптовым ценам продукция реализуется другим предприятиям или торгово-сбытовым организациям, по розничным ценам товары реализуются конечному потребителю - населению.</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Оптовые и розничные цены различаются составляющими их элементами: наличием или отсутствием снабженческо-сбытовой и (или) торговой надбавки.</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4. Цены можно классифицировать на постоянные (когда в нормативном акте не содержится условия о периоде действия цены) и временные (с определением такого периода).</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5. По территории действия цены можно классифицировать на внутригосударственные и мировые. Формирование и применение внутригосударственных цен осуществляется в соответствии с законодательством РФ. Мировые цены определяются на основе данных биржевых котировок (Лондонской биржи металлов и др.).</w:t>
      </w:r>
    </w:p>
    <w:p w:rsidR="001B5411" w:rsidRPr="00075CF9" w:rsidRDefault="001B5411" w:rsidP="00075CF9">
      <w:pPr>
        <w:suppressAutoHyphens/>
        <w:spacing w:after="0" w:line="360" w:lineRule="auto"/>
        <w:ind w:firstLine="709"/>
        <w:jc w:val="both"/>
        <w:rPr>
          <w:rFonts w:ascii="Times New Roman" w:hAnsi="Times New Roman"/>
          <w:sz w:val="28"/>
          <w:szCs w:val="28"/>
          <w:lang w:eastAsia="ru-RU"/>
        </w:rPr>
      </w:pPr>
      <w:r w:rsidRPr="00075CF9">
        <w:rPr>
          <w:rFonts w:ascii="Times New Roman" w:hAnsi="Times New Roman"/>
          <w:sz w:val="28"/>
          <w:szCs w:val="28"/>
          <w:lang w:eastAsia="ru-RU"/>
        </w:rPr>
        <w:t>Правовые основы современного, рыночного государственного регулирования цен были заложены Указом Президента РФ от 3 декабря 1991 г. "О мерах по либерализации цен". В настоящее время они определяются следующими актами: Указом Президента РФ от 28 февраля 1995 г. № 221 "О мерах по упорядочению государственного регулирования цен (тарифов)" и Постановлением Правительства РФ от 7 марта 1995 г. № 239 "О мерах по упорядочению государственного регулирования цен". В эти акты неоднократно вносились изменения и дополнения. Данными актами определена государственная ценовая политика. Она направлена на дальнейшую либерализацию ценообразования при сохранении государственного регулирования цен в сфере естественных монополий, государственных закупок и на ряд социально значимых товаров и услуг. Регулируемые государственные цены применяются всеми организациями, независимо от их организационно-правовых форм и форм собственности.</w:t>
      </w:r>
    </w:p>
    <w:p w:rsidR="001B5411" w:rsidRPr="00075CF9" w:rsidRDefault="001B5411" w:rsidP="00075CF9">
      <w:pPr>
        <w:suppressAutoHyphens/>
        <w:spacing w:after="0" w:line="360" w:lineRule="auto"/>
        <w:ind w:firstLine="709"/>
        <w:jc w:val="both"/>
        <w:rPr>
          <w:rFonts w:ascii="Times New Roman" w:hAnsi="Times New Roman"/>
          <w:caps/>
          <w:sz w:val="28"/>
          <w:szCs w:val="28"/>
        </w:rPr>
      </w:pPr>
    </w:p>
    <w:p w:rsidR="00F01406" w:rsidRPr="00075CF9" w:rsidRDefault="00075CF9" w:rsidP="00075CF9">
      <w:pPr>
        <w:suppressAutoHyphens/>
        <w:spacing w:after="0" w:line="360" w:lineRule="auto"/>
        <w:ind w:firstLine="709"/>
        <w:jc w:val="both"/>
        <w:rPr>
          <w:rFonts w:ascii="Times New Roman" w:hAnsi="Times New Roman"/>
          <w:caps/>
          <w:sz w:val="28"/>
          <w:szCs w:val="28"/>
        </w:rPr>
      </w:pPr>
      <w:r w:rsidRPr="00075CF9">
        <w:rPr>
          <w:rFonts w:ascii="Times New Roman" w:hAnsi="Times New Roman"/>
          <w:caps/>
          <w:sz w:val="28"/>
          <w:szCs w:val="28"/>
        </w:rPr>
        <w:br w:type="page"/>
      </w:r>
      <w:r w:rsidRPr="00075CF9">
        <w:rPr>
          <w:rFonts w:ascii="Times New Roman" w:hAnsi="Times New Roman"/>
          <w:sz w:val="28"/>
          <w:szCs w:val="28"/>
        </w:rPr>
        <w:t>Библиографический список</w:t>
      </w:r>
    </w:p>
    <w:p w:rsidR="00F01406" w:rsidRPr="00075CF9" w:rsidRDefault="00F01406" w:rsidP="009A760C">
      <w:pPr>
        <w:suppressAutoHyphens/>
        <w:spacing w:after="0" w:line="360" w:lineRule="auto"/>
        <w:rPr>
          <w:rFonts w:ascii="Times New Roman" w:hAnsi="Times New Roman"/>
          <w:sz w:val="28"/>
          <w:szCs w:val="28"/>
        </w:rPr>
      </w:pPr>
    </w:p>
    <w:p w:rsidR="00F01406" w:rsidRPr="00075CF9" w:rsidRDefault="00F01406" w:rsidP="009A760C">
      <w:pPr>
        <w:numPr>
          <w:ilvl w:val="0"/>
          <w:numId w:val="28"/>
        </w:numPr>
        <w:suppressAutoHyphens/>
        <w:autoSpaceDE w:val="0"/>
        <w:autoSpaceDN w:val="0"/>
        <w:adjustRightInd w:val="0"/>
        <w:spacing w:after="0" w:line="360" w:lineRule="auto"/>
        <w:ind w:left="0" w:firstLine="0"/>
        <w:rPr>
          <w:rFonts w:ascii="Times New Roman" w:hAnsi="Times New Roman"/>
          <w:sz w:val="28"/>
          <w:szCs w:val="28"/>
          <w:lang w:eastAsia="ru-RU"/>
        </w:rPr>
      </w:pPr>
      <w:r w:rsidRPr="00075CF9">
        <w:rPr>
          <w:rFonts w:ascii="Times New Roman" w:hAnsi="Times New Roman"/>
          <w:sz w:val="28"/>
          <w:szCs w:val="28"/>
          <w:lang w:eastAsia="ru-RU"/>
        </w:rPr>
        <w:t>Конституция Российской Федерации (принята на всенародном голосовании 12 декабря 1993 г.)</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lang w:eastAsia="ru-RU"/>
        </w:rPr>
        <w:t>Федеральный закон от 29 июля 1998 г. N 135-ФЗ "Об оценочной деятельности в Российской Федерации"</w:t>
      </w:r>
    </w:p>
    <w:p w:rsidR="00F01406" w:rsidRPr="00075CF9" w:rsidRDefault="00F01406" w:rsidP="009A760C">
      <w:pPr>
        <w:numPr>
          <w:ilvl w:val="0"/>
          <w:numId w:val="28"/>
        </w:numPr>
        <w:suppressAutoHyphens/>
        <w:autoSpaceDE w:val="0"/>
        <w:autoSpaceDN w:val="0"/>
        <w:adjustRightInd w:val="0"/>
        <w:spacing w:after="0" w:line="360" w:lineRule="auto"/>
        <w:ind w:left="0" w:firstLine="0"/>
        <w:rPr>
          <w:rFonts w:ascii="Times New Roman" w:hAnsi="Times New Roman"/>
          <w:sz w:val="28"/>
          <w:szCs w:val="28"/>
          <w:lang w:eastAsia="ru-RU"/>
        </w:rPr>
      </w:pPr>
      <w:r w:rsidRPr="00075CF9">
        <w:rPr>
          <w:rFonts w:ascii="Times New Roman" w:hAnsi="Times New Roman"/>
          <w:sz w:val="28"/>
          <w:szCs w:val="28"/>
          <w:lang w:eastAsia="ru-RU"/>
        </w:rPr>
        <w:t>Федеральный закон от 7 мая 2009</w:t>
      </w:r>
      <w:r w:rsidR="00075CF9" w:rsidRPr="00075CF9">
        <w:rPr>
          <w:rFonts w:ascii="Times New Roman" w:hAnsi="Times New Roman"/>
          <w:sz w:val="28"/>
          <w:szCs w:val="28"/>
          <w:lang w:eastAsia="ru-RU"/>
        </w:rPr>
        <w:t xml:space="preserve"> </w:t>
      </w:r>
      <w:r w:rsidRPr="00075CF9">
        <w:rPr>
          <w:rFonts w:ascii="Times New Roman" w:hAnsi="Times New Roman"/>
          <w:sz w:val="28"/>
          <w:szCs w:val="28"/>
          <w:lang w:eastAsia="ru-RU"/>
        </w:rPr>
        <w:t>г. N</w:t>
      </w:r>
      <w:r w:rsidR="00075CF9" w:rsidRPr="00075CF9">
        <w:rPr>
          <w:rFonts w:ascii="Times New Roman" w:hAnsi="Times New Roman"/>
          <w:sz w:val="28"/>
          <w:szCs w:val="28"/>
          <w:lang w:eastAsia="ru-RU"/>
        </w:rPr>
        <w:t xml:space="preserve"> </w:t>
      </w:r>
      <w:r w:rsidRPr="00075CF9">
        <w:rPr>
          <w:rFonts w:ascii="Times New Roman" w:hAnsi="Times New Roman"/>
          <w:sz w:val="28"/>
          <w:szCs w:val="28"/>
          <w:lang w:eastAsia="ru-RU"/>
        </w:rPr>
        <w:t>91-ФЗ "О внесении изменений в Федеральный закон "О содействии развитию жилищного строительства" и отдельные законодательные акты Российской Федерации".</w:t>
      </w:r>
    </w:p>
    <w:p w:rsidR="00F01406" w:rsidRPr="00075CF9" w:rsidRDefault="00F01406" w:rsidP="009A760C">
      <w:pPr>
        <w:numPr>
          <w:ilvl w:val="0"/>
          <w:numId w:val="28"/>
        </w:numPr>
        <w:suppressAutoHyphens/>
        <w:autoSpaceDE w:val="0"/>
        <w:autoSpaceDN w:val="0"/>
        <w:adjustRightInd w:val="0"/>
        <w:spacing w:after="0" w:line="360" w:lineRule="auto"/>
        <w:ind w:left="0" w:firstLine="0"/>
        <w:rPr>
          <w:rFonts w:ascii="Times New Roman" w:hAnsi="Times New Roman"/>
          <w:sz w:val="28"/>
          <w:szCs w:val="28"/>
          <w:lang w:eastAsia="ru-RU"/>
        </w:rPr>
      </w:pPr>
      <w:r w:rsidRPr="00075CF9">
        <w:rPr>
          <w:rFonts w:ascii="Times New Roman" w:hAnsi="Times New Roman"/>
          <w:sz w:val="28"/>
          <w:szCs w:val="28"/>
        </w:rPr>
        <w:t>Федеральный закон от 2 декабря 1990 г. N 395-I "О банках и банковской деятельности".</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 xml:space="preserve">Федеральный закон от 29 ноября 2001 г. N 156-ФЗ </w:t>
      </w:r>
      <w:r w:rsidR="00075CF9" w:rsidRPr="00075CF9">
        <w:rPr>
          <w:rFonts w:ascii="Times New Roman" w:hAnsi="Times New Roman"/>
          <w:sz w:val="28"/>
          <w:szCs w:val="28"/>
        </w:rPr>
        <w:t>"</w:t>
      </w:r>
      <w:r w:rsidRPr="00075CF9">
        <w:rPr>
          <w:rFonts w:ascii="Times New Roman" w:hAnsi="Times New Roman"/>
          <w:sz w:val="28"/>
          <w:szCs w:val="28"/>
        </w:rPr>
        <w:t>Об инвестиционных фондах</w:t>
      </w:r>
      <w:r w:rsidR="00075CF9" w:rsidRPr="00075CF9">
        <w:rPr>
          <w:rFonts w:ascii="Times New Roman" w:hAnsi="Times New Roman"/>
          <w:sz w:val="28"/>
          <w:szCs w:val="28"/>
        </w:rPr>
        <w:t>"</w:t>
      </w:r>
      <w:r w:rsidRPr="00075CF9">
        <w:rPr>
          <w:rFonts w:ascii="Times New Roman" w:hAnsi="Times New Roman"/>
          <w:sz w:val="28"/>
          <w:szCs w:val="28"/>
        </w:rPr>
        <w:t>.</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Федеральный закон от 15 ноября 1997 г. № 104 "Об актах гражданского состояния"</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lang w:eastAsia="ru-RU"/>
        </w:rPr>
        <w:t>Федеральный закон от 26 июля 2006</w:t>
      </w:r>
      <w:r w:rsidR="00075CF9" w:rsidRPr="00075CF9">
        <w:rPr>
          <w:rFonts w:ascii="Times New Roman" w:hAnsi="Times New Roman"/>
          <w:sz w:val="28"/>
          <w:szCs w:val="28"/>
          <w:lang w:eastAsia="ru-RU"/>
        </w:rPr>
        <w:t xml:space="preserve"> </w:t>
      </w:r>
      <w:r w:rsidRPr="00075CF9">
        <w:rPr>
          <w:rFonts w:ascii="Times New Roman" w:hAnsi="Times New Roman"/>
          <w:sz w:val="28"/>
          <w:szCs w:val="28"/>
          <w:lang w:eastAsia="ru-RU"/>
        </w:rPr>
        <w:t>г. N</w:t>
      </w:r>
      <w:r w:rsidR="00075CF9" w:rsidRPr="00075CF9">
        <w:rPr>
          <w:rFonts w:ascii="Times New Roman" w:hAnsi="Times New Roman"/>
          <w:sz w:val="28"/>
          <w:szCs w:val="28"/>
          <w:lang w:eastAsia="ru-RU"/>
        </w:rPr>
        <w:t xml:space="preserve"> </w:t>
      </w:r>
      <w:r w:rsidRPr="00075CF9">
        <w:rPr>
          <w:rFonts w:ascii="Times New Roman" w:hAnsi="Times New Roman"/>
          <w:sz w:val="28"/>
          <w:szCs w:val="28"/>
          <w:lang w:eastAsia="ru-RU"/>
        </w:rPr>
        <w:t>135-ФЗ "О защите конкуренции"</w:t>
      </w:r>
    </w:p>
    <w:p w:rsidR="00075CF9"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ФЗ от 27 июля 2006 г. N 149-ФЗ</w:t>
      </w:r>
      <w:r w:rsidR="00075CF9" w:rsidRPr="00075CF9">
        <w:rPr>
          <w:rFonts w:ascii="Times New Roman" w:hAnsi="Times New Roman"/>
          <w:sz w:val="28"/>
          <w:szCs w:val="28"/>
        </w:rPr>
        <w:t xml:space="preserve"> </w:t>
      </w:r>
      <w:r w:rsidRPr="00075CF9">
        <w:rPr>
          <w:rFonts w:ascii="Times New Roman" w:hAnsi="Times New Roman"/>
          <w:sz w:val="28"/>
          <w:szCs w:val="28"/>
        </w:rPr>
        <w:t>"Об информации, информационных технологиях и о защите информации"</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Федеральный закон от 30 декабря 2008</w:t>
      </w:r>
      <w:r w:rsidR="00075CF9" w:rsidRPr="00075CF9">
        <w:rPr>
          <w:rFonts w:ascii="Times New Roman" w:hAnsi="Times New Roman"/>
          <w:sz w:val="28"/>
          <w:szCs w:val="28"/>
        </w:rPr>
        <w:t xml:space="preserve"> </w:t>
      </w:r>
      <w:r w:rsidRPr="00075CF9">
        <w:rPr>
          <w:rFonts w:ascii="Times New Roman" w:hAnsi="Times New Roman"/>
          <w:sz w:val="28"/>
          <w:szCs w:val="28"/>
        </w:rPr>
        <w:t>г. N</w:t>
      </w:r>
      <w:r w:rsidR="00075CF9" w:rsidRPr="00075CF9">
        <w:rPr>
          <w:rFonts w:ascii="Times New Roman" w:hAnsi="Times New Roman"/>
          <w:sz w:val="28"/>
          <w:szCs w:val="28"/>
        </w:rPr>
        <w:t xml:space="preserve"> </w:t>
      </w:r>
      <w:r w:rsidRPr="00075CF9">
        <w:rPr>
          <w:rFonts w:ascii="Times New Roman" w:hAnsi="Times New Roman"/>
          <w:sz w:val="28"/>
          <w:szCs w:val="28"/>
        </w:rPr>
        <w:t>307-ФЗ "Об аудиторской деятельности"</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lang w:eastAsia="ru-RU"/>
        </w:rPr>
        <w:t>Федеральный закон от 14 июня 1995 г. "О государственной поддержке малого предпринимательства в Российской Федерации"</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lang w:eastAsia="ru-RU"/>
        </w:rPr>
        <w:t>Указ Президента РФ от 3 декабря 1991 г. "О мерах по либерализации цен"</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lang w:eastAsia="ru-RU"/>
        </w:rPr>
        <w:t>Указ Президента РФ от 28 февраля 1995 г. № 221 "О мерах по упорядочению государственного регулирования цен (тарифов)"</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lang w:eastAsia="ru-RU"/>
        </w:rPr>
        <w:t>Постановлением Правительства РФ от 7 марта 1995 г. № 239 "О мерах по упорядочению государственного регулирования цен"</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lang w:eastAsia="ru-RU"/>
        </w:rPr>
        <w:t>Часть первая Гражданского кодекса Российской Федерации от 30 ноября 1994 г. N</w:t>
      </w:r>
      <w:r w:rsidR="00075CF9" w:rsidRPr="00075CF9">
        <w:rPr>
          <w:rFonts w:ascii="Times New Roman" w:hAnsi="Times New Roman"/>
          <w:sz w:val="28"/>
          <w:szCs w:val="28"/>
          <w:lang w:eastAsia="ru-RU"/>
        </w:rPr>
        <w:t xml:space="preserve"> </w:t>
      </w:r>
      <w:r w:rsidRPr="00075CF9">
        <w:rPr>
          <w:rFonts w:ascii="Times New Roman" w:hAnsi="Times New Roman"/>
          <w:sz w:val="28"/>
          <w:szCs w:val="28"/>
          <w:lang w:eastAsia="ru-RU"/>
        </w:rPr>
        <w:t>51-Ф3.</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Бюджетный кодекс Российской Федерации от 31 июля 1998 г. N 145-ФЗ</w:t>
      </w:r>
    </w:p>
    <w:p w:rsidR="00075CF9"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lang w:eastAsia="ru-RU"/>
        </w:rPr>
      </w:pPr>
      <w:r w:rsidRPr="00075CF9">
        <w:rPr>
          <w:rFonts w:ascii="Times New Roman" w:hAnsi="Times New Roman"/>
          <w:bCs/>
          <w:sz w:val="28"/>
          <w:szCs w:val="28"/>
          <w:lang w:eastAsia="ru-RU"/>
        </w:rPr>
        <w:t>Оценка прав аренды недвижимости и земли</w:t>
      </w:r>
      <w:r w:rsidRPr="00075CF9">
        <w:rPr>
          <w:rFonts w:ascii="Times New Roman" w:hAnsi="Times New Roman"/>
          <w:sz w:val="28"/>
          <w:szCs w:val="28"/>
        </w:rPr>
        <w:t>//</w:t>
      </w:r>
      <w:r w:rsidRPr="00075CF9">
        <w:rPr>
          <w:rFonts w:ascii="Times New Roman" w:hAnsi="Times New Roman"/>
          <w:sz w:val="28"/>
          <w:szCs w:val="28"/>
          <w:lang w:eastAsia="ru-RU"/>
        </w:rPr>
        <w:t>"Аудит и налогообложение", N 6, июнь 2009 г.</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Брызгалин А.В., Берник В.Р., Головкин А.Н.</w:t>
      </w:r>
      <w:r w:rsidR="00075CF9" w:rsidRPr="00075CF9">
        <w:rPr>
          <w:rFonts w:ascii="Times New Roman" w:hAnsi="Times New Roman"/>
          <w:sz w:val="28"/>
          <w:szCs w:val="28"/>
        </w:rPr>
        <w:t xml:space="preserve"> "</w:t>
      </w:r>
      <w:r w:rsidRPr="00075CF9">
        <w:rPr>
          <w:rFonts w:ascii="Times New Roman" w:hAnsi="Times New Roman"/>
          <w:sz w:val="28"/>
          <w:szCs w:val="28"/>
        </w:rPr>
        <w:t xml:space="preserve"> Профессиональный комментарий к Положению о составе затрат. 2-е издание</w:t>
      </w:r>
      <w:r w:rsidR="00075CF9" w:rsidRPr="00075CF9">
        <w:rPr>
          <w:rFonts w:ascii="Times New Roman" w:hAnsi="Times New Roman"/>
          <w:sz w:val="28"/>
          <w:szCs w:val="28"/>
        </w:rPr>
        <w:t>"</w:t>
      </w:r>
      <w:r w:rsidRPr="00075CF9">
        <w:rPr>
          <w:rFonts w:ascii="Times New Roman" w:hAnsi="Times New Roman"/>
          <w:sz w:val="28"/>
          <w:szCs w:val="28"/>
        </w:rPr>
        <w:t xml:space="preserve"> Москва 2006 г.</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Витрянский В.В. Вторая часть Гражданского кодекса о договорных обязательствах // Вестник ВАС РФ. 2007. N 6. С. 122 - 123.</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Витрянский В.В. Договор купли - продажи и его отдельные виды. М.: Статут, 2008. С. 167.</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 xml:space="preserve">Постановление Правительства РФ от 5.08.92 г. № 552 </w:t>
      </w:r>
      <w:r w:rsidR="00075CF9" w:rsidRPr="00075CF9">
        <w:rPr>
          <w:rFonts w:ascii="Times New Roman" w:hAnsi="Times New Roman"/>
          <w:sz w:val="28"/>
          <w:szCs w:val="28"/>
        </w:rPr>
        <w:t>"</w:t>
      </w:r>
      <w:r w:rsidRPr="00075CF9">
        <w:rPr>
          <w:rFonts w:ascii="Times New Roman" w:hAnsi="Times New Roman"/>
          <w:sz w:val="28"/>
          <w:szCs w:val="28"/>
        </w:rPr>
        <w:t>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r w:rsidR="00075CF9" w:rsidRPr="00075CF9">
        <w:rPr>
          <w:rFonts w:ascii="Times New Roman" w:hAnsi="Times New Roman"/>
          <w:sz w:val="28"/>
          <w:szCs w:val="28"/>
        </w:rPr>
        <w:t>"</w:t>
      </w:r>
      <w:r w:rsidRPr="00075CF9">
        <w:rPr>
          <w:rFonts w:ascii="Times New Roman" w:hAnsi="Times New Roman"/>
          <w:sz w:val="28"/>
          <w:szCs w:val="28"/>
        </w:rPr>
        <w:t xml:space="preserve"> (в редакции последующих Постановлений Правительства РФ</w:t>
      </w:r>
    </w:p>
    <w:p w:rsidR="00075CF9" w:rsidRPr="00075CF9" w:rsidRDefault="00075CF9"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w:t>
      </w:r>
      <w:r w:rsidR="00F01406" w:rsidRPr="00075CF9">
        <w:rPr>
          <w:rFonts w:ascii="Times New Roman" w:hAnsi="Times New Roman"/>
          <w:sz w:val="28"/>
          <w:szCs w:val="28"/>
        </w:rPr>
        <w:t>Состав затрат, включаемых в себестоимость продукции</w:t>
      </w:r>
      <w:r w:rsidRPr="00075CF9">
        <w:rPr>
          <w:rFonts w:ascii="Times New Roman" w:hAnsi="Times New Roman"/>
          <w:sz w:val="28"/>
          <w:szCs w:val="28"/>
        </w:rPr>
        <w:t>"</w:t>
      </w:r>
      <w:r w:rsidR="00F01406" w:rsidRPr="00075CF9">
        <w:rPr>
          <w:rFonts w:ascii="Times New Roman" w:hAnsi="Times New Roman"/>
          <w:sz w:val="28"/>
          <w:szCs w:val="28"/>
        </w:rPr>
        <w:t xml:space="preserve"> Сост. Рябова Р.И. – 4-е издание Москва 2007 г.</w:t>
      </w:r>
    </w:p>
    <w:p w:rsidR="00F01406" w:rsidRPr="00075CF9" w:rsidRDefault="00F01406" w:rsidP="009A760C">
      <w:pPr>
        <w:pStyle w:val="af2"/>
        <w:numPr>
          <w:ilvl w:val="0"/>
          <w:numId w:val="28"/>
        </w:numPr>
        <w:suppressAutoHyphens/>
        <w:spacing w:after="0" w:line="360" w:lineRule="auto"/>
        <w:ind w:left="0" w:firstLine="0"/>
        <w:contextualSpacing w:val="0"/>
        <w:rPr>
          <w:rFonts w:ascii="Times New Roman" w:hAnsi="Times New Roman"/>
          <w:sz w:val="28"/>
          <w:szCs w:val="28"/>
        </w:rPr>
      </w:pPr>
      <w:r w:rsidRPr="00075CF9">
        <w:rPr>
          <w:rFonts w:ascii="Times New Roman" w:hAnsi="Times New Roman"/>
          <w:sz w:val="28"/>
          <w:szCs w:val="28"/>
        </w:rPr>
        <w:t xml:space="preserve">Шнайдерман Т.А. </w:t>
      </w:r>
      <w:r w:rsidR="00075CF9" w:rsidRPr="00075CF9">
        <w:rPr>
          <w:rFonts w:ascii="Times New Roman" w:hAnsi="Times New Roman"/>
          <w:sz w:val="28"/>
          <w:szCs w:val="28"/>
        </w:rPr>
        <w:t>"</w:t>
      </w:r>
      <w:r w:rsidRPr="00075CF9">
        <w:rPr>
          <w:rFonts w:ascii="Times New Roman" w:hAnsi="Times New Roman"/>
          <w:sz w:val="28"/>
          <w:szCs w:val="28"/>
        </w:rPr>
        <w:t>Состав и учет затрат, включаемых в себестоимость</w:t>
      </w:r>
      <w:r w:rsidR="00075CF9" w:rsidRPr="00075CF9">
        <w:rPr>
          <w:rFonts w:ascii="Times New Roman" w:hAnsi="Times New Roman"/>
          <w:sz w:val="28"/>
          <w:szCs w:val="28"/>
        </w:rPr>
        <w:t>"</w:t>
      </w:r>
      <w:r w:rsidRPr="00075CF9">
        <w:rPr>
          <w:rFonts w:ascii="Times New Roman" w:hAnsi="Times New Roman"/>
          <w:sz w:val="28"/>
          <w:szCs w:val="28"/>
        </w:rPr>
        <w:t xml:space="preserve"> Москва 2007 г.</w:t>
      </w:r>
      <w:bookmarkStart w:id="0" w:name="_GoBack"/>
      <w:bookmarkEnd w:id="0"/>
    </w:p>
    <w:sectPr w:rsidR="00F01406" w:rsidRPr="00075CF9" w:rsidSect="00075CF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A1E" w:rsidRDefault="00B46A1E" w:rsidP="002D337D">
      <w:pPr>
        <w:spacing w:after="0" w:line="240" w:lineRule="auto"/>
      </w:pPr>
      <w:r>
        <w:separator/>
      </w:r>
    </w:p>
  </w:endnote>
  <w:endnote w:type="continuationSeparator" w:id="0">
    <w:p w:rsidR="00B46A1E" w:rsidRDefault="00B46A1E" w:rsidP="002D3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A1E" w:rsidRDefault="00B46A1E" w:rsidP="002D337D">
      <w:pPr>
        <w:spacing w:after="0" w:line="240" w:lineRule="auto"/>
      </w:pPr>
      <w:r>
        <w:separator/>
      </w:r>
    </w:p>
  </w:footnote>
  <w:footnote w:type="continuationSeparator" w:id="0">
    <w:p w:rsidR="00B46A1E" w:rsidRDefault="00B46A1E" w:rsidP="002D3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A65"/>
    <w:multiLevelType w:val="hybridMultilevel"/>
    <w:tmpl w:val="4800A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2D55A5"/>
    <w:multiLevelType w:val="hybridMultilevel"/>
    <w:tmpl w:val="C1E2B7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52C711A"/>
    <w:multiLevelType w:val="hybridMultilevel"/>
    <w:tmpl w:val="73340F88"/>
    <w:lvl w:ilvl="0" w:tplc="C90C8F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75300F"/>
    <w:multiLevelType w:val="hybridMultilevel"/>
    <w:tmpl w:val="FDF2B9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E14209D"/>
    <w:multiLevelType w:val="hybridMultilevel"/>
    <w:tmpl w:val="59D81ABC"/>
    <w:lvl w:ilvl="0" w:tplc="735E4F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CA851DA"/>
    <w:multiLevelType w:val="hybridMultilevel"/>
    <w:tmpl w:val="C6289B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0377852"/>
    <w:multiLevelType w:val="hybridMultilevel"/>
    <w:tmpl w:val="62024472"/>
    <w:lvl w:ilvl="0" w:tplc="861A1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49C77E0"/>
    <w:multiLevelType w:val="hybridMultilevel"/>
    <w:tmpl w:val="2CBC7E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1F4662B"/>
    <w:multiLevelType w:val="hybridMultilevel"/>
    <w:tmpl w:val="C58E8BB6"/>
    <w:lvl w:ilvl="0" w:tplc="96C69738">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26E253B"/>
    <w:multiLevelType w:val="hybridMultilevel"/>
    <w:tmpl w:val="2214BA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3F5546B"/>
    <w:multiLevelType w:val="hybridMultilevel"/>
    <w:tmpl w:val="E8606F42"/>
    <w:lvl w:ilvl="0" w:tplc="5C5C96A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4D3273C"/>
    <w:multiLevelType w:val="hybridMultilevel"/>
    <w:tmpl w:val="9AE61AC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C174342"/>
    <w:multiLevelType w:val="hybridMultilevel"/>
    <w:tmpl w:val="8A6CC1AA"/>
    <w:lvl w:ilvl="0" w:tplc="6532CC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C2C7579"/>
    <w:multiLevelType w:val="hybridMultilevel"/>
    <w:tmpl w:val="2A9E4F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0C854EC"/>
    <w:multiLevelType w:val="hybridMultilevel"/>
    <w:tmpl w:val="EC6C6CB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2CD4F66"/>
    <w:multiLevelType w:val="multilevel"/>
    <w:tmpl w:val="95AEA2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62166DC"/>
    <w:multiLevelType w:val="hybridMultilevel"/>
    <w:tmpl w:val="FA80C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B9368B"/>
    <w:multiLevelType w:val="hybridMultilevel"/>
    <w:tmpl w:val="05D63BA0"/>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18">
    <w:nsid w:val="5B4A7448"/>
    <w:multiLevelType w:val="hybridMultilevel"/>
    <w:tmpl w:val="F1200E70"/>
    <w:lvl w:ilvl="0" w:tplc="131EC1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E2207C9"/>
    <w:multiLevelType w:val="hybridMultilevel"/>
    <w:tmpl w:val="DB7E28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8E02E3D"/>
    <w:multiLevelType w:val="hybridMultilevel"/>
    <w:tmpl w:val="27A081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B1B3A66"/>
    <w:multiLevelType w:val="hybridMultilevel"/>
    <w:tmpl w:val="D0B2ECE6"/>
    <w:lvl w:ilvl="0" w:tplc="04190001">
      <w:start w:val="1"/>
      <w:numFmt w:val="bullet"/>
      <w:lvlText w:val=""/>
      <w:lvlJc w:val="left"/>
      <w:pPr>
        <w:tabs>
          <w:tab w:val="num" w:pos="862"/>
        </w:tabs>
        <w:ind w:left="862"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2">
    <w:nsid w:val="6CF8311D"/>
    <w:multiLevelType w:val="hybridMultilevel"/>
    <w:tmpl w:val="4D9A7D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DF05CB8"/>
    <w:multiLevelType w:val="hybridMultilevel"/>
    <w:tmpl w:val="CC56B0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0025196"/>
    <w:multiLevelType w:val="hybridMultilevel"/>
    <w:tmpl w:val="2F344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6DE766A"/>
    <w:multiLevelType w:val="hybridMultilevel"/>
    <w:tmpl w:val="1AC2F5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77AC4A2C"/>
    <w:multiLevelType w:val="hybridMultilevel"/>
    <w:tmpl w:val="2FE6F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9269AC"/>
    <w:multiLevelType w:val="hybridMultilevel"/>
    <w:tmpl w:val="F5881BC6"/>
    <w:lvl w:ilvl="0" w:tplc="B1767B26">
      <w:start w:val="1"/>
      <w:numFmt w:val="decimal"/>
      <w:lvlText w:val="%1."/>
      <w:lvlJc w:val="left"/>
      <w:pPr>
        <w:ind w:left="987" w:hanging="360"/>
      </w:pPr>
      <w:rPr>
        <w:rFonts w:cs="Times New Roman" w:hint="default"/>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28">
    <w:nsid w:val="7F82759D"/>
    <w:multiLevelType w:val="hybridMultilevel"/>
    <w:tmpl w:val="CF7455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6"/>
  </w:num>
  <w:num w:numId="2">
    <w:abstractNumId w:val="2"/>
  </w:num>
  <w:num w:numId="3">
    <w:abstractNumId w:val="8"/>
  </w:num>
  <w:num w:numId="4">
    <w:abstractNumId w:val="6"/>
  </w:num>
  <w:num w:numId="5">
    <w:abstractNumId w:val="10"/>
  </w:num>
  <w:num w:numId="6">
    <w:abstractNumId w:val="12"/>
  </w:num>
  <w:num w:numId="7">
    <w:abstractNumId w:val="22"/>
  </w:num>
  <w:num w:numId="8">
    <w:abstractNumId w:val="13"/>
  </w:num>
  <w:num w:numId="9">
    <w:abstractNumId w:val="23"/>
  </w:num>
  <w:num w:numId="10">
    <w:abstractNumId w:val="11"/>
  </w:num>
  <w:num w:numId="11">
    <w:abstractNumId w:val="1"/>
  </w:num>
  <w:num w:numId="12">
    <w:abstractNumId w:val="28"/>
  </w:num>
  <w:num w:numId="13">
    <w:abstractNumId w:val="9"/>
  </w:num>
  <w:num w:numId="14">
    <w:abstractNumId w:val="0"/>
  </w:num>
  <w:num w:numId="15">
    <w:abstractNumId w:val="25"/>
  </w:num>
  <w:num w:numId="16">
    <w:abstractNumId w:val="17"/>
  </w:num>
  <w:num w:numId="17">
    <w:abstractNumId w:val="21"/>
  </w:num>
  <w:num w:numId="18">
    <w:abstractNumId w:val="3"/>
  </w:num>
  <w:num w:numId="19">
    <w:abstractNumId w:val="19"/>
  </w:num>
  <w:num w:numId="20">
    <w:abstractNumId w:val="20"/>
  </w:num>
  <w:num w:numId="21">
    <w:abstractNumId w:val="7"/>
  </w:num>
  <w:num w:numId="22">
    <w:abstractNumId w:val="5"/>
  </w:num>
  <w:num w:numId="23">
    <w:abstractNumId w:val="4"/>
  </w:num>
  <w:num w:numId="24">
    <w:abstractNumId w:val="16"/>
  </w:num>
  <w:num w:numId="25">
    <w:abstractNumId w:val="18"/>
  </w:num>
  <w:num w:numId="26">
    <w:abstractNumId w:val="24"/>
  </w:num>
  <w:num w:numId="27">
    <w:abstractNumId w:val="15"/>
  </w:num>
  <w:num w:numId="28">
    <w:abstractNumId w:val="1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09E"/>
    <w:rsid w:val="00061D8A"/>
    <w:rsid w:val="00075CF9"/>
    <w:rsid w:val="00086E6F"/>
    <w:rsid w:val="000F0D19"/>
    <w:rsid w:val="00102BBE"/>
    <w:rsid w:val="001178A4"/>
    <w:rsid w:val="001B5411"/>
    <w:rsid w:val="001D1580"/>
    <w:rsid w:val="001F534A"/>
    <w:rsid w:val="002120C0"/>
    <w:rsid w:val="0023749C"/>
    <w:rsid w:val="002C5A5B"/>
    <w:rsid w:val="002D2A73"/>
    <w:rsid w:val="002D337D"/>
    <w:rsid w:val="002D39A1"/>
    <w:rsid w:val="003012F9"/>
    <w:rsid w:val="00346603"/>
    <w:rsid w:val="003502CF"/>
    <w:rsid w:val="0036083F"/>
    <w:rsid w:val="00376371"/>
    <w:rsid w:val="00380FBF"/>
    <w:rsid w:val="003B7A0D"/>
    <w:rsid w:val="003E729B"/>
    <w:rsid w:val="003F173E"/>
    <w:rsid w:val="004525EB"/>
    <w:rsid w:val="004973CE"/>
    <w:rsid w:val="004A2E3D"/>
    <w:rsid w:val="004B0FAA"/>
    <w:rsid w:val="00505276"/>
    <w:rsid w:val="00582765"/>
    <w:rsid w:val="005B20F4"/>
    <w:rsid w:val="005D720C"/>
    <w:rsid w:val="005E096D"/>
    <w:rsid w:val="00602B83"/>
    <w:rsid w:val="00617B80"/>
    <w:rsid w:val="00657F72"/>
    <w:rsid w:val="0068646F"/>
    <w:rsid w:val="006871D8"/>
    <w:rsid w:val="00692697"/>
    <w:rsid w:val="00696574"/>
    <w:rsid w:val="006A3A91"/>
    <w:rsid w:val="006F472F"/>
    <w:rsid w:val="007054B4"/>
    <w:rsid w:val="00705D19"/>
    <w:rsid w:val="007111F4"/>
    <w:rsid w:val="007113B4"/>
    <w:rsid w:val="00717228"/>
    <w:rsid w:val="00761B43"/>
    <w:rsid w:val="007B1D41"/>
    <w:rsid w:val="007B2936"/>
    <w:rsid w:val="007B7AF9"/>
    <w:rsid w:val="007F1BB1"/>
    <w:rsid w:val="008C791C"/>
    <w:rsid w:val="008F03A7"/>
    <w:rsid w:val="00950B32"/>
    <w:rsid w:val="00956E81"/>
    <w:rsid w:val="00966124"/>
    <w:rsid w:val="009A5A44"/>
    <w:rsid w:val="009A760C"/>
    <w:rsid w:val="009B4054"/>
    <w:rsid w:val="009B709E"/>
    <w:rsid w:val="009E3A34"/>
    <w:rsid w:val="009F2A97"/>
    <w:rsid w:val="00A3330F"/>
    <w:rsid w:val="00A51698"/>
    <w:rsid w:val="00A518EA"/>
    <w:rsid w:val="00A8395F"/>
    <w:rsid w:val="00A91394"/>
    <w:rsid w:val="00AA4113"/>
    <w:rsid w:val="00AD38AC"/>
    <w:rsid w:val="00AD5B55"/>
    <w:rsid w:val="00B050A5"/>
    <w:rsid w:val="00B2757A"/>
    <w:rsid w:val="00B4085D"/>
    <w:rsid w:val="00B45834"/>
    <w:rsid w:val="00B46A1E"/>
    <w:rsid w:val="00B6725B"/>
    <w:rsid w:val="00B81175"/>
    <w:rsid w:val="00BF11C7"/>
    <w:rsid w:val="00C11A1D"/>
    <w:rsid w:val="00C22311"/>
    <w:rsid w:val="00C318B5"/>
    <w:rsid w:val="00D45306"/>
    <w:rsid w:val="00DA0830"/>
    <w:rsid w:val="00DC3817"/>
    <w:rsid w:val="00DC437A"/>
    <w:rsid w:val="00E53590"/>
    <w:rsid w:val="00EA7089"/>
    <w:rsid w:val="00EC412A"/>
    <w:rsid w:val="00EF3514"/>
    <w:rsid w:val="00F01406"/>
    <w:rsid w:val="00F37814"/>
    <w:rsid w:val="00F70787"/>
    <w:rsid w:val="00FA033A"/>
    <w:rsid w:val="00FA0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53586C-D3FF-4EB7-8964-0BF36EB4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3"/>
    <w:pPr>
      <w:spacing w:after="200" w:line="276" w:lineRule="auto"/>
    </w:pPr>
    <w:rPr>
      <w:rFonts w:cs="Times New Roman"/>
      <w:sz w:val="22"/>
      <w:szCs w:val="22"/>
      <w:lang w:eastAsia="en-US"/>
    </w:rPr>
  </w:style>
  <w:style w:type="paragraph" w:styleId="1">
    <w:name w:val="heading 1"/>
    <w:basedOn w:val="a"/>
    <w:next w:val="a"/>
    <w:link w:val="10"/>
    <w:uiPriority w:val="99"/>
    <w:qFormat/>
    <w:rsid w:val="00EC412A"/>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412A"/>
    <w:rPr>
      <w:rFonts w:ascii="Arial" w:hAnsi="Arial" w:cs="Arial"/>
      <w:b/>
      <w:bCs/>
      <w:color w:val="000080"/>
    </w:rPr>
  </w:style>
  <w:style w:type="paragraph" w:styleId="a3">
    <w:name w:val="endnote text"/>
    <w:basedOn w:val="a"/>
    <w:link w:val="a4"/>
    <w:uiPriority w:val="99"/>
    <w:semiHidden/>
    <w:unhideWhenUsed/>
    <w:rsid w:val="002D337D"/>
    <w:rPr>
      <w:sz w:val="20"/>
      <w:szCs w:val="20"/>
    </w:rPr>
  </w:style>
  <w:style w:type="character" w:customStyle="1" w:styleId="a4">
    <w:name w:val="Текст концевой сноски Знак"/>
    <w:link w:val="a3"/>
    <w:uiPriority w:val="99"/>
    <w:semiHidden/>
    <w:locked/>
    <w:rsid w:val="002D337D"/>
    <w:rPr>
      <w:rFonts w:cs="Times New Roman"/>
      <w:lang w:val="x-none" w:eastAsia="en-US"/>
    </w:rPr>
  </w:style>
  <w:style w:type="character" w:styleId="a5">
    <w:name w:val="endnote reference"/>
    <w:uiPriority w:val="99"/>
    <w:semiHidden/>
    <w:unhideWhenUsed/>
    <w:rsid w:val="002D337D"/>
    <w:rPr>
      <w:rFonts w:cs="Times New Roman"/>
      <w:vertAlign w:val="superscript"/>
    </w:rPr>
  </w:style>
  <w:style w:type="paragraph" w:styleId="a6">
    <w:name w:val="footnote text"/>
    <w:basedOn w:val="a"/>
    <w:link w:val="a7"/>
    <w:uiPriority w:val="99"/>
    <w:unhideWhenUsed/>
    <w:rsid w:val="002D337D"/>
    <w:rPr>
      <w:sz w:val="20"/>
      <w:szCs w:val="20"/>
    </w:rPr>
  </w:style>
  <w:style w:type="character" w:customStyle="1" w:styleId="a7">
    <w:name w:val="Текст сноски Знак"/>
    <w:link w:val="a6"/>
    <w:uiPriority w:val="99"/>
    <w:locked/>
    <w:rsid w:val="002D337D"/>
    <w:rPr>
      <w:rFonts w:cs="Times New Roman"/>
      <w:lang w:val="x-none" w:eastAsia="en-US"/>
    </w:rPr>
  </w:style>
  <w:style w:type="character" w:styleId="a8">
    <w:name w:val="footnote reference"/>
    <w:uiPriority w:val="99"/>
    <w:semiHidden/>
    <w:unhideWhenUsed/>
    <w:rsid w:val="002D337D"/>
    <w:rPr>
      <w:rFonts w:cs="Times New Roman"/>
      <w:vertAlign w:val="superscript"/>
    </w:rPr>
  </w:style>
  <w:style w:type="paragraph" w:customStyle="1" w:styleId="a9">
    <w:name w:val="Прижатый влево"/>
    <w:basedOn w:val="a"/>
    <w:next w:val="a"/>
    <w:uiPriority w:val="99"/>
    <w:rsid w:val="002C5A5B"/>
    <w:pPr>
      <w:autoSpaceDE w:val="0"/>
      <w:autoSpaceDN w:val="0"/>
      <w:adjustRightInd w:val="0"/>
      <w:spacing w:after="0" w:line="240" w:lineRule="auto"/>
    </w:pPr>
    <w:rPr>
      <w:rFonts w:ascii="Arial" w:hAnsi="Arial" w:cs="Arial"/>
      <w:sz w:val="20"/>
      <w:szCs w:val="20"/>
      <w:lang w:eastAsia="ru-RU"/>
    </w:rPr>
  </w:style>
  <w:style w:type="paragraph" w:styleId="aa">
    <w:name w:val="header"/>
    <w:basedOn w:val="a"/>
    <w:link w:val="ab"/>
    <w:uiPriority w:val="99"/>
    <w:semiHidden/>
    <w:unhideWhenUsed/>
    <w:rsid w:val="00696574"/>
    <w:pPr>
      <w:tabs>
        <w:tab w:val="center" w:pos="4677"/>
        <w:tab w:val="right" w:pos="9355"/>
      </w:tabs>
    </w:pPr>
  </w:style>
  <w:style w:type="character" w:customStyle="1" w:styleId="ab">
    <w:name w:val="Верхний колонтитул Знак"/>
    <w:link w:val="aa"/>
    <w:uiPriority w:val="99"/>
    <w:semiHidden/>
    <w:locked/>
    <w:rsid w:val="00696574"/>
    <w:rPr>
      <w:rFonts w:cs="Times New Roman"/>
      <w:sz w:val="22"/>
      <w:szCs w:val="22"/>
      <w:lang w:val="x-none" w:eastAsia="en-US"/>
    </w:rPr>
  </w:style>
  <w:style w:type="paragraph" w:styleId="ac">
    <w:name w:val="footer"/>
    <w:basedOn w:val="a"/>
    <w:link w:val="ad"/>
    <w:uiPriority w:val="99"/>
    <w:unhideWhenUsed/>
    <w:rsid w:val="00696574"/>
    <w:pPr>
      <w:tabs>
        <w:tab w:val="center" w:pos="4677"/>
        <w:tab w:val="right" w:pos="9355"/>
      </w:tabs>
    </w:pPr>
  </w:style>
  <w:style w:type="character" w:customStyle="1" w:styleId="ad">
    <w:name w:val="Нижний колонтитул Знак"/>
    <w:link w:val="ac"/>
    <w:uiPriority w:val="99"/>
    <w:locked/>
    <w:rsid w:val="00696574"/>
    <w:rPr>
      <w:rFonts w:cs="Times New Roman"/>
      <w:sz w:val="22"/>
      <w:szCs w:val="22"/>
      <w:lang w:val="x-none" w:eastAsia="en-US"/>
    </w:rPr>
  </w:style>
  <w:style w:type="paragraph" w:styleId="ae">
    <w:name w:val="Body Text"/>
    <w:basedOn w:val="a"/>
    <w:link w:val="af"/>
    <w:uiPriority w:val="99"/>
    <w:rsid w:val="008F03A7"/>
    <w:pPr>
      <w:spacing w:after="0" w:line="260" w:lineRule="auto"/>
      <w:jc w:val="both"/>
    </w:pPr>
    <w:rPr>
      <w:rFonts w:ascii="Times New Roman" w:hAnsi="Times New Roman"/>
      <w:sz w:val="28"/>
      <w:szCs w:val="28"/>
      <w:lang w:eastAsia="ru-RU"/>
    </w:rPr>
  </w:style>
  <w:style w:type="character" w:customStyle="1" w:styleId="af">
    <w:name w:val="Основной текст Знак"/>
    <w:link w:val="ae"/>
    <w:uiPriority w:val="99"/>
    <w:locked/>
    <w:rsid w:val="008F03A7"/>
    <w:rPr>
      <w:rFonts w:ascii="Times New Roman" w:hAnsi="Times New Roman" w:cs="Times New Roman"/>
      <w:sz w:val="28"/>
      <w:szCs w:val="28"/>
    </w:rPr>
  </w:style>
  <w:style w:type="paragraph" w:styleId="2">
    <w:name w:val="Body Text Indent 2"/>
    <w:basedOn w:val="a"/>
    <w:link w:val="20"/>
    <w:uiPriority w:val="99"/>
    <w:rsid w:val="008F03A7"/>
    <w:pPr>
      <w:spacing w:after="0" w:line="240" w:lineRule="auto"/>
      <w:ind w:firstLine="720"/>
      <w:jc w:val="both"/>
    </w:pPr>
    <w:rPr>
      <w:rFonts w:ascii="Times New Roman" w:hAnsi="Times New Roman"/>
      <w:spacing w:val="12"/>
      <w:sz w:val="28"/>
      <w:szCs w:val="28"/>
      <w:lang w:eastAsia="ru-RU"/>
    </w:rPr>
  </w:style>
  <w:style w:type="character" w:customStyle="1" w:styleId="20">
    <w:name w:val="Основной текст с отступом 2 Знак"/>
    <w:link w:val="2"/>
    <w:uiPriority w:val="99"/>
    <w:locked/>
    <w:rsid w:val="008F03A7"/>
    <w:rPr>
      <w:rFonts w:ascii="Times New Roman" w:hAnsi="Times New Roman" w:cs="Times New Roman"/>
      <w:spacing w:val="12"/>
      <w:sz w:val="28"/>
      <w:szCs w:val="28"/>
    </w:rPr>
  </w:style>
  <w:style w:type="paragraph" w:styleId="21">
    <w:name w:val="Body Text 2"/>
    <w:basedOn w:val="a"/>
    <w:link w:val="22"/>
    <w:uiPriority w:val="99"/>
    <w:semiHidden/>
    <w:unhideWhenUsed/>
    <w:rsid w:val="001178A4"/>
    <w:pPr>
      <w:spacing w:after="120" w:line="480" w:lineRule="auto"/>
    </w:pPr>
  </w:style>
  <w:style w:type="character" w:customStyle="1" w:styleId="22">
    <w:name w:val="Основной текст 2 Знак"/>
    <w:link w:val="21"/>
    <w:uiPriority w:val="99"/>
    <w:semiHidden/>
    <w:locked/>
    <w:rsid w:val="001178A4"/>
    <w:rPr>
      <w:rFonts w:cs="Times New Roman"/>
      <w:sz w:val="22"/>
      <w:szCs w:val="22"/>
      <w:lang w:val="x-none" w:eastAsia="en-US"/>
    </w:rPr>
  </w:style>
  <w:style w:type="paragraph" w:customStyle="1" w:styleId="ConsPlusNormal">
    <w:name w:val="ConsPlusNormal"/>
    <w:uiPriority w:val="99"/>
    <w:rsid w:val="005B20F4"/>
    <w:pPr>
      <w:widowControl w:val="0"/>
      <w:autoSpaceDE w:val="0"/>
      <w:autoSpaceDN w:val="0"/>
      <w:adjustRightInd w:val="0"/>
      <w:ind w:firstLine="720"/>
    </w:pPr>
    <w:rPr>
      <w:rFonts w:ascii="Arial" w:hAnsi="Arial" w:cs="Arial"/>
    </w:rPr>
  </w:style>
  <w:style w:type="paragraph" w:styleId="af0">
    <w:name w:val="Normal (Web)"/>
    <w:basedOn w:val="a"/>
    <w:uiPriority w:val="99"/>
    <w:semiHidden/>
    <w:unhideWhenUsed/>
    <w:rsid w:val="009B4054"/>
    <w:pPr>
      <w:spacing w:before="100" w:beforeAutospacing="1" w:after="100" w:afterAutospacing="1" w:line="240" w:lineRule="auto"/>
    </w:pPr>
    <w:rPr>
      <w:rFonts w:ascii="Times New Roman" w:hAnsi="Times New Roman"/>
      <w:sz w:val="24"/>
      <w:szCs w:val="24"/>
      <w:lang w:eastAsia="ru-RU"/>
    </w:rPr>
  </w:style>
  <w:style w:type="character" w:styleId="af1">
    <w:name w:val="Hyperlink"/>
    <w:uiPriority w:val="99"/>
    <w:semiHidden/>
    <w:unhideWhenUsed/>
    <w:rsid w:val="009B4054"/>
    <w:rPr>
      <w:rFonts w:cs="Times New Roman"/>
      <w:color w:val="0000FF"/>
      <w:u w:val="single"/>
    </w:rPr>
  </w:style>
  <w:style w:type="paragraph" w:styleId="af2">
    <w:name w:val="List Paragraph"/>
    <w:basedOn w:val="a"/>
    <w:uiPriority w:val="34"/>
    <w:qFormat/>
    <w:rsid w:val="00F01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4325">
      <w:marLeft w:val="0"/>
      <w:marRight w:val="0"/>
      <w:marTop w:val="0"/>
      <w:marBottom w:val="0"/>
      <w:divBdr>
        <w:top w:val="none" w:sz="0" w:space="0" w:color="auto"/>
        <w:left w:val="none" w:sz="0" w:space="0" w:color="auto"/>
        <w:bottom w:val="none" w:sz="0" w:space="0" w:color="auto"/>
        <w:right w:val="none" w:sz="0" w:space="0" w:color="auto"/>
      </w:divBdr>
      <w:divsChild>
        <w:div w:id="478154328">
          <w:marLeft w:val="0"/>
          <w:marRight w:val="0"/>
          <w:marTop w:val="0"/>
          <w:marBottom w:val="0"/>
          <w:divBdr>
            <w:top w:val="none" w:sz="0" w:space="0" w:color="auto"/>
            <w:left w:val="none" w:sz="0" w:space="0" w:color="auto"/>
            <w:bottom w:val="none" w:sz="0" w:space="0" w:color="auto"/>
            <w:right w:val="none" w:sz="0" w:space="0" w:color="auto"/>
          </w:divBdr>
        </w:div>
      </w:divsChild>
    </w:div>
    <w:div w:id="478154330">
      <w:marLeft w:val="0"/>
      <w:marRight w:val="0"/>
      <w:marTop w:val="0"/>
      <w:marBottom w:val="0"/>
      <w:divBdr>
        <w:top w:val="none" w:sz="0" w:space="0" w:color="auto"/>
        <w:left w:val="none" w:sz="0" w:space="0" w:color="auto"/>
        <w:bottom w:val="none" w:sz="0" w:space="0" w:color="auto"/>
        <w:right w:val="none" w:sz="0" w:space="0" w:color="auto"/>
      </w:divBdr>
      <w:divsChild>
        <w:div w:id="478154338">
          <w:marLeft w:val="0"/>
          <w:marRight w:val="0"/>
          <w:marTop w:val="0"/>
          <w:marBottom w:val="0"/>
          <w:divBdr>
            <w:top w:val="none" w:sz="0" w:space="0" w:color="auto"/>
            <w:left w:val="none" w:sz="0" w:space="0" w:color="auto"/>
            <w:bottom w:val="none" w:sz="0" w:space="0" w:color="auto"/>
            <w:right w:val="none" w:sz="0" w:space="0" w:color="auto"/>
          </w:divBdr>
        </w:div>
      </w:divsChild>
    </w:div>
    <w:div w:id="478154331">
      <w:marLeft w:val="0"/>
      <w:marRight w:val="0"/>
      <w:marTop w:val="0"/>
      <w:marBottom w:val="0"/>
      <w:divBdr>
        <w:top w:val="none" w:sz="0" w:space="0" w:color="auto"/>
        <w:left w:val="none" w:sz="0" w:space="0" w:color="auto"/>
        <w:bottom w:val="none" w:sz="0" w:space="0" w:color="auto"/>
        <w:right w:val="none" w:sz="0" w:space="0" w:color="auto"/>
      </w:divBdr>
      <w:divsChild>
        <w:div w:id="478154337">
          <w:marLeft w:val="0"/>
          <w:marRight w:val="0"/>
          <w:marTop w:val="0"/>
          <w:marBottom w:val="0"/>
          <w:divBdr>
            <w:top w:val="none" w:sz="0" w:space="0" w:color="auto"/>
            <w:left w:val="none" w:sz="0" w:space="0" w:color="auto"/>
            <w:bottom w:val="none" w:sz="0" w:space="0" w:color="auto"/>
            <w:right w:val="none" w:sz="0" w:space="0" w:color="auto"/>
          </w:divBdr>
          <w:divsChild>
            <w:div w:id="4781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4333">
      <w:marLeft w:val="0"/>
      <w:marRight w:val="0"/>
      <w:marTop w:val="0"/>
      <w:marBottom w:val="0"/>
      <w:divBdr>
        <w:top w:val="none" w:sz="0" w:space="0" w:color="auto"/>
        <w:left w:val="none" w:sz="0" w:space="0" w:color="auto"/>
        <w:bottom w:val="none" w:sz="0" w:space="0" w:color="auto"/>
        <w:right w:val="none" w:sz="0" w:space="0" w:color="auto"/>
      </w:divBdr>
      <w:divsChild>
        <w:div w:id="478154329">
          <w:marLeft w:val="0"/>
          <w:marRight w:val="0"/>
          <w:marTop w:val="0"/>
          <w:marBottom w:val="0"/>
          <w:divBdr>
            <w:top w:val="none" w:sz="0" w:space="0" w:color="auto"/>
            <w:left w:val="none" w:sz="0" w:space="0" w:color="auto"/>
            <w:bottom w:val="none" w:sz="0" w:space="0" w:color="auto"/>
            <w:right w:val="none" w:sz="0" w:space="0" w:color="auto"/>
          </w:divBdr>
          <w:divsChild>
            <w:div w:id="4781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4334">
      <w:marLeft w:val="0"/>
      <w:marRight w:val="0"/>
      <w:marTop w:val="0"/>
      <w:marBottom w:val="0"/>
      <w:divBdr>
        <w:top w:val="none" w:sz="0" w:space="0" w:color="auto"/>
        <w:left w:val="none" w:sz="0" w:space="0" w:color="auto"/>
        <w:bottom w:val="none" w:sz="0" w:space="0" w:color="auto"/>
        <w:right w:val="none" w:sz="0" w:space="0" w:color="auto"/>
      </w:divBdr>
      <w:divsChild>
        <w:div w:id="478154336">
          <w:marLeft w:val="0"/>
          <w:marRight w:val="0"/>
          <w:marTop w:val="0"/>
          <w:marBottom w:val="0"/>
          <w:divBdr>
            <w:top w:val="none" w:sz="0" w:space="0" w:color="auto"/>
            <w:left w:val="none" w:sz="0" w:space="0" w:color="auto"/>
            <w:bottom w:val="none" w:sz="0" w:space="0" w:color="auto"/>
            <w:right w:val="none" w:sz="0" w:space="0" w:color="auto"/>
          </w:divBdr>
          <w:divsChild>
            <w:div w:id="4781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4339">
      <w:marLeft w:val="0"/>
      <w:marRight w:val="0"/>
      <w:marTop w:val="0"/>
      <w:marBottom w:val="0"/>
      <w:divBdr>
        <w:top w:val="none" w:sz="0" w:space="0" w:color="auto"/>
        <w:left w:val="none" w:sz="0" w:space="0" w:color="auto"/>
        <w:bottom w:val="none" w:sz="0" w:space="0" w:color="auto"/>
        <w:right w:val="none" w:sz="0" w:space="0" w:color="auto"/>
      </w:divBdr>
      <w:divsChild>
        <w:div w:id="478154326">
          <w:marLeft w:val="0"/>
          <w:marRight w:val="0"/>
          <w:marTop w:val="0"/>
          <w:marBottom w:val="0"/>
          <w:divBdr>
            <w:top w:val="none" w:sz="0" w:space="0" w:color="auto"/>
            <w:left w:val="none" w:sz="0" w:space="0" w:color="auto"/>
            <w:bottom w:val="none" w:sz="0" w:space="0" w:color="auto"/>
            <w:right w:val="none" w:sz="0" w:space="0" w:color="auto"/>
          </w:divBdr>
        </w:div>
      </w:divsChild>
    </w:div>
    <w:div w:id="478154340">
      <w:marLeft w:val="0"/>
      <w:marRight w:val="0"/>
      <w:marTop w:val="0"/>
      <w:marBottom w:val="0"/>
      <w:divBdr>
        <w:top w:val="none" w:sz="0" w:space="0" w:color="auto"/>
        <w:left w:val="none" w:sz="0" w:space="0" w:color="auto"/>
        <w:bottom w:val="none" w:sz="0" w:space="0" w:color="auto"/>
        <w:right w:val="none" w:sz="0" w:space="0" w:color="auto"/>
      </w:divBdr>
      <w:divsChild>
        <w:div w:id="478154343">
          <w:marLeft w:val="0"/>
          <w:marRight w:val="0"/>
          <w:marTop w:val="0"/>
          <w:marBottom w:val="0"/>
          <w:divBdr>
            <w:top w:val="none" w:sz="0" w:space="0" w:color="auto"/>
            <w:left w:val="none" w:sz="0" w:space="0" w:color="auto"/>
            <w:bottom w:val="none" w:sz="0" w:space="0" w:color="auto"/>
            <w:right w:val="none" w:sz="0" w:space="0" w:color="auto"/>
          </w:divBdr>
        </w:div>
      </w:divsChild>
    </w:div>
    <w:div w:id="478154342">
      <w:marLeft w:val="0"/>
      <w:marRight w:val="0"/>
      <w:marTop w:val="0"/>
      <w:marBottom w:val="0"/>
      <w:divBdr>
        <w:top w:val="none" w:sz="0" w:space="0" w:color="auto"/>
        <w:left w:val="none" w:sz="0" w:space="0" w:color="auto"/>
        <w:bottom w:val="none" w:sz="0" w:space="0" w:color="auto"/>
        <w:right w:val="none" w:sz="0" w:space="0" w:color="auto"/>
      </w:divBdr>
      <w:divsChild>
        <w:div w:id="478154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Ука</b:Tag>
    <b:SourceType>Book</b:SourceType>
    <b:Guid>{913F7464-4660-4370-A8E1-5CFF37B34596}</b:Guid>
    <b:LCID>ru-RU</b:LCID>
    <b:Title>Указ Президента РФ № 2233 от 21 декабря 1993 г. «Об упразднении Министерства безопасности Российской Федерации и создания Федеральной службы контрразведки Российской Федерации»</b:Title>
    <b:RefOrder>1</b:RefOrder>
  </b:Source>
</b:Sources>
</file>

<file path=customXml/itemProps1.xml><?xml version="1.0" encoding="utf-8"?>
<ds:datastoreItem xmlns:ds="http://schemas.openxmlformats.org/officeDocument/2006/customXml" ds:itemID="{DA4AA978-83C5-4F03-9CC2-5F43F486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29758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МУК "ОКЦ"</Company>
  <LinksUpToDate>false</LinksUpToDate>
  <CharactersWithSpaces>34909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 А.С.</dc:creator>
  <cp:keywords/>
  <dc:description/>
  <cp:lastModifiedBy>admin</cp:lastModifiedBy>
  <cp:revision>2</cp:revision>
  <dcterms:created xsi:type="dcterms:W3CDTF">2014-03-06T23:46:00Z</dcterms:created>
  <dcterms:modified xsi:type="dcterms:W3CDTF">2014-03-06T23:46:00Z</dcterms:modified>
</cp:coreProperties>
</file>