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63" w:rsidRDefault="00BD0D63" w:rsidP="00BD0D63">
      <w:pPr>
        <w:pStyle w:val="aff0"/>
        <w:rPr>
          <w:color w:val="000000"/>
        </w:rPr>
      </w:pPr>
    </w:p>
    <w:p w:rsidR="00BD0D63" w:rsidRDefault="00BD0D63" w:rsidP="00BD0D63">
      <w:pPr>
        <w:pStyle w:val="aff0"/>
        <w:rPr>
          <w:color w:val="000000"/>
        </w:rPr>
      </w:pPr>
    </w:p>
    <w:p w:rsidR="00BD0D63" w:rsidRDefault="00BD0D63" w:rsidP="00BD0D63">
      <w:pPr>
        <w:pStyle w:val="aff0"/>
        <w:rPr>
          <w:color w:val="000000"/>
        </w:rPr>
      </w:pPr>
    </w:p>
    <w:p w:rsidR="00BD0D63" w:rsidRDefault="00BD0D63" w:rsidP="00BD0D63">
      <w:pPr>
        <w:pStyle w:val="aff0"/>
        <w:rPr>
          <w:color w:val="000000"/>
        </w:rPr>
      </w:pPr>
    </w:p>
    <w:p w:rsidR="00BD0D63" w:rsidRDefault="00BD0D63" w:rsidP="00BD0D63">
      <w:pPr>
        <w:pStyle w:val="aff0"/>
        <w:rPr>
          <w:color w:val="000000"/>
        </w:rPr>
      </w:pPr>
    </w:p>
    <w:p w:rsidR="00BD0D63" w:rsidRDefault="00BD0D63" w:rsidP="00BD0D63">
      <w:pPr>
        <w:pStyle w:val="aff0"/>
        <w:rPr>
          <w:color w:val="000000"/>
        </w:rPr>
      </w:pPr>
    </w:p>
    <w:p w:rsidR="00BD0D63" w:rsidRDefault="00BD0D63" w:rsidP="00BD0D63">
      <w:pPr>
        <w:pStyle w:val="aff0"/>
        <w:rPr>
          <w:color w:val="000000"/>
        </w:rPr>
      </w:pPr>
    </w:p>
    <w:p w:rsidR="00BD0D63" w:rsidRDefault="00BD0D63" w:rsidP="00BD0D63">
      <w:pPr>
        <w:pStyle w:val="aff0"/>
        <w:rPr>
          <w:color w:val="000000"/>
        </w:rPr>
      </w:pPr>
    </w:p>
    <w:p w:rsidR="00BD0D63" w:rsidRDefault="00BD0D63" w:rsidP="00BD0D63">
      <w:pPr>
        <w:pStyle w:val="aff0"/>
        <w:rPr>
          <w:color w:val="000000"/>
        </w:rPr>
      </w:pPr>
    </w:p>
    <w:p w:rsidR="00BD0D63" w:rsidRDefault="00BD0D63" w:rsidP="00BD0D63">
      <w:pPr>
        <w:pStyle w:val="aff0"/>
        <w:rPr>
          <w:color w:val="000000"/>
        </w:rPr>
      </w:pPr>
    </w:p>
    <w:p w:rsidR="00BD0D63" w:rsidRDefault="00BD0D63" w:rsidP="00BD0D63">
      <w:pPr>
        <w:pStyle w:val="aff0"/>
        <w:rPr>
          <w:color w:val="000000"/>
        </w:rPr>
      </w:pPr>
    </w:p>
    <w:p w:rsidR="00BD0D63" w:rsidRDefault="003975EF" w:rsidP="00BD0D63">
      <w:pPr>
        <w:pStyle w:val="aff0"/>
        <w:rPr>
          <w:color w:val="000000"/>
        </w:rPr>
      </w:pPr>
      <w:r w:rsidRPr="00BD0D63">
        <w:rPr>
          <w:color w:val="000000"/>
        </w:rPr>
        <w:t>Контрольная работа</w:t>
      </w:r>
    </w:p>
    <w:p w:rsidR="00BD0D63" w:rsidRDefault="00BD0D63" w:rsidP="00BD0D63">
      <w:pPr>
        <w:pStyle w:val="aff0"/>
        <w:rPr>
          <w:color w:val="000000"/>
        </w:rPr>
      </w:pPr>
      <w:r>
        <w:rPr>
          <w:color w:val="000000"/>
        </w:rPr>
        <w:t>"</w:t>
      </w:r>
      <w:r w:rsidR="003975EF" w:rsidRPr="00BD0D63">
        <w:rPr>
          <w:color w:val="000000"/>
        </w:rPr>
        <w:t>Предоперационная оценка</w:t>
      </w:r>
      <w:r>
        <w:rPr>
          <w:color w:val="000000"/>
        </w:rPr>
        <w:t>"</w:t>
      </w:r>
    </w:p>
    <w:p w:rsidR="00BD0D63" w:rsidRDefault="003975EF" w:rsidP="00BD0D63">
      <w:pPr>
        <w:pStyle w:val="2"/>
        <w:rPr>
          <w:color w:val="000000"/>
        </w:rPr>
      </w:pPr>
      <w:r w:rsidRPr="00BD0D63">
        <w:rPr>
          <w:color w:val="000000"/>
        </w:rPr>
        <w:br w:type="page"/>
      </w:r>
      <w:r w:rsidR="005A3A52" w:rsidRPr="00BD0D63">
        <w:rPr>
          <w:color w:val="000000"/>
        </w:rPr>
        <w:t>Какие основные задачи предоперационной оценки</w:t>
      </w:r>
      <w:r w:rsidR="00BD0D63" w:rsidRPr="00BD0D63">
        <w:rPr>
          <w:color w:val="000000"/>
        </w:rPr>
        <w:t>?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Предоперационная оценка складывается из сбора информации о больном и составления плана анестезии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Общая задача заключается в снижении осложнений и смертности в результате лечебных действий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В идеале, предоперационная оценка выполняется специалистом, который будет проводить анестезиологическое пособие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Анестезиолог должен ознакомиться с хирургическим диагнозом, определить вовлеченные в патологический процесс системы органов, выяснить характер планируемого вмешательства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Во время беседы, объективного обследования и знакомства с имеющейся медицинской документацией определяют физический и психический статус больного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Регистрируются текущие медицинские назначения и собирается весь лекарственный аллергологический анамнез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Пациента следует спросить о курении, употреблении алкоголя и наркотических веществ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Информация о предшествующих наркозах представляет особый интерес</w:t>
      </w:r>
      <w:r w:rsidR="00BD0D63" w:rsidRPr="00BD0D63">
        <w:rPr>
          <w:color w:val="000000"/>
        </w:rPr>
        <w:t xml:space="preserve"> - </w:t>
      </w:r>
      <w:r w:rsidRPr="00BD0D63">
        <w:rPr>
          <w:color w:val="000000"/>
        </w:rPr>
        <w:t>выясняются детали любых анестезиологических осложнений, проблем с интубацией, отсроченного пробуждения, злокачествен</w:t>
      </w:r>
      <w:r w:rsidR="00C76DBD">
        <w:rPr>
          <w:color w:val="000000"/>
        </w:rPr>
        <w:t>ной гипертермии, продленной ней</w:t>
      </w:r>
      <w:r w:rsidRPr="00BD0D63">
        <w:rPr>
          <w:color w:val="000000"/>
        </w:rPr>
        <w:t>ромышечной блокады или наличия в послеоперационном периоде эпизодов тошноты и рвоты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Исходя из полученных данных, анестезиолог решает, есть ли необходимость в дополнительном предоперационном обследовании или консультациях, затем формулирует план анестезиологического пособия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Информированное согласие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Обсуждаются альтернативы, потенциальные осложнения, соотношение риск/эффективность и на вопросы больного даются полные ответы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Если беседа проводится специалистом, который в дальнейшем не будет проводить анестезию, пациента следует предупредить об этом и объяснить, что вся полученная информация будет передана лечащему анестезиологу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Хорошо проведенная предоперационная оценка способствует формированию доверительных взаимоотношений доктор</w:t>
      </w:r>
      <w:r w:rsidR="00BD0D63" w:rsidRPr="00BD0D63">
        <w:rPr>
          <w:color w:val="000000"/>
        </w:rPr>
        <w:t>-</w:t>
      </w:r>
      <w:r w:rsidRPr="00BD0D63">
        <w:rPr>
          <w:color w:val="000000"/>
        </w:rPr>
        <w:t>больной, что значительно уменьшает тревожность пациента и в известной степени влияет на послеоперационное восстановление и исход лечения</w:t>
      </w:r>
      <w:r w:rsidR="00BD0D63" w:rsidRPr="00BD0D63">
        <w:rPr>
          <w:color w:val="000000"/>
        </w:rPr>
        <w:t>.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pStyle w:val="2"/>
        <w:rPr>
          <w:color w:val="000000"/>
        </w:rPr>
      </w:pPr>
      <w:r w:rsidRPr="00BD0D63">
        <w:rPr>
          <w:color w:val="000000"/>
        </w:rPr>
        <w:t>Что представляет собой классификация объективного статуса Американского общества анестезиологов</w:t>
      </w:r>
      <w:r w:rsidR="00BD0D63">
        <w:rPr>
          <w:color w:val="000000"/>
        </w:rPr>
        <w:t xml:space="preserve"> (</w:t>
      </w:r>
      <w:r w:rsidRPr="00BD0D63">
        <w:rPr>
          <w:color w:val="000000"/>
          <w:lang w:val="en-US"/>
        </w:rPr>
        <w:t>ASA</w:t>
      </w:r>
      <w:r w:rsidR="00BD0D63">
        <w:rPr>
          <w:color w:val="000000"/>
        </w:rPr>
        <w:t>)?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 xml:space="preserve">Классификация </w:t>
      </w:r>
      <w:r w:rsidRPr="00BD0D63">
        <w:rPr>
          <w:color w:val="000000"/>
          <w:lang w:val="en-US"/>
        </w:rPr>
        <w:t>ASA</w:t>
      </w:r>
      <w:r w:rsidRPr="00BD0D63">
        <w:rPr>
          <w:color w:val="000000"/>
        </w:rPr>
        <w:t xml:space="preserve"> была создана в 1940 г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для целей статистических исследований и стационарных записей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Она применима среди анестезиологов для сравнения результатов и в качестве удобного средства сообщения о состоянии объективного статуса больного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К несчастью, она не вполне ясна, и один пациент может быть отнесен к разным классам разными анестезиологами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 xml:space="preserve">Кроме того, более высокий класс по </w:t>
      </w:r>
      <w:r w:rsidRPr="00BD0D63">
        <w:rPr>
          <w:color w:val="000000"/>
          <w:lang w:val="en-US"/>
        </w:rPr>
        <w:t>ASA</w:t>
      </w:r>
      <w:r w:rsidRPr="00BD0D63">
        <w:rPr>
          <w:color w:val="000000"/>
        </w:rPr>
        <w:t xml:space="preserve"> только приблизительно предсказывает анестезиологический риск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Согласно последней модификации 1961 г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существует 5 классов</w:t>
      </w:r>
      <w:r w:rsidR="00BD0D63" w:rsidRPr="00BD0D63">
        <w:rPr>
          <w:color w:val="000000"/>
        </w:rPr>
        <w:t>: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Класс 1</w:t>
      </w:r>
      <w:r w:rsidR="00BD0D63" w:rsidRPr="00BD0D63">
        <w:rPr>
          <w:color w:val="000000"/>
        </w:rPr>
        <w:t xml:space="preserve"> - </w:t>
      </w:r>
      <w:r w:rsidRPr="00BD0D63">
        <w:rPr>
          <w:color w:val="000000"/>
        </w:rPr>
        <w:t>здоровый пациент, медицинские проблемы отсутствуют</w:t>
      </w:r>
      <w:r w:rsidR="00BD0D63" w:rsidRPr="00BD0D63">
        <w:rPr>
          <w:color w:val="000000"/>
        </w:rPr>
        <w:t xml:space="preserve">. 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Класс 2</w:t>
      </w:r>
      <w:r w:rsidR="00BD0D63" w:rsidRPr="00BD0D63">
        <w:rPr>
          <w:color w:val="000000"/>
        </w:rPr>
        <w:t xml:space="preserve"> - </w:t>
      </w:r>
      <w:r w:rsidRPr="00BD0D63">
        <w:rPr>
          <w:color w:val="000000"/>
        </w:rPr>
        <w:t>легкое системное заболевание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Класс 3</w:t>
      </w:r>
      <w:r w:rsidR="00BD0D63" w:rsidRPr="00BD0D63">
        <w:rPr>
          <w:color w:val="000000"/>
        </w:rPr>
        <w:t xml:space="preserve"> - </w:t>
      </w:r>
      <w:r w:rsidRPr="00BD0D63">
        <w:rPr>
          <w:color w:val="000000"/>
        </w:rPr>
        <w:t>серьезное системное заболевание, в стадии компенсации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Класс 4</w:t>
      </w:r>
      <w:r w:rsidR="00BD0D63" w:rsidRPr="00BD0D63">
        <w:rPr>
          <w:color w:val="000000"/>
        </w:rPr>
        <w:t xml:space="preserve"> - </w:t>
      </w:r>
      <w:r w:rsidRPr="00BD0D63">
        <w:rPr>
          <w:color w:val="000000"/>
        </w:rPr>
        <w:t>серьезное системное заболевание, постоянная угроза для жизни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Класс 5</w:t>
      </w:r>
      <w:r w:rsidR="00BD0D63" w:rsidRPr="00BD0D63">
        <w:rPr>
          <w:color w:val="000000"/>
        </w:rPr>
        <w:t xml:space="preserve"> - </w:t>
      </w:r>
      <w:r w:rsidRPr="00BD0D63">
        <w:rPr>
          <w:color w:val="000000"/>
        </w:rPr>
        <w:t>умирающий больной, не ожидается выживания в течение 24 ч после операции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Пометка</w:t>
      </w:r>
      <w:r w:rsidR="00BD0D63">
        <w:rPr>
          <w:color w:val="000000"/>
        </w:rPr>
        <w:t xml:space="preserve"> "</w:t>
      </w:r>
      <w:r w:rsidRPr="00BD0D63">
        <w:rPr>
          <w:color w:val="000000"/>
        </w:rPr>
        <w:t>с</w:t>
      </w:r>
      <w:r w:rsidR="00BD0D63">
        <w:rPr>
          <w:color w:val="000000"/>
        </w:rPr>
        <w:t xml:space="preserve">" </w:t>
      </w:r>
      <w:r w:rsidRPr="00BD0D63">
        <w:rPr>
          <w:color w:val="000000"/>
        </w:rPr>
        <w:t>добавляется к номеру класса, если операция срочная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Донор органа обычно обозначается как класс 6</w:t>
      </w:r>
      <w:r w:rsidR="00BD0D63" w:rsidRPr="00BD0D63">
        <w:rPr>
          <w:color w:val="000000"/>
        </w:rPr>
        <w:t>.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pStyle w:val="2"/>
        <w:rPr>
          <w:color w:val="000000"/>
        </w:rPr>
      </w:pPr>
      <w:r w:rsidRPr="00BD0D63">
        <w:rPr>
          <w:color w:val="000000"/>
        </w:rPr>
        <w:t>Опишите две ключевые особенности исследования дыхательных путей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Современная практика показывает необходимость оценки ротоглотки и подбородочной области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Ротоглотку исследуют в положении больного сидя с разогнутой шеей, при высунутом языке и в момент фонации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 xml:space="preserve">Выделяют четыре класса ротоглотки, впервые описанные </w:t>
      </w:r>
      <w:r w:rsidRPr="00BD0D63">
        <w:rPr>
          <w:color w:val="000000"/>
          <w:lang w:val="en-US"/>
        </w:rPr>
        <w:t>Mallampati</w:t>
      </w:r>
      <w:r w:rsidRPr="00BD0D63">
        <w:rPr>
          <w:color w:val="000000"/>
        </w:rPr>
        <w:t>, сгруппированные соответственно визуализируемым структурам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Класс I</w:t>
      </w:r>
      <w:r w:rsidR="00BD0D63" w:rsidRPr="00BD0D63">
        <w:rPr>
          <w:color w:val="000000"/>
        </w:rPr>
        <w:t xml:space="preserve"> - </w:t>
      </w:r>
      <w:r w:rsidRPr="00BD0D63">
        <w:rPr>
          <w:color w:val="000000"/>
        </w:rPr>
        <w:t>мягкое небо, зев, язычок, передние и задние небные дужки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Класс II</w:t>
      </w:r>
      <w:r w:rsidR="00BD0D63" w:rsidRPr="00BD0D63">
        <w:rPr>
          <w:color w:val="000000"/>
        </w:rPr>
        <w:t xml:space="preserve"> - </w:t>
      </w:r>
      <w:r w:rsidRPr="00BD0D63">
        <w:rPr>
          <w:color w:val="000000"/>
        </w:rPr>
        <w:t>мягкое небо, зев, язычок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Класс III</w:t>
      </w:r>
      <w:r w:rsidR="00BD0D63" w:rsidRPr="00BD0D63">
        <w:rPr>
          <w:color w:val="000000"/>
        </w:rPr>
        <w:t xml:space="preserve"> - </w:t>
      </w:r>
      <w:r w:rsidRPr="00BD0D63">
        <w:rPr>
          <w:color w:val="000000"/>
        </w:rPr>
        <w:t>мягкое небо, основание язычка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Класс IV</w:t>
      </w:r>
      <w:r w:rsidR="00BD0D63" w:rsidRPr="00BD0D63">
        <w:rPr>
          <w:color w:val="000000"/>
        </w:rPr>
        <w:t xml:space="preserve"> - </w:t>
      </w:r>
      <w:r w:rsidRPr="00BD0D63">
        <w:rPr>
          <w:color w:val="000000"/>
        </w:rPr>
        <w:t>только мягкое небо</w:t>
      </w:r>
      <w:r w:rsidR="00BD0D63" w:rsidRPr="00BD0D63">
        <w:rPr>
          <w:color w:val="000000"/>
        </w:rPr>
        <w:t>.</w:t>
      </w:r>
    </w:p>
    <w:p w:rsidR="00BD0D63" w:rsidRDefault="00BD0D63" w:rsidP="00BD0D63">
      <w:pPr>
        <w:rPr>
          <w:color w:val="000000"/>
        </w:rPr>
      </w:pPr>
    </w:p>
    <w:p w:rsidR="00BD0D63" w:rsidRPr="00BD0D63" w:rsidRDefault="005F60CC" w:rsidP="00BD0D6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118.5pt">
            <v:imagedata r:id="rId7" o:title=""/>
          </v:shape>
        </w:pic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Подбородочной областью называется пространство между щитовидным хрящем и внутренней стороной подбородка, которое измеряют у пациентов в положении сидя при вытянутой вперед шее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  <w:lang w:eastAsia="en-US"/>
        </w:rPr>
      </w:pPr>
      <w:r w:rsidRPr="00BD0D63">
        <w:rPr>
          <w:color w:val="000000"/>
          <w:lang w:val="en-US" w:eastAsia="en-US"/>
        </w:rPr>
        <w:t>Mallampati</w:t>
      </w:r>
      <w:r w:rsidRPr="00BD0D63">
        <w:rPr>
          <w:color w:val="000000"/>
          <w:lang w:eastAsia="en-US"/>
        </w:rPr>
        <w:t xml:space="preserve"> обнаружил корреляцию между повышением орофарингеального класса и снижением степени визуализации голосовой щели при ларингоскопии</w:t>
      </w:r>
      <w:r w:rsidR="00BD0D63" w:rsidRPr="00BD0D63">
        <w:rPr>
          <w:color w:val="000000"/>
          <w:lang w:eastAsia="en-US"/>
        </w:rPr>
        <w:t xml:space="preserve">. </w:t>
      </w:r>
      <w:r w:rsidRPr="00BD0D63">
        <w:rPr>
          <w:color w:val="000000"/>
          <w:lang w:eastAsia="en-US"/>
        </w:rPr>
        <w:t xml:space="preserve">Позднее </w:t>
      </w:r>
      <w:r w:rsidRPr="00BD0D63">
        <w:rPr>
          <w:color w:val="000000"/>
          <w:lang w:val="en-US" w:eastAsia="en-US"/>
        </w:rPr>
        <w:t>Benumof</w:t>
      </w:r>
      <w:r w:rsidRPr="00BD0D63">
        <w:rPr>
          <w:color w:val="000000"/>
          <w:lang w:eastAsia="en-US"/>
        </w:rPr>
        <w:t xml:space="preserve"> продемонстрировал, что более высокий орофарингальный класс, сочетавшийся с подбородочным расстоянием менее 2 поперечных пальцев, лучше предсказывает увеличение трудностей при интубации</w:t>
      </w:r>
      <w:r w:rsidR="00BD0D63" w:rsidRPr="00BD0D63">
        <w:rPr>
          <w:color w:val="000000"/>
          <w:lang w:eastAsia="en-US"/>
        </w:rPr>
        <w:t xml:space="preserve">. </w:t>
      </w:r>
      <w:r w:rsidRPr="00BD0D63">
        <w:rPr>
          <w:color w:val="000000"/>
          <w:lang w:eastAsia="en-US"/>
        </w:rPr>
        <w:t>Другие характерные особенности, свидетельствующие о повышенной вероятности трудной интубации, включают нарушение разгибания шеи, снижение растяжимости тканей, большой язык, крупные верхние резцы, узкий свод н</w:t>
      </w:r>
      <w:r w:rsidR="00C76DBD">
        <w:rPr>
          <w:color w:val="000000"/>
          <w:lang w:eastAsia="en-US"/>
        </w:rPr>
        <w:t>еба, снижение подвижности височ</w:t>
      </w:r>
      <w:r w:rsidRPr="00BD0D63">
        <w:rPr>
          <w:color w:val="000000"/>
          <w:lang w:eastAsia="en-US"/>
        </w:rPr>
        <w:t>но-нижнечелюстного соединения, короткая толстая шея</w:t>
      </w:r>
      <w:r w:rsidR="00BD0D63" w:rsidRPr="00BD0D63">
        <w:rPr>
          <w:color w:val="000000"/>
          <w:lang w:eastAsia="en-US"/>
        </w:rPr>
        <w:t>.</w:t>
      </w:r>
    </w:p>
    <w:p w:rsidR="00BD0D63" w:rsidRDefault="00BD0D63" w:rsidP="00BD0D63">
      <w:pPr>
        <w:pStyle w:val="2"/>
        <w:rPr>
          <w:color w:val="000000"/>
        </w:rPr>
      </w:pPr>
      <w:r>
        <w:rPr>
          <w:color w:val="000000"/>
        </w:rPr>
        <w:br w:type="page"/>
      </w:r>
      <w:r w:rsidR="005A3A52" w:rsidRPr="00BD0D63">
        <w:rPr>
          <w:color w:val="000000"/>
        </w:rPr>
        <w:t>В течение какого времени перед операцией больной не должен принимать пищу</w:t>
      </w:r>
      <w:r w:rsidRPr="00BD0D63">
        <w:rPr>
          <w:color w:val="000000"/>
        </w:rPr>
        <w:t>?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Современные рекомендации для взрослых без факторов риска аспирации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см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вопрос 5</w:t>
      </w:r>
      <w:r w:rsidR="00BD0D63" w:rsidRPr="00BD0D63">
        <w:rPr>
          <w:color w:val="000000"/>
        </w:rPr>
        <w:t xml:space="preserve">) - </w:t>
      </w:r>
      <w:r w:rsidRPr="00BD0D63">
        <w:rPr>
          <w:color w:val="000000"/>
        </w:rPr>
        <w:t>исключение приема твердой пищи в течение 6</w:t>
      </w:r>
      <w:r w:rsidR="00BD0D63" w:rsidRPr="00BD0D63">
        <w:rPr>
          <w:color w:val="000000"/>
        </w:rPr>
        <w:t>-</w:t>
      </w:r>
      <w:r w:rsidRPr="00BD0D63">
        <w:rPr>
          <w:color w:val="000000"/>
        </w:rPr>
        <w:t>8 ч</w:t>
      </w:r>
      <w:r w:rsidR="00BD0D63" w:rsidRPr="00BD0D63">
        <w:rPr>
          <w:color w:val="000000"/>
        </w:rPr>
        <w:t xml:space="preserve">; </w:t>
      </w:r>
      <w:r w:rsidRPr="00BD0D63">
        <w:rPr>
          <w:color w:val="000000"/>
        </w:rPr>
        <w:t>пероральная премедикация вместе с небольшим глотком воды может назначаться за 1</w:t>
      </w:r>
      <w:r w:rsidR="00BD0D63" w:rsidRPr="00BD0D63">
        <w:rPr>
          <w:color w:val="000000"/>
        </w:rPr>
        <w:t>-</w:t>
      </w:r>
      <w:r w:rsidRPr="00BD0D63">
        <w:rPr>
          <w:color w:val="000000"/>
        </w:rPr>
        <w:t>2 ч до анестезии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Стандартные рекомендации для детей следующие</w:t>
      </w:r>
      <w:r w:rsidR="00BD0D63" w:rsidRPr="00BD0D63">
        <w:rPr>
          <w:color w:val="000000"/>
        </w:rPr>
        <w:t>: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1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Младенцам &lt;6 мес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чистую воду дают не менее чем за 2 ч до операции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2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Твердую еду и молоко</w:t>
      </w:r>
      <w:r w:rsidR="00BD0D63" w:rsidRPr="00BD0D63">
        <w:rPr>
          <w:color w:val="000000"/>
        </w:rPr>
        <w:t xml:space="preserve"> - </w:t>
      </w:r>
      <w:r w:rsidRPr="00BD0D63">
        <w:rPr>
          <w:color w:val="000000"/>
        </w:rPr>
        <w:t>не менее чем за 4 ч до операции дают младенцам &lt;6 мес</w:t>
      </w:r>
      <w:r w:rsidR="00BD0D63" w:rsidRPr="00BD0D63">
        <w:rPr>
          <w:color w:val="000000"/>
        </w:rPr>
        <w:t xml:space="preserve">; </w:t>
      </w:r>
      <w:r w:rsidRPr="00BD0D63">
        <w:rPr>
          <w:color w:val="000000"/>
        </w:rPr>
        <w:t>не</w:t>
      </w:r>
      <w:r w:rsidR="00BD0D63">
        <w:rPr>
          <w:color w:val="000000"/>
        </w:rPr>
        <w:t xml:space="preserve"> </w:t>
      </w:r>
      <w:r w:rsidRPr="00BD0D63">
        <w:rPr>
          <w:color w:val="000000"/>
        </w:rPr>
        <w:t>менее чем за 6 ч</w:t>
      </w:r>
      <w:r w:rsidR="00BD0D63" w:rsidRPr="00BD0D63">
        <w:rPr>
          <w:color w:val="000000"/>
        </w:rPr>
        <w:t xml:space="preserve"> - </w:t>
      </w:r>
      <w:r w:rsidRPr="00BD0D63">
        <w:rPr>
          <w:color w:val="000000"/>
        </w:rPr>
        <w:t>детям от 6 мес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до 3 лет</w:t>
      </w:r>
      <w:r w:rsidR="00BD0D63" w:rsidRPr="00BD0D63">
        <w:rPr>
          <w:color w:val="000000"/>
        </w:rPr>
        <w:t xml:space="preserve">; </w:t>
      </w:r>
      <w:r w:rsidRPr="00BD0D63">
        <w:rPr>
          <w:color w:val="000000"/>
        </w:rPr>
        <w:t>не менее чем за 8 ч</w:t>
      </w:r>
      <w:r w:rsidR="00BD0D63" w:rsidRPr="00BD0D63">
        <w:rPr>
          <w:color w:val="000000"/>
        </w:rPr>
        <w:t xml:space="preserve"> - </w:t>
      </w:r>
      <w:r w:rsidRPr="00BD0D63">
        <w:rPr>
          <w:color w:val="000000"/>
        </w:rPr>
        <w:t>детям старше 3 лет</w:t>
      </w:r>
      <w:r w:rsidR="00BD0D63" w:rsidRPr="00BD0D63">
        <w:rPr>
          <w:color w:val="000000"/>
        </w:rPr>
        <w:t>.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pStyle w:val="2"/>
        <w:rPr>
          <w:color w:val="000000"/>
        </w:rPr>
      </w:pPr>
      <w:r w:rsidRPr="00BD0D63">
        <w:rPr>
          <w:color w:val="000000"/>
        </w:rPr>
        <w:t>У каких больных повышен риск аспирации</w:t>
      </w:r>
      <w:r w:rsidR="00BD0D63" w:rsidRPr="00BD0D63">
        <w:rPr>
          <w:color w:val="000000"/>
        </w:rPr>
        <w:t>?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К группе высокого риска относятся больные с любым нарушением проходимости пищеварительного тракта, эпизодами гастроэзофагеального рефлюкса, диабетом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парез желудка</w:t>
      </w:r>
      <w:r w:rsidR="00BD0D63" w:rsidRPr="00BD0D63">
        <w:rPr>
          <w:color w:val="000000"/>
        </w:rPr>
        <w:t>),</w:t>
      </w:r>
      <w:r w:rsidRPr="00BD0D63">
        <w:rPr>
          <w:color w:val="000000"/>
        </w:rPr>
        <w:t xml:space="preserve"> фактом недавнего приема твердой пищи, повышенным внутрибрюшным давлением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ожирение, асцит</w:t>
      </w:r>
      <w:r w:rsidR="00BD0D63" w:rsidRPr="00BD0D63">
        <w:rPr>
          <w:color w:val="000000"/>
        </w:rPr>
        <w:t>),</w:t>
      </w:r>
      <w:r w:rsidRPr="00BD0D63">
        <w:rPr>
          <w:color w:val="000000"/>
        </w:rPr>
        <w:t xml:space="preserve"> беременностью, угнетенным сознанием или фактом недавнего назначения опиоидов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снижение скорости опорожнения желудка</w:t>
      </w:r>
      <w:r w:rsidR="00BD0D63" w:rsidRPr="00BD0D63">
        <w:rPr>
          <w:color w:val="000000"/>
        </w:rPr>
        <w:t xml:space="preserve">). </w:t>
      </w:r>
      <w:r w:rsidRPr="00BD0D63">
        <w:rPr>
          <w:color w:val="000000"/>
        </w:rPr>
        <w:t>Кроме того, факторами высокого риска аспирации являются наз</w:t>
      </w:r>
      <w:r w:rsidR="00C76DBD">
        <w:rPr>
          <w:color w:val="000000"/>
        </w:rPr>
        <w:t>о</w:t>
      </w:r>
      <w:r w:rsidRPr="00BD0D63">
        <w:rPr>
          <w:color w:val="000000"/>
        </w:rPr>
        <w:t>орофарингеальное или гастродуодснальное кровотечение, травма дыхательных путей, срочное оперативное вмешательство</w:t>
      </w:r>
      <w:r w:rsidR="00BD0D63" w:rsidRPr="00BD0D63">
        <w:rPr>
          <w:color w:val="000000"/>
        </w:rPr>
        <w:t>.</w:t>
      </w:r>
    </w:p>
    <w:p w:rsidR="00BD0D63" w:rsidRDefault="00BD0D63" w:rsidP="00BD0D63">
      <w:pPr>
        <w:rPr>
          <w:color w:val="000000"/>
        </w:rPr>
      </w:pPr>
    </w:p>
    <w:p w:rsidR="00BD0D63" w:rsidRDefault="00BD0D63" w:rsidP="00BD0D63">
      <w:pPr>
        <w:pStyle w:val="2"/>
        <w:rPr>
          <w:color w:val="000000"/>
        </w:rPr>
      </w:pPr>
      <w:r>
        <w:rPr>
          <w:color w:val="000000"/>
        </w:rPr>
        <w:br w:type="page"/>
      </w:r>
      <w:r w:rsidR="005A3A52" w:rsidRPr="00BD0D63">
        <w:rPr>
          <w:color w:val="000000"/>
        </w:rPr>
        <w:t>Какие специфические медицинские и анестезиологические проблемы связаны с ожирением</w:t>
      </w:r>
      <w:r w:rsidRPr="00BD0D63">
        <w:rPr>
          <w:color w:val="000000"/>
        </w:rPr>
        <w:t>?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Ожирение определяется как превышение расчетной идеальной массы тела более чем на 20%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У больных с ожирением чаще встречаются диабет, гипертензия, ИБС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У пациентов этой группы чаще возникают трудности с проведением масочной вентиляции и с интубацией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При ожирении уменьшается функциональная остаточная емкость, повышается потребление 0</w:t>
      </w:r>
      <w:r w:rsidRPr="00BD0D63">
        <w:rPr>
          <w:color w:val="000000"/>
          <w:vertAlign w:val="subscript"/>
        </w:rPr>
        <w:t>2</w:t>
      </w:r>
      <w:r w:rsidRPr="00BD0D63">
        <w:rPr>
          <w:color w:val="000000"/>
        </w:rPr>
        <w:t xml:space="preserve"> и продукция С0</w:t>
      </w:r>
      <w:r w:rsidRPr="00BD0D63">
        <w:rPr>
          <w:color w:val="000000"/>
          <w:vertAlign w:val="subscript"/>
        </w:rPr>
        <w:t>2</w:t>
      </w:r>
      <w:r w:rsidRPr="00BD0D63">
        <w:rPr>
          <w:color w:val="000000"/>
        </w:rPr>
        <w:t>, часто нарушается вентиляция</w:t>
      </w:r>
      <w:r w:rsidR="00BD0D63" w:rsidRPr="00BD0D63">
        <w:rPr>
          <w:color w:val="000000"/>
        </w:rPr>
        <w:t xml:space="preserve"> - </w:t>
      </w:r>
      <w:r w:rsidRPr="00BD0D63">
        <w:rPr>
          <w:color w:val="000000"/>
        </w:rPr>
        <w:t>от</w:t>
      </w:r>
      <w:r w:rsidR="00C76DBD">
        <w:rPr>
          <w:color w:val="000000"/>
        </w:rPr>
        <w:t xml:space="preserve"> легких вентиляционно-перфузион</w:t>
      </w:r>
      <w:r w:rsidRPr="00BD0D63">
        <w:rPr>
          <w:color w:val="000000"/>
        </w:rPr>
        <w:t>ных расстройств до выраженной гиповентиляции и обструктивного сонного апноэ</w:t>
      </w:r>
      <w:r w:rsidR="00BD0D63">
        <w:rPr>
          <w:color w:val="000000"/>
        </w:rPr>
        <w:t xml:space="preserve"> (</w:t>
      </w:r>
      <w:r w:rsidR="00C76DBD">
        <w:rPr>
          <w:color w:val="000000"/>
        </w:rPr>
        <w:t>пиквик</w:t>
      </w:r>
      <w:r w:rsidRPr="00BD0D63">
        <w:rPr>
          <w:color w:val="000000"/>
        </w:rPr>
        <w:t>ский синдром</w:t>
      </w:r>
      <w:r w:rsidR="00BD0D63" w:rsidRPr="00BD0D63">
        <w:rPr>
          <w:color w:val="000000"/>
        </w:rPr>
        <w:t xml:space="preserve">). </w:t>
      </w:r>
      <w:r w:rsidRPr="00BD0D63">
        <w:rPr>
          <w:color w:val="000000"/>
        </w:rPr>
        <w:t>Эти изменения способствуют более быстрой десатурации во время апноэ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Если больные страдают пиквикским синдромом, у них может быть легочная гипертензия с проявлениями правожелудочковой недостаточности или без них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Повышенное внутрибрюшное давление связано с развитием пищеводных грыж и рефлюкса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В связи с повышенным желудочным объемом и пониженным рН тучные больные входят в группу риска аспирационных осложнений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Фармакокинетика многих анестетиков изменяется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К тому же, регионарная анестезия вызывает большие трудности и чаще оказывается неэффективной</w:t>
      </w:r>
      <w:r w:rsidR="00BD0D63" w:rsidRPr="00BD0D63">
        <w:rPr>
          <w:color w:val="000000"/>
        </w:rPr>
        <w:t>.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pStyle w:val="2"/>
        <w:rPr>
          <w:color w:val="000000"/>
        </w:rPr>
      </w:pPr>
      <w:r w:rsidRPr="00BD0D63">
        <w:rPr>
          <w:color w:val="000000"/>
        </w:rPr>
        <w:t>Какие состояния, выявленные при предоперационной оценке, наиболее часто ведут к изменениям в плане анестезии</w:t>
      </w:r>
      <w:r w:rsidR="00BD0D63" w:rsidRPr="00BD0D63">
        <w:rPr>
          <w:color w:val="000000"/>
        </w:rPr>
        <w:t>?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В исследовании Флоридского университета установлено, что планы анестезии менялись у 20% больных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 xml:space="preserve">включая 15% больных классов 1 и 2 по классификации </w:t>
      </w:r>
      <w:r w:rsidRPr="00BD0D63">
        <w:rPr>
          <w:color w:val="000000"/>
          <w:lang w:val="en-US"/>
        </w:rPr>
        <w:t>ASA</w:t>
      </w:r>
      <w:r w:rsidR="00BD0D63" w:rsidRPr="00BD0D63">
        <w:rPr>
          <w:color w:val="000000"/>
        </w:rPr>
        <w:t xml:space="preserve">) </w:t>
      </w:r>
      <w:r w:rsidRPr="00BD0D63">
        <w:rPr>
          <w:color w:val="000000"/>
        </w:rPr>
        <w:t>в связи с выявлением при предоперационной оценке различных патологических состояний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Наиболее распространенными были желудочный рефлюкс, инсулинзависимый диабет, астма и ожидаемые трудности при интубации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Эти данные подтверждают, что по возможности предоперационный осмотр больных следует проводить раньше, чем за день до оперативного вмешательства</w:t>
      </w:r>
      <w:r w:rsidR="00BD0D63" w:rsidRPr="00BD0D63">
        <w:rPr>
          <w:color w:val="000000"/>
        </w:rPr>
        <w:t>.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pStyle w:val="2"/>
        <w:rPr>
          <w:color w:val="000000"/>
        </w:rPr>
      </w:pPr>
      <w:r w:rsidRPr="00BD0D63">
        <w:rPr>
          <w:color w:val="000000"/>
        </w:rPr>
        <w:t>Что значит</w:t>
      </w:r>
      <w:r w:rsidR="00BD0D63">
        <w:rPr>
          <w:color w:val="000000"/>
        </w:rPr>
        <w:t xml:space="preserve"> "</w:t>
      </w:r>
      <w:r w:rsidRPr="00BD0D63">
        <w:rPr>
          <w:color w:val="000000"/>
        </w:rPr>
        <w:t>соответствующее предоперационное лабораторное обследование</w:t>
      </w:r>
      <w:r w:rsidR="00BD0D63">
        <w:rPr>
          <w:color w:val="000000"/>
        </w:rPr>
        <w:t xml:space="preserve">"? </w:t>
      </w:r>
      <w:r w:rsidRPr="00BD0D63">
        <w:rPr>
          <w:color w:val="000000"/>
        </w:rPr>
        <w:t>Каким больным необходимо проводить электрокардиографию, рентгенографию грудной клетки</w:t>
      </w:r>
      <w:r w:rsidR="00BD0D63" w:rsidRPr="00BD0D63">
        <w:rPr>
          <w:color w:val="000000"/>
        </w:rPr>
        <w:t>?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Наблюдается тенденция к уменьшению количества лабораторных исследований, большинство из которых следует назначать, исходя из данных анамнеза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см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табл</w:t>
      </w:r>
      <w:r w:rsidR="00BD0D63" w:rsidRPr="00BD0D63">
        <w:rPr>
          <w:color w:val="000000"/>
        </w:rPr>
        <w:t>).</w:t>
      </w:r>
    </w:p>
    <w:p w:rsidR="00BD0D63" w:rsidRDefault="00BD0D63" w:rsidP="00BD0D63">
      <w:pPr>
        <w:rPr>
          <w:color w:val="000000"/>
        </w:rPr>
      </w:pPr>
    </w:p>
    <w:p w:rsidR="005A3A52" w:rsidRDefault="005A3A52" w:rsidP="00BD0D63">
      <w:pPr>
        <w:pStyle w:val="2"/>
        <w:rPr>
          <w:color w:val="000000"/>
        </w:rPr>
      </w:pPr>
      <w:r w:rsidRPr="00BD0D63">
        <w:rPr>
          <w:color w:val="000000"/>
        </w:rPr>
        <w:t>Упрощенная стратегия предоперационного лабораторного и инструментального обследования*</w:t>
      </w:r>
    </w:p>
    <w:p w:rsidR="00BD0D63" w:rsidRPr="00BD0D63" w:rsidRDefault="00BD0D63" w:rsidP="00BD0D63"/>
    <w:p w:rsidR="005A3A52" w:rsidRDefault="005F60CC" w:rsidP="00BD0D63">
      <w:r>
        <w:pict>
          <v:shape id="_x0000_i1026" type="#_x0000_t75" style="width:381pt;height:202.5pt">
            <v:imagedata r:id="rId8" o:title=""/>
          </v:shape>
        </w:pict>
      </w:r>
    </w:p>
    <w:p w:rsidR="00BD0D63" w:rsidRPr="00BD0D63" w:rsidRDefault="00BD0D63" w:rsidP="00BD0D63"/>
    <w:p w:rsidR="00BD0D63" w:rsidRPr="00BD0D63" w:rsidRDefault="00C76DBD" w:rsidP="00534EEC">
      <w:r>
        <w:t>* При минимально ин</w:t>
      </w:r>
      <w:r w:rsidR="00BD0D63" w:rsidRPr="00BD0D63">
        <w:t>вазивных операциях (катаракты, диагностическая ар</w:t>
      </w:r>
      <w:r>
        <w:t>троскопия) исследования не пока</w:t>
      </w:r>
      <w:r w:rsidR="00BD0D63" w:rsidRPr="00BD0D63">
        <w:t>заны. При умеренно инвазивных вмешательств</w:t>
      </w:r>
      <w:r>
        <w:t>ах (операции, при которых кровопотеря или гемодинамиче</w:t>
      </w:r>
      <w:r w:rsidR="00BD0D63" w:rsidRPr="00BD0D63">
        <w:t xml:space="preserve">ские колебания редки) следует руководствоваться клинической целесообразностью объема обследования. X - выполнение; </w:t>
      </w:r>
      <w:r w:rsidR="00BD0D63" w:rsidRPr="00BD0D63">
        <w:rPr>
          <w:lang w:val="en-US"/>
        </w:rPr>
        <w:t>f</w:t>
      </w:r>
      <w:r w:rsidR="00BD0D63" w:rsidRPr="00BD0D63">
        <w:t xml:space="preserve"> </w:t>
      </w:r>
      <w:r w:rsidR="00BD0D63">
        <w:t>-</w:t>
      </w:r>
      <w:r w:rsidR="00BD0D63" w:rsidRPr="00BD0D63">
        <w:t xml:space="preserve"> выполнение только для лейкемии; ПВ </w:t>
      </w:r>
      <w:r w:rsidR="00BD0D63">
        <w:t>-</w:t>
      </w:r>
      <w:r w:rsidR="00BD0D63" w:rsidRPr="00BD0D63">
        <w:t xml:space="preserve"> протромбиновое время; ЧТВ </w:t>
      </w:r>
      <w:r w:rsidR="00BD0D63">
        <w:t>-</w:t>
      </w:r>
      <w:r w:rsidR="00BD0D63" w:rsidRPr="00BD0D63">
        <w:t xml:space="preserve"> частичное тромбопластиновое время; Т </w:t>
      </w:r>
      <w:r w:rsidR="00BD0D63">
        <w:t>-</w:t>
      </w:r>
      <w:r w:rsidR="00BD0D63" w:rsidRPr="00BD0D63">
        <w:t xml:space="preserve"> тромбоциты; ВК </w:t>
      </w:r>
      <w:r w:rsidR="00BD0D63">
        <w:t>-</w:t>
      </w:r>
      <w:r w:rsidR="00BD0D63" w:rsidRPr="00BD0D63">
        <w:t xml:space="preserve"> время кровотечения; креат/АМК - креатинин или азот мочевины крови; АсАТ </w:t>
      </w:r>
      <w:r w:rsidR="00BD0D63">
        <w:t>-</w:t>
      </w:r>
      <w:r w:rsidR="00BD0D63" w:rsidRPr="00BD0D63">
        <w:t xml:space="preserve"> аспартатаминотрансфераза; ЩФ </w:t>
      </w:r>
      <w:r w:rsidR="00BD0D63">
        <w:t>-</w:t>
      </w:r>
      <w:r w:rsidR="00BD0D63" w:rsidRPr="00BD0D63">
        <w:t xml:space="preserve"> щелочная фосфатаза; ЭКГ </w:t>
      </w:r>
      <w:r w:rsidR="00BD0D63">
        <w:t>-</w:t>
      </w:r>
      <w:r>
        <w:t xml:space="preserve"> электрокардио</w:t>
      </w:r>
      <w:r w:rsidR="00BD0D63" w:rsidRPr="00BD0D63">
        <w:t>графия; ЦНС</w:t>
      </w:r>
      <w:r w:rsidR="00BD0D63">
        <w:t>-</w:t>
      </w:r>
      <w:r w:rsidR="00BD0D63" w:rsidRPr="00BD0D63">
        <w:t xml:space="preserve"> центральная нервная система.</w:t>
      </w:r>
    </w:p>
    <w:p w:rsidR="00BD0D63" w:rsidRDefault="00BD0D63" w:rsidP="00534EEC">
      <w:r w:rsidRPr="00BD0D63">
        <w:t>Перепечатано</w:t>
      </w:r>
      <w:r w:rsidRPr="00BD0D63">
        <w:rPr>
          <w:lang w:val="en-US"/>
        </w:rPr>
        <w:t xml:space="preserve"> </w:t>
      </w:r>
      <w:r w:rsidRPr="00BD0D63">
        <w:t>с</w:t>
      </w:r>
      <w:r w:rsidRPr="00BD0D63">
        <w:rPr>
          <w:lang w:val="en-US"/>
        </w:rPr>
        <w:t xml:space="preserve"> </w:t>
      </w:r>
      <w:r w:rsidRPr="00BD0D63">
        <w:t>разрешения</w:t>
      </w:r>
      <w:r w:rsidRPr="00BD0D63">
        <w:rPr>
          <w:lang w:val="en-US"/>
        </w:rPr>
        <w:t xml:space="preserve"> </w:t>
      </w:r>
      <w:r w:rsidRPr="00BD0D63">
        <w:t>из</w:t>
      </w:r>
      <w:r w:rsidRPr="00BD0D63">
        <w:rPr>
          <w:lang w:val="en-US"/>
        </w:rPr>
        <w:t xml:space="preserve">: Roizen </w:t>
      </w:r>
      <w:r w:rsidRPr="00BD0D63">
        <w:t>М</w:t>
      </w:r>
      <w:r w:rsidRPr="00BD0D63">
        <w:rPr>
          <w:lang w:val="en-US"/>
        </w:rPr>
        <w:t>: Preoperative lab testing: "What do we need?" In 49th Annual Refresher Course Lectures and Clinical Update Program. San</w:t>
      </w:r>
      <w:r w:rsidRPr="00BD0D63">
        <w:t xml:space="preserve"> </w:t>
      </w:r>
      <w:r w:rsidRPr="00BD0D63">
        <w:rPr>
          <w:lang w:val="en-US"/>
        </w:rPr>
        <w:t>Fransisco</w:t>
      </w:r>
      <w:r w:rsidRPr="00BD0D63">
        <w:t xml:space="preserve">, </w:t>
      </w:r>
      <w:r w:rsidRPr="00BD0D63">
        <w:rPr>
          <w:lang w:val="en-US"/>
        </w:rPr>
        <w:t>ASA</w:t>
      </w:r>
      <w:r w:rsidRPr="00BD0D63">
        <w:t xml:space="preserve">, 1998. </w:t>
      </w:r>
    </w:p>
    <w:p w:rsidR="00BD0D63" w:rsidRDefault="00BD0D63" w:rsidP="00BD0D63"/>
    <w:p w:rsidR="00BD0D63" w:rsidRPr="00BD0D63" w:rsidRDefault="005F60CC" w:rsidP="00BD0D63">
      <w:pPr>
        <w:rPr>
          <w:b/>
          <w:bCs/>
        </w:rPr>
      </w:pPr>
      <w:r>
        <w:pict>
          <v:shape id="_x0000_i1027" type="#_x0000_t75" style="width:380.25pt;height:168.75pt">
            <v:imagedata r:id="rId9" o:title=""/>
          </v:shape>
        </w:pic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pStyle w:val="2"/>
        <w:rPr>
          <w:color w:val="000000"/>
        </w:rPr>
      </w:pPr>
      <w:r w:rsidRPr="00BD0D63">
        <w:rPr>
          <w:color w:val="000000"/>
        </w:rPr>
        <w:t>Каков минимально допустимый уровень гематокрита для плановых операций</w:t>
      </w:r>
      <w:r w:rsidR="00BD0D63" w:rsidRPr="00BD0D63">
        <w:rPr>
          <w:color w:val="000000"/>
        </w:rPr>
        <w:t>?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Не существует определенного минимума, он зависит от клинической ситуации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Гемоглобин или гематокрит</w:t>
      </w:r>
      <w:r w:rsidR="00BD0D63" w:rsidRPr="00BD0D63">
        <w:rPr>
          <w:color w:val="000000"/>
        </w:rPr>
        <w:t xml:space="preserve"> - </w:t>
      </w:r>
      <w:r w:rsidRPr="00BD0D63">
        <w:rPr>
          <w:color w:val="000000"/>
        </w:rPr>
        <w:t>только одно звено доставки кислорода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Доставка кислорода зависит от значений гематокрита, сердечного выброса, сатурации оксигемоглобина в артериальной крови и вязкости крови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обратно пропорциональна гематокриту</w:t>
      </w:r>
      <w:r w:rsidR="00BD0D63" w:rsidRPr="00BD0D63">
        <w:rPr>
          <w:color w:val="000000"/>
        </w:rPr>
        <w:t xml:space="preserve">). </w:t>
      </w:r>
      <w:r w:rsidRPr="00BD0D63">
        <w:rPr>
          <w:color w:val="000000"/>
        </w:rPr>
        <w:t>Необходимо принимать во внимание также патологические состояния, которые по</w:t>
      </w:r>
      <w:r w:rsidR="00C76DBD">
        <w:rPr>
          <w:color w:val="000000"/>
        </w:rPr>
        <w:t>вышают риск неадекватной оксиге</w:t>
      </w:r>
      <w:r w:rsidRPr="00BD0D63">
        <w:rPr>
          <w:color w:val="000000"/>
        </w:rPr>
        <w:t>нации жизненно важных органов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К этим заболеваниям относятся ИБС, недостаточность мозгового кровообращения, поражение сосудов почек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Наконец, должны быть оценены потенциальная кровопотеря и рост потребности в кислороде, связанные с предполагающейся операцией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У больных 1</w:t>
      </w:r>
      <w:r w:rsidR="00BD0D63" w:rsidRPr="00BD0D63">
        <w:rPr>
          <w:color w:val="000000"/>
        </w:rPr>
        <w:t>-</w:t>
      </w:r>
      <w:r w:rsidRPr="00BD0D63">
        <w:rPr>
          <w:color w:val="000000"/>
        </w:rPr>
        <w:t xml:space="preserve">2 класса по классификации </w:t>
      </w:r>
      <w:r w:rsidRPr="00BD0D63">
        <w:rPr>
          <w:color w:val="000000"/>
          <w:lang w:val="en-US"/>
        </w:rPr>
        <w:t>ASA</w:t>
      </w:r>
      <w:r w:rsidRPr="00BD0D63">
        <w:rPr>
          <w:color w:val="000000"/>
        </w:rPr>
        <w:t xml:space="preserve"> при а</w:t>
      </w:r>
      <w:r w:rsidR="00C76DBD">
        <w:rPr>
          <w:color w:val="000000"/>
        </w:rPr>
        <w:t>декватном ОЦК и стабильных гемо</w:t>
      </w:r>
      <w:r w:rsidRPr="00BD0D63">
        <w:rPr>
          <w:color w:val="000000"/>
        </w:rPr>
        <w:t>динамических показателях, в случае минимальной ожидаемой кровопотери, допустимо снижение гематокрита до 18% без гемотрансфузии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У больных с хорошо компенсированными системными заболеваниями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 xml:space="preserve">класс 3 по </w:t>
      </w:r>
      <w:r w:rsidRPr="00BD0D63">
        <w:rPr>
          <w:color w:val="000000"/>
          <w:lang w:val="en-US"/>
        </w:rPr>
        <w:t>ASA</w:t>
      </w:r>
      <w:r w:rsidR="00BD0D63" w:rsidRPr="00BD0D63">
        <w:rPr>
          <w:color w:val="000000"/>
        </w:rPr>
        <w:t xml:space="preserve">) </w:t>
      </w:r>
      <w:r w:rsidRPr="00BD0D63">
        <w:rPr>
          <w:color w:val="000000"/>
        </w:rPr>
        <w:t>в сходных условиях следует поддерживать гематокрит на уровне не ниже 24%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У больных с ИБС или другими сосудистыми поражениями, гаматокрит должен быть &gt;30%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При травме и потенциальной полиорганной недостаточности уровень гематокрита следует поддерживать &gt;35%</w:t>
      </w:r>
      <w:r w:rsidR="00BD0D63" w:rsidRPr="00BD0D63">
        <w:rPr>
          <w:color w:val="000000"/>
        </w:rPr>
        <w:t>.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pStyle w:val="2"/>
        <w:rPr>
          <w:color w:val="000000"/>
        </w:rPr>
      </w:pPr>
      <w:r w:rsidRPr="00BD0D63">
        <w:rPr>
          <w:color w:val="000000"/>
        </w:rPr>
        <w:t>Каким больным следует исследовать функции внешнего дыхания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ФВД</w:t>
      </w:r>
      <w:r w:rsidR="00BD0D63">
        <w:rPr>
          <w:color w:val="000000"/>
        </w:rPr>
        <w:t>)?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Рутинное использование методов исследования ФВД у курильщиков и пациентов с легочными заболеваниями не рекомендуется, поскольку чувствительность их невелика, а коммерческая цена достаточно высока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В большинстве случаев анамнез, аускультация и рентгенография позволяют определиться с планом анестезии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У пациентов, которым предстоит резекция легкого, определение ФВД в сочетании с исследованием вентиляционно-перфузионных отношений помогает проводить периоперационную терапию и предсказывать исход лечения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Предполагаемый послеоперационный объем форсированного выдоха за 1 с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ОФВ</w:t>
      </w:r>
      <w:r w:rsidR="00BD0D63" w:rsidRPr="00BD0D63">
        <w:rPr>
          <w:color w:val="000000"/>
        </w:rPr>
        <w:t xml:space="preserve">)) </w:t>
      </w:r>
      <w:r w:rsidRPr="00BD0D63">
        <w:rPr>
          <w:color w:val="000000"/>
        </w:rPr>
        <w:t>&lt;800 мл является противопоказанием для резекции легкого</w:t>
      </w:r>
      <w:r w:rsidR="00BD0D63" w:rsidRPr="00BD0D63">
        <w:rPr>
          <w:color w:val="000000"/>
        </w:rPr>
        <w:t>.</w:t>
      </w:r>
      <w:r w:rsidR="00BD0D63">
        <w:rPr>
          <w:color w:val="000000"/>
        </w:rPr>
        <w:t xml:space="preserve"> </w:t>
      </w:r>
      <w:r w:rsidRPr="00BD0D63">
        <w:rPr>
          <w:color w:val="000000"/>
        </w:rPr>
        <w:t>ФВД иногда могут исследоваться у больных с клинически проявляющимися легочными заболеваниями, если предстоят вмешательства на верхнем этаже брюшной полости или иные продолжительные и обширные операции, поскольку эти тесты могут служить средством прогнозирования или контроля состояния легких в ходе предоперационной подготовки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Петлю поток</w:t>
      </w:r>
      <w:r w:rsidR="00BD0D63" w:rsidRPr="00BD0D63">
        <w:rPr>
          <w:color w:val="000000"/>
        </w:rPr>
        <w:t>-</w:t>
      </w:r>
      <w:r w:rsidRPr="00BD0D63">
        <w:rPr>
          <w:color w:val="000000"/>
        </w:rPr>
        <w:t>объем можно использовать для характеристики обструктивных расстройств и нижних интраторакальных, и верхних экстраторакальных дыхательных путей</w:t>
      </w:r>
      <w:r w:rsidR="00BD0D63" w:rsidRPr="00BD0D63">
        <w:rPr>
          <w:color w:val="000000"/>
        </w:rPr>
        <w:t>.</w:t>
      </w:r>
    </w:p>
    <w:p w:rsidR="00BD0D63" w:rsidRDefault="00BD0D63" w:rsidP="00BD0D63">
      <w:pPr>
        <w:pStyle w:val="2"/>
        <w:rPr>
          <w:color w:val="000000"/>
        </w:rPr>
      </w:pPr>
      <w:r>
        <w:rPr>
          <w:color w:val="000000"/>
        </w:rPr>
        <w:br w:type="page"/>
      </w:r>
      <w:r w:rsidR="005A3A52" w:rsidRPr="00BD0D63">
        <w:rPr>
          <w:color w:val="000000"/>
        </w:rPr>
        <w:t>В каких случаях показаны консультации других специалистов</w:t>
      </w:r>
      <w:r w:rsidRPr="00BD0D63">
        <w:rPr>
          <w:color w:val="000000"/>
        </w:rPr>
        <w:t>?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Предоперационные консультации подпадают под две основные категории</w:t>
      </w:r>
      <w:r w:rsidR="00BD0D63" w:rsidRPr="00BD0D63">
        <w:rPr>
          <w:color w:val="000000"/>
        </w:rPr>
        <w:t>: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Больные, у которых для установления диагноза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или диагнозов</w:t>
      </w:r>
      <w:r w:rsidR="00BD0D63" w:rsidRPr="00BD0D63">
        <w:rPr>
          <w:color w:val="000000"/>
        </w:rPr>
        <w:t xml:space="preserve">) </w:t>
      </w:r>
      <w:r w:rsidRPr="00BD0D63">
        <w:rPr>
          <w:color w:val="000000"/>
        </w:rPr>
        <w:t>требуется больший объем информации или компетентности, а результаты дополнительного исследования могут повлиять на проведение анестезии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Пациенты, у которых диагноз установлен, но требуется дальнейшее обследование и лечение для оптимизации их состояния перед хирургическим вмешательством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Примером первого типа консультации было бы обследование кардиологом 50-летнего больного с недавним эпизодом болей в грудной клетке, связанным с напряжением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Консультация специалистом-терапевтом больного с плохо контролируемым диабетом, гипертонией или астмой</w:t>
      </w:r>
      <w:r w:rsidR="00BD0D63" w:rsidRPr="00BD0D63">
        <w:rPr>
          <w:color w:val="000000"/>
        </w:rPr>
        <w:t xml:space="preserve"> - </w:t>
      </w:r>
      <w:r w:rsidRPr="00BD0D63">
        <w:rPr>
          <w:color w:val="000000"/>
        </w:rPr>
        <w:t>хорошие примеры второго типа консультаций</w:t>
      </w:r>
      <w:r w:rsidR="00BD0D63" w:rsidRPr="00BD0D63">
        <w:rPr>
          <w:color w:val="000000"/>
        </w:rPr>
        <w:t>.</w:t>
      </w:r>
    </w:p>
    <w:p w:rsidR="00BD0D63" w:rsidRDefault="00BD0D63" w:rsidP="00BD0D63">
      <w:pPr>
        <w:pStyle w:val="2"/>
        <w:rPr>
          <w:color w:val="000000"/>
        </w:rPr>
      </w:pPr>
    </w:p>
    <w:p w:rsidR="00BD0D63" w:rsidRDefault="005A3A52" w:rsidP="00BD0D63">
      <w:pPr>
        <w:pStyle w:val="2"/>
        <w:rPr>
          <w:color w:val="000000"/>
        </w:rPr>
      </w:pPr>
      <w:r w:rsidRPr="00BD0D63">
        <w:rPr>
          <w:color w:val="000000"/>
        </w:rPr>
        <w:t>Какая польза от прекращения курения в предоперационном периоде</w:t>
      </w:r>
      <w:r w:rsidR="00BD0D63" w:rsidRPr="00BD0D63">
        <w:rPr>
          <w:color w:val="000000"/>
        </w:rPr>
        <w:t xml:space="preserve">? </w:t>
      </w:r>
      <w:r w:rsidRPr="00BD0D63">
        <w:rPr>
          <w:color w:val="000000"/>
        </w:rPr>
        <w:t>На какой период перед операцией следует отказаться от курения для появления положительного эффекта</w:t>
      </w:r>
      <w:r w:rsidR="00BD0D63" w:rsidRPr="00BD0D63">
        <w:rPr>
          <w:color w:val="000000"/>
        </w:rPr>
        <w:t>?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Угарный газ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СО</w:t>
      </w:r>
      <w:r w:rsidR="00BD0D63" w:rsidRPr="00BD0D63">
        <w:rPr>
          <w:color w:val="000000"/>
        </w:rPr>
        <w:t>),</w:t>
      </w:r>
      <w:r w:rsidRPr="00BD0D63">
        <w:rPr>
          <w:color w:val="000000"/>
        </w:rPr>
        <w:t xml:space="preserve"> входящий в состав сигаретного дыма, снижает доставку кислорода к тканям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Никотин приводит к увеличению ЧСС и мож</w:t>
      </w:r>
      <w:r w:rsidR="00C76DBD">
        <w:rPr>
          <w:color w:val="000000"/>
        </w:rPr>
        <w:t>ет вызывать периферическую вазо</w:t>
      </w:r>
      <w:r w:rsidRPr="00BD0D63">
        <w:rPr>
          <w:color w:val="000000"/>
        </w:rPr>
        <w:t>констрикцию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В течение 12</w:t>
      </w:r>
      <w:r w:rsidR="00BD0D63" w:rsidRPr="00BD0D63">
        <w:rPr>
          <w:color w:val="000000"/>
        </w:rPr>
        <w:t>-</w:t>
      </w:r>
      <w:r w:rsidRPr="00BD0D63">
        <w:rPr>
          <w:color w:val="000000"/>
        </w:rPr>
        <w:t>24 ч после отказа от курения, уровни СО и никотина возвращаются к норме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Дренажная функция бронхов улучшается в течение 2</w:t>
      </w:r>
      <w:r w:rsidR="00BD0D63" w:rsidRPr="00BD0D63">
        <w:rPr>
          <w:color w:val="000000"/>
        </w:rPr>
        <w:t>-</w:t>
      </w:r>
      <w:r w:rsidRPr="00BD0D63">
        <w:rPr>
          <w:color w:val="000000"/>
        </w:rPr>
        <w:t>3 дней, а продуцирование мокроты снижается до нормального уровня примерно за 2 нед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Тем не менее, исследования не продемонстрировали значительного снижения частоты послеоперационных респираторных осложнений при сроке отказа от курения до 6</w:t>
      </w:r>
      <w:r w:rsidR="00BD0D63" w:rsidRPr="00BD0D63">
        <w:rPr>
          <w:color w:val="000000"/>
        </w:rPr>
        <w:t>-</w:t>
      </w:r>
      <w:r w:rsidRPr="00BD0D63">
        <w:rPr>
          <w:color w:val="000000"/>
        </w:rPr>
        <w:t>8 нед</w:t>
      </w:r>
      <w:r w:rsidR="00BD0D63" w:rsidRPr="00BD0D63">
        <w:rPr>
          <w:color w:val="000000"/>
        </w:rPr>
        <w:t>.</w:t>
      </w:r>
    </w:p>
    <w:p w:rsidR="00BD0D63" w:rsidRDefault="00BD0D63" w:rsidP="00BD0D63">
      <w:pPr>
        <w:pStyle w:val="2"/>
        <w:rPr>
          <w:color w:val="000000"/>
        </w:rPr>
      </w:pPr>
      <w:r>
        <w:rPr>
          <w:color w:val="000000"/>
        </w:rPr>
        <w:br w:type="page"/>
      </w:r>
      <w:r w:rsidR="005A3A52" w:rsidRPr="00BD0D63">
        <w:rPr>
          <w:color w:val="000000"/>
        </w:rPr>
        <w:t>Существуют ли опасности, связанные с отказом от курения</w:t>
      </w:r>
      <w:r w:rsidRPr="00BD0D63">
        <w:rPr>
          <w:color w:val="000000"/>
        </w:rPr>
        <w:t>?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При отказе от курения у некоторых больных первоначально может повыситься продукция мокроты, а также возможно появление или обострение реактивных респираторных заболеваний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Несмотря на то, что риск артериального тромбоза при отказе от курения снижается, может повышаться риск глубокого венозного тромбоза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Возможны так называемые</w:t>
      </w:r>
      <w:r w:rsidR="00BD0D63">
        <w:rPr>
          <w:color w:val="000000"/>
        </w:rPr>
        <w:t xml:space="preserve"> "</w:t>
      </w:r>
      <w:r w:rsidRPr="00BD0D63">
        <w:rPr>
          <w:color w:val="000000"/>
        </w:rPr>
        <w:t>краткосрочные отрицательные эффекты</w:t>
      </w:r>
      <w:r w:rsidR="00BD0D63">
        <w:rPr>
          <w:color w:val="000000"/>
        </w:rPr>
        <w:t xml:space="preserve">" </w:t>
      </w:r>
      <w:r w:rsidRPr="00BD0D63">
        <w:rPr>
          <w:color w:val="000000"/>
        </w:rPr>
        <w:t>в виде раздражительности и беспокойства, связанные с выведением никотина</w:t>
      </w:r>
      <w:r w:rsidR="00BD0D63" w:rsidRPr="00BD0D63">
        <w:rPr>
          <w:color w:val="000000"/>
        </w:rPr>
        <w:t>.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pStyle w:val="2"/>
        <w:rPr>
          <w:color w:val="000000"/>
        </w:rPr>
      </w:pPr>
      <w:r w:rsidRPr="00BD0D63">
        <w:rPr>
          <w:color w:val="000000"/>
        </w:rPr>
        <w:t>Каковы стандартные рекомендации по обследованию сердечно-сосудистой системы у больных, которым предстоят некардиальные операции</w:t>
      </w:r>
      <w:r w:rsidR="00BD0D63" w:rsidRPr="00BD0D63">
        <w:rPr>
          <w:color w:val="000000"/>
        </w:rPr>
        <w:t>?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Распознавание потенциально опасных сердечных заболеваний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ИБС, застойная сердечная недостаточность и аритмии</w:t>
      </w:r>
      <w:r w:rsidR="00BD0D63" w:rsidRPr="00BD0D63">
        <w:rPr>
          <w:color w:val="000000"/>
        </w:rPr>
        <w:t xml:space="preserve">) </w:t>
      </w:r>
      <w:r w:rsidRPr="00BD0D63">
        <w:rPr>
          <w:color w:val="000000"/>
        </w:rPr>
        <w:t>основывается на данных анамнеза, объективного обследования и интерпретации ЭКГ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Кроме определения наличия болезни, необходимо уточнить ее тяжесть, стабильность течения и предшествующее лечение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Другие факторы, имеющие значение в определении кардиального риска, включают функциональные резервы, возраст, сопутствующую патологию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 xml:space="preserve">например, сахарный диабет, гипертонию, хронические заболевания почек, периферические сосудистые заболевания и </w:t>
      </w:r>
      <w:r w:rsidR="00BD0D63">
        <w:rPr>
          <w:color w:val="000000"/>
        </w:rPr>
        <w:t>др.)</w:t>
      </w:r>
      <w:r w:rsidR="00BD0D63" w:rsidRPr="00BD0D63">
        <w:rPr>
          <w:color w:val="000000"/>
        </w:rPr>
        <w:t xml:space="preserve"> </w:t>
      </w:r>
      <w:r w:rsidRPr="00BD0D63">
        <w:rPr>
          <w:color w:val="000000"/>
        </w:rPr>
        <w:t>и инвазивность планируемого хирургического вмешательства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Нижеследующий алгоритм разработан группой специалистов, включенных в исследование периоперативной сердечной функции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Клинические признаки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или</w:t>
      </w:r>
      <w:r w:rsidR="00BD0D63">
        <w:rPr>
          <w:color w:val="000000"/>
        </w:rPr>
        <w:t xml:space="preserve"> "</w:t>
      </w:r>
      <w:r w:rsidRPr="00BD0D63">
        <w:rPr>
          <w:color w:val="000000"/>
        </w:rPr>
        <w:t>предвестники</w:t>
      </w:r>
      <w:r w:rsidR="00BD0D63">
        <w:rPr>
          <w:color w:val="000000"/>
        </w:rPr>
        <w:t>"</w:t>
      </w:r>
      <w:r w:rsidR="00BD0D63" w:rsidRPr="00BD0D63">
        <w:rPr>
          <w:color w:val="000000"/>
        </w:rPr>
        <w:t xml:space="preserve">) </w:t>
      </w:r>
      <w:r w:rsidRPr="00BD0D63">
        <w:rPr>
          <w:color w:val="000000"/>
        </w:rPr>
        <w:t>повышенного периоперационного кардиального риска, оценка функциональных резервов больного и риск, обусловленный спецификой операции, в совокупности позволяют определить, возможно ли оперативное вмешательство у больного, либо требуется проведение дальнейшего обследования и лечения</w:t>
      </w:r>
      <w:r w:rsidR="00BD0D63" w:rsidRPr="00BD0D63">
        <w:rPr>
          <w:color w:val="000000"/>
        </w:rPr>
        <w:t>.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Больные, которые не могут удовлетворить потребности четырех метаболических эквивалентов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4МЕТ</w:t>
      </w:r>
      <w:r w:rsidR="00BD0D63" w:rsidRPr="00BD0D63">
        <w:rPr>
          <w:color w:val="000000"/>
        </w:rPr>
        <w:t>),</w:t>
      </w:r>
      <w:r w:rsidRPr="00BD0D63">
        <w:rPr>
          <w:color w:val="000000"/>
        </w:rPr>
        <w:t xml:space="preserve"> относятся к группе высокого риска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Подъем на пролет лестницы определяется как 4МЕТ-активность</w:t>
      </w:r>
      <w:r w:rsidR="00BD0D63" w:rsidRPr="00BD0D63">
        <w:rPr>
          <w:color w:val="000000"/>
        </w:rPr>
        <w:t xml:space="preserve">) </w:t>
      </w:r>
      <w:r w:rsidRPr="00BD0D63">
        <w:rPr>
          <w:color w:val="000000"/>
        </w:rPr>
        <w:t>Алгоритм воспроизведен ниже, но читатели могут обратиться к библиографическим ссылкам для лучшего понимания этих сложных и важных концепций</w:t>
      </w:r>
      <w:r w:rsidR="00BD0D63" w:rsidRPr="00BD0D63">
        <w:rPr>
          <w:color w:val="000000"/>
        </w:rPr>
        <w:t>.</w:t>
      </w:r>
    </w:p>
    <w:p w:rsidR="00BD0D63" w:rsidRDefault="00BD0D63" w:rsidP="00BD0D63">
      <w:pPr>
        <w:rPr>
          <w:color w:val="000000"/>
        </w:rPr>
      </w:pPr>
    </w:p>
    <w:p w:rsidR="005A3A52" w:rsidRDefault="005F60CC" w:rsidP="00BD0D63">
      <w:r>
        <w:pict>
          <v:shape id="_x0000_i1028" type="#_x0000_t75" style="width:387pt;height:507pt">
            <v:imagedata r:id="rId10" o:title=""/>
          </v:shape>
        </w:pict>
      </w:r>
    </w:p>
    <w:p w:rsidR="00BD0D63" w:rsidRPr="00BD0D63" w:rsidRDefault="00BD0D63" w:rsidP="00BD0D63"/>
    <w:p w:rsidR="00BD0D63" w:rsidRDefault="005F60CC" w:rsidP="00BD0D63">
      <w:r>
        <w:pict>
          <v:shape id="_x0000_i1029" type="#_x0000_t75" style="width:388.5pt;height:231.75pt">
            <v:imagedata r:id="rId11" o:title=""/>
          </v:shape>
        </w:pic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pStyle w:val="2"/>
        <w:rPr>
          <w:color w:val="000000"/>
        </w:rPr>
      </w:pPr>
      <w:r w:rsidRPr="00BD0D63">
        <w:rPr>
          <w:color w:val="000000"/>
        </w:rPr>
        <w:t>Какие ключевые моменты анамнеза следует учитывать при оценке коагуляционного статуса больного</w:t>
      </w:r>
      <w:r w:rsidR="00BD0D63" w:rsidRPr="00BD0D63">
        <w:rPr>
          <w:color w:val="000000"/>
        </w:rPr>
        <w:t xml:space="preserve">? </w:t>
      </w:r>
      <w:r w:rsidRPr="00BD0D63">
        <w:rPr>
          <w:color w:val="000000"/>
        </w:rPr>
        <w:t>Что входит в основу лабораторной оценки</w:t>
      </w:r>
      <w:r w:rsidR="00BD0D63" w:rsidRPr="00BD0D63">
        <w:rPr>
          <w:color w:val="000000"/>
        </w:rPr>
        <w:t>?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Анестезиолог всегда должен спрашивать о том, были ли ранее необычные кровотечения или гематомы, заболевания или лекарственные назначения в связи с кровотечениями, имеются ли данные семейного анамнеза в отношении повышенной кровоточивости, а также были ли необычные кровотечения при предшествующих хирургических вмешательствах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При положительном ответе на любой из этих вопросов, необходимо уточнить следующие детали</w:t>
      </w:r>
      <w:r w:rsidR="00BD0D63" w:rsidRPr="00BD0D63">
        <w:rPr>
          <w:color w:val="000000"/>
        </w:rPr>
        <w:t xml:space="preserve">: </w:t>
      </w:r>
      <w:r w:rsidRPr="00BD0D63">
        <w:rPr>
          <w:color w:val="000000"/>
        </w:rPr>
        <w:t>отмечались ли носовые кровотечения, гематурия или меноррагия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Гематурия также может встречаться при коагулопатии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Кровоточивость десен может быть обусловлена как их заболеваниями, так и уремией или тромбоцитопенией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Петехиальные кровоизлияния свидетельствуют о количественных или качественных тромбоцитарных расстройствах или о нарушениях целостности сосудистой стенки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Желудочно-кишечные кровотечения могут быть обусловлены аномалиями первичного гемостаза, коагулопатией или фибринолизом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Наличие в анамнезе тяжелого, угрожавшего жизни кровотечения в глубокие ткани, мышцы или забрюшинное пространство, и особенно спонтанные экхимозы или гемартрозы, обычно свидетельствуют о дефекте коагуляционного звена гемостаза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Первоначально остановившееся, но затем спонтанно рецидивировавшее кровотечение также свидетельствует о коагулопатии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В базовые лабораторные исследования входит определение количества тромбоцитов, времени кровотечения, протромбинового времени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ПВ</w:t>
      </w:r>
      <w:r w:rsidR="00BD0D63" w:rsidRPr="00BD0D63">
        <w:rPr>
          <w:color w:val="000000"/>
        </w:rPr>
        <w:t>),</w:t>
      </w:r>
      <w:r w:rsidRPr="00BD0D63">
        <w:rPr>
          <w:color w:val="000000"/>
        </w:rPr>
        <w:t xml:space="preserve"> частичного тромбопластинового времени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ЧТВ</w:t>
      </w:r>
      <w:r w:rsidR="00BD0D63" w:rsidRPr="00BD0D63">
        <w:rPr>
          <w:color w:val="000000"/>
        </w:rPr>
        <w:t xml:space="preserve">) </w:t>
      </w:r>
      <w:r w:rsidRPr="00BD0D63">
        <w:rPr>
          <w:color w:val="000000"/>
        </w:rPr>
        <w:t>и тромбинового времени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Минимальное количество нормально функционирующих тромбоцитов для предотвращения хирургического кровотечения</w:t>
      </w:r>
      <w:r w:rsidR="00BD0D63" w:rsidRPr="00BD0D63">
        <w:rPr>
          <w:color w:val="000000"/>
        </w:rPr>
        <w:t xml:space="preserve"> - </w:t>
      </w:r>
      <w:r w:rsidRPr="00BD0D63">
        <w:rPr>
          <w:color w:val="000000"/>
        </w:rPr>
        <w:t>50 000/мм</w:t>
      </w:r>
      <w:r w:rsidRPr="00BD0D63">
        <w:rPr>
          <w:color w:val="000000"/>
          <w:vertAlign w:val="superscript"/>
        </w:rPr>
        <w:t>3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Важно заметить, что потеря только 60</w:t>
      </w:r>
      <w:r w:rsidR="00BD0D63" w:rsidRPr="00BD0D63">
        <w:rPr>
          <w:color w:val="000000"/>
        </w:rPr>
        <w:t>-</w:t>
      </w:r>
      <w:r w:rsidRPr="00BD0D63">
        <w:rPr>
          <w:color w:val="000000"/>
        </w:rPr>
        <w:t>80% коагуляционной активности приводит к изменению ПВ и ЧТВ, но и у больных с меньшими изменениями в системе гемостаза могут развиться тяжелые кровотечения во время операций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Поэтому большое значение имеет сбор анамнеза</w:t>
      </w:r>
      <w:r w:rsidR="00BD0D63" w:rsidRPr="00BD0D63">
        <w:rPr>
          <w:color w:val="000000"/>
        </w:rPr>
        <w:t>.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pStyle w:val="2"/>
        <w:rPr>
          <w:color w:val="000000"/>
        </w:rPr>
      </w:pPr>
      <w:r w:rsidRPr="00BD0D63">
        <w:rPr>
          <w:color w:val="000000"/>
        </w:rPr>
        <w:t>Можно ли больному с искусственным клапаном сердца, принимающему антикоагулянты, выполнять спинальную или эпидуральную анестезию</w:t>
      </w:r>
      <w:r w:rsidR="00BD0D63" w:rsidRPr="00BD0D63">
        <w:rPr>
          <w:color w:val="000000"/>
        </w:rPr>
        <w:t xml:space="preserve">? </w:t>
      </w:r>
      <w:r w:rsidRPr="00BD0D63">
        <w:rPr>
          <w:color w:val="000000"/>
        </w:rPr>
        <w:t>А больному с остеоартритом, принимающему аспирин</w:t>
      </w:r>
      <w:r w:rsidR="00BD0D63" w:rsidRPr="00BD0D63">
        <w:rPr>
          <w:color w:val="000000"/>
        </w:rPr>
        <w:t>?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Регионарная анестезия у больных, получающих антикоагулянты, должна выполняться только тогда, когда соотношение успех/риск в этом случае предпочтительнее, чем при альтернативных методах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У больных с искусственным клапа</w:t>
      </w:r>
      <w:r w:rsidR="00C76DBD">
        <w:rPr>
          <w:color w:val="000000"/>
        </w:rPr>
        <w:t>ном сердца прерывание антикоагу</w:t>
      </w:r>
      <w:r w:rsidRPr="00BD0D63">
        <w:rPr>
          <w:color w:val="000000"/>
        </w:rPr>
        <w:t>лянтной терапии несет реальный риск клапанного тромбоза и развития эмболии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Следовательно, при расчете времени существуют ограничения, св</w:t>
      </w:r>
      <w:r w:rsidR="00C76DBD">
        <w:rPr>
          <w:color w:val="000000"/>
        </w:rPr>
        <w:t>язанные с достижением коагуляци</w:t>
      </w:r>
      <w:r w:rsidRPr="00BD0D63">
        <w:rPr>
          <w:color w:val="000000"/>
        </w:rPr>
        <w:t>онного</w:t>
      </w:r>
      <w:r w:rsidR="00BD0D63">
        <w:rPr>
          <w:color w:val="000000"/>
        </w:rPr>
        <w:t xml:space="preserve"> "</w:t>
      </w:r>
      <w:r w:rsidRPr="00BD0D63">
        <w:rPr>
          <w:color w:val="000000"/>
        </w:rPr>
        <w:t>окна</w:t>
      </w:r>
      <w:r w:rsidR="00BD0D63">
        <w:rPr>
          <w:color w:val="000000"/>
        </w:rPr>
        <w:t xml:space="preserve">", </w:t>
      </w:r>
      <w:r w:rsidRPr="00BD0D63">
        <w:rPr>
          <w:color w:val="000000"/>
        </w:rPr>
        <w:t>достаточно короткого для исключения патологических тромбозов и достаточно длительного для исключения нейроаксиальных кровотечений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Пероральные антикоагулянты следует отменить за 3</w:t>
      </w:r>
      <w:r w:rsidR="00BD0D63" w:rsidRPr="00BD0D63">
        <w:rPr>
          <w:color w:val="000000"/>
        </w:rPr>
        <w:t>-</w:t>
      </w:r>
      <w:r w:rsidRPr="00BD0D63">
        <w:rPr>
          <w:color w:val="000000"/>
        </w:rPr>
        <w:t>5 дней до хирургического вмешательства с одновременным началом внутривенной терапии гепарином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Введение гепарина прекращается за 4</w:t>
      </w:r>
      <w:r w:rsidR="00BD0D63" w:rsidRPr="00BD0D63">
        <w:rPr>
          <w:color w:val="000000"/>
        </w:rPr>
        <w:t>-</w:t>
      </w:r>
      <w:r w:rsidR="00C76DBD">
        <w:rPr>
          <w:color w:val="000000"/>
        </w:rPr>
        <w:t>6 ч до спи</w:t>
      </w:r>
      <w:r w:rsidRPr="00BD0D63">
        <w:rPr>
          <w:color w:val="000000"/>
        </w:rPr>
        <w:t>нальной или эпидуральной анестезии и не возобновляется по меньшей мере в течение 1 ч для исключения образования эпидуральной гематомы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Если существует вероятность хирургического кровотечения, отсрочка должна составлять не менее 12 ч до возобновления терапии гепарином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Если в анамнезе у пациентов, получающих антитромбоцитарные препараты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аспирин или другие нестероидные противовоспалительные средства</w:t>
      </w:r>
      <w:r w:rsidR="00BD0D63" w:rsidRPr="00BD0D63">
        <w:rPr>
          <w:color w:val="000000"/>
        </w:rPr>
        <w:t>),</w:t>
      </w:r>
      <w:r w:rsidRPr="00BD0D63">
        <w:rPr>
          <w:color w:val="000000"/>
        </w:rPr>
        <w:t xml:space="preserve"> отсутствуют данные о кровотечениях или образовании гематом, тогда эпидуральная или спинальная анестезии могут выполняться без риска</w:t>
      </w:r>
      <w:r w:rsidR="00BD0D63" w:rsidRPr="00BD0D63">
        <w:rPr>
          <w:color w:val="000000"/>
        </w:rPr>
        <w:t>.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pStyle w:val="2"/>
        <w:rPr>
          <w:color w:val="000000"/>
        </w:rPr>
      </w:pPr>
      <w:r w:rsidRPr="00BD0D63">
        <w:rPr>
          <w:color w:val="000000"/>
        </w:rPr>
        <w:t>Каким должно быть предоперационное обследование больных, страдающих диабетом</w:t>
      </w:r>
      <w:r w:rsidR="00BD0D63" w:rsidRPr="00BD0D63">
        <w:rPr>
          <w:color w:val="000000"/>
        </w:rPr>
        <w:t>?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Как долго больной страдает сахарным диабетом</w:t>
      </w:r>
      <w:r w:rsidR="00BD0D63" w:rsidRPr="00BD0D63">
        <w:rPr>
          <w:color w:val="000000"/>
        </w:rPr>
        <w:t xml:space="preserve">? </w:t>
      </w:r>
      <w:r w:rsidRPr="00BD0D63">
        <w:rPr>
          <w:color w:val="000000"/>
        </w:rPr>
        <w:t>Насколько адекватен контроль гликемии</w:t>
      </w:r>
      <w:r w:rsidR="00BD0D63" w:rsidRPr="00BD0D63">
        <w:rPr>
          <w:color w:val="000000"/>
        </w:rPr>
        <w:t xml:space="preserve">? </w:t>
      </w:r>
      <w:r w:rsidRPr="00BD0D63">
        <w:rPr>
          <w:color w:val="000000"/>
        </w:rPr>
        <w:t>Пациенты с частыми эпизодами гипогликемии и кетоацидоза</w:t>
      </w:r>
      <w:r w:rsidR="00BD0D63">
        <w:rPr>
          <w:color w:val="000000"/>
        </w:rPr>
        <w:t xml:space="preserve"> ("</w:t>
      </w:r>
      <w:r w:rsidRPr="00BD0D63">
        <w:rPr>
          <w:color w:val="000000"/>
        </w:rPr>
        <w:t>хрупкие</w:t>
      </w:r>
      <w:r w:rsidR="00BD0D63">
        <w:rPr>
          <w:color w:val="000000"/>
        </w:rPr>
        <w:t xml:space="preserve">" </w:t>
      </w:r>
      <w:r w:rsidRPr="00BD0D63">
        <w:rPr>
          <w:color w:val="000000"/>
        </w:rPr>
        <w:t>диабетики</w:t>
      </w:r>
      <w:r w:rsidR="00BD0D63" w:rsidRPr="00BD0D63">
        <w:rPr>
          <w:color w:val="000000"/>
        </w:rPr>
        <w:t xml:space="preserve">) </w:t>
      </w:r>
      <w:r w:rsidRPr="00BD0D63">
        <w:rPr>
          <w:color w:val="000000"/>
        </w:rPr>
        <w:t>с большей вероятностью будут метаболически нестабильны в периоперационном периоде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Если больной длительное время плохо контролировал уровень гликемии, у него, вероятно, имеются заболевания органов-мишеней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Так, анестезиологу следует искать проявления ишемической болезни сердца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часто</w:t>
      </w:r>
      <w:r w:rsidR="00BD0D63">
        <w:rPr>
          <w:color w:val="000000"/>
        </w:rPr>
        <w:t xml:space="preserve"> "</w:t>
      </w:r>
      <w:r w:rsidRPr="00BD0D63">
        <w:rPr>
          <w:color w:val="000000"/>
        </w:rPr>
        <w:t>немой</w:t>
      </w:r>
      <w:r w:rsidR="00BD0D63">
        <w:rPr>
          <w:color w:val="000000"/>
        </w:rPr>
        <w:t>"</w:t>
      </w:r>
      <w:r w:rsidR="00BD0D63" w:rsidRPr="00BD0D63">
        <w:rPr>
          <w:color w:val="000000"/>
        </w:rPr>
        <w:t>),</w:t>
      </w:r>
      <w:r w:rsidRPr="00BD0D63">
        <w:rPr>
          <w:color w:val="000000"/>
        </w:rPr>
        <w:t xml:space="preserve"> гипертензии, вегетативной нейропатии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контроль ортостатических изменений основных показателей жизнедеятельности организма</w:t>
      </w:r>
      <w:r w:rsidR="00BD0D63" w:rsidRPr="00BD0D63">
        <w:rPr>
          <w:color w:val="000000"/>
        </w:rPr>
        <w:t>),</w:t>
      </w:r>
      <w:r w:rsidRPr="00BD0D63">
        <w:rPr>
          <w:color w:val="000000"/>
        </w:rPr>
        <w:t xml:space="preserve"> почечной недостаточности, кардиомиопатии и пареза желудка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спрашивайте о рефлюксе и чувстве раннего насыщения</w:t>
      </w:r>
      <w:r w:rsidR="00BD0D63" w:rsidRPr="00BD0D63">
        <w:rPr>
          <w:color w:val="000000"/>
        </w:rPr>
        <w:t xml:space="preserve">). </w:t>
      </w:r>
      <w:r w:rsidRPr="00BD0D63">
        <w:rPr>
          <w:color w:val="000000"/>
        </w:rPr>
        <w:t>Узнайте, какие препараты больной принимает для лечения диабета, наибольшую последнюю дозу и последний уровень гликемии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У некоторых больных может встречаться нарушение разгибания шеи, обусловленное</w:t>
      </w:r>
      <w:r w:rsidR="00C76DBD">
        <w:rPr>
          <w:color w:val="000000"/>
        </w:rPr>
        <w:t xml:space="preserve"> вовлечением атланто-окципиталь</w:t>
      </w:r>
      <w:r w:rsidRPr="00BD0D63">
        <w:rPr>
          <w:color w:val="000000"/>
        </w:rPr>
        <w:t>ного сочленения в синдром тугоподвижности суставов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Тяжелые предоперационные метаболические расстройства часто наблюдаются у инсулин-зависимых больных, особенно при наличии травмы или инфекции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Ищите высокий или низкий уровни глюкозы, электролитные расстройства, ке</w:t>
      </w:r>
      <w:r w:rsidR="00C76DBD">
        <w:rPr>
          <w:color w:val="000000"/>
        </w:rPr>
        <w:t>тоацидоз, гиповолемию и гиперос</w:t>
      </w:r>
      <w:r w:rsidRPr="00BD0D63">
        <w:rPr>
          <w:color w:val="000000"/>
        </w:rPr>
        <w:t>молярность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В предоперационное обследование следует включить, как минимум, определение уровня глюкозы, электролитов, азота мочевины крови, креатинина, анализ мочи и ЭКГ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Дополнительными лабораторными исследованиями могут быть определение газов артериальной крови, кетоновых тел, осмолярности, уровней кальция, фосфора и магния</w:t>
      </w:r>
      <w:r w:rsidR="00BD0D63" w:rsidRPr="00BD0D63">
        <w:rPr>
          <w:color w:val="000000"/>
        </w:rPr>
        <w:t>.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pStyle w:val="2"/>
        <w:rPr>
          <w:color w:val="000000"/>
        </w:rPr>
      </w:pPr>
      <w:r w:rsidRPr="00BD0D63">
        <w:rPr>
          <w:color w:val="000000"/>
        </w:rPr>
        <w:t>Какое значение для анестезии имеет хроническое употребление алкоголя</w:t>
      </w:r>
      <w:r w:rsidR="00BD0D63" w:rsidRPr="00BD0D63">
        <w:rPr>
          <w:color w:val="000000"/>
        </w:rPr>
        <w:t xml:space="preserve">? </w:t>
      </w:r>
      <w:r w:rsidRPr="00BD0D63">
        <w:rPr>
          <w:color w:val="000000"/>
        </w:rPr>
        <w:t>Что должно входить в предоперационное обследование больных алкоголизмом</w:t>
      </w:r>
      <w:r w:rsidR="00BD0D63" w:rsidRPr="00BD0D63">
        <w:rPr>
          <w:color w:val="000000"/>
        </w:rPr>
        <w:t>?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При количестве больных алкоголизмом в Америке около 18 млн</w:t>
      </w:r>
      <w:r w:rsidR="00C76DBD">
        <w:rPr>
          <w:color w:val="000000"/>
        </w:rPr>
        <w:t>.</w:t>
      </w:r>
      <w:r w:rsidRPr="00BD0D63">
        <w:rPr>
          <w:color w:val="000000"/>
        </w:rPr>
        <w:t xml:space="preserve"> анестезиолог может ожидать частой встречи с этой патологией во время предоперационного обследования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Алкоголизм является полиорганным заболеванием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Отмечается повышенная устойчивость ЦНС к ингаляционным анестетикам и препаратам для индукции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В периоперационном периоде могут развиться судороги отмены или делирий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У некоторых алкоголиков отмечается парадоксальное возбуждение при назначении седативных препаратов и гипнотиков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Могут выявляться признаки периферической нейропатии, что имеет значение при применении регионарной анестезии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Изменения со стороны сердечно-сосудистой системы характеризуются высокой частотой гипертензии и алкогольной кардиомиопатии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проявляющейся хронической сердечной недостаточностью, аритмиями, повышенн</w:t>
      </w:r>
      <w:r w:rsidR="00C76DBD">
        <w:rPr>
          <w:color w:val="000000"/>
        </w:rPr>
        <w:t>ой чувствительностью к кардиоде</w:t>
      </w:r>
      <w:r w:rsidRPr="00BD0D63">
        <w:rPr>
          <w:color w:val="000000"/>
        </w:rPr>
        <w:t>прессивным свойствам ингаляционных анестетиков</w:t>
      </w:r>
      <w:r w:rsidR="00BD0D63" w:rsidRPr="00BD0D63">
        <w:rPr>
          <w:color w:val="000000"/>
        </w:rPr>
        <w:t xml:space="preserve">). </w:t>
      </w:r>
      <w:r w:rsidRPr="00BD0D63">
        <w:rPr>
          <w:color w:val="000000"/>
        </w:rPr>
        <w:t>Проблемы со стороны желудочно-кишечного тракта включают гастриты, кровотечения, гепатиты и панкреатиты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Хроническое употребление алкоголя приводит к повышению метаболической активности печени с повышением устойчивости к местным анестетикам, седативным препаратам, анальгетикам и некоторым миорелаксантам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Наоборот, при последующем нарушении функций печени наблюдается усиление действия препаратов, а также развитие коагулопатии и, возможно, варикозного расширения вен пищевода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Метаболические расстройства и нарушения питания ведут к дефициту тиамина, гипофосфатем</w:t>
      </w:r>
      <w:r w:rsidR="00C76DBD">
        <w:rPr>
          <w:color w:val="000000"/>
        </w:rPr>
        <w:t>ии, гипомагниемии и гипокальцие</w:t>
      </w:r>
      <w:r w:rsidRPr="00BD0D63">
        <w:rPr>
          <w:color w:val="000000"/>
        </w:rPr>
        <w:t>мии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Наконец, у алкоголиков могут появляться лейкопения и анемия, а при наличии поражения печени, кроме коагулопатии, могут развиваться тромбоцитопатия и предрасположенность к РВС-синдрому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Диагноз алкоголизм часто упускается из виду, поскольку для больных алкоголизмом характерно отрицание этой патологии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 xml:space="preserve">Короткий опросник </w:t>
      </w:r>
      <w:r w:rsidRPr="00BD0D63">
        <w:rPr>
          <w:color w:val="000000"/>
          <w:lang w:val="en-US"/>
        </w:rPr>
        <w:t>CAGE</w:t>
      </w:r>
      <w:r w:rsidRPr="00BD0D63">
        <w:rPr>
          <w:color w:val="000000"/>
        </w:rPr>
        <w:t xml:space="preserve"> может быть более информативным, чем просто вопрос</w:t>
      </w:r>
      <w:r w:rsidR="00BD0D63">
        <w:rPr>
          <w:color w:val="000000"/>
        </w:rPr>
        <w:t xml:space="preserve"> "</w:t>
      </w:r>
      <w:r w:rsidRPr="00BD0D63">
        <w:rPr>
          <w:color w:val="000000"/>
        </w:rPr>
        <w:t>какое количество спиртного вы употребляете</w:t>
      </w:r>
      <w:r w:rsidR="00BD0D63">
        <w:rPr>
          <w:color w:val="000000"/>
        </w:rPr>
        <w:t>?"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С</w:t>
      </w:r>
      <w:r w:rsidR="003975EF" w:rsidRPr="00BD0D63">
        <w:rPr>
          <w:color w:val="000000"/>
        </w:rPr>
        <w:t xml:space="preserve"> </w:t>
      </w:r>
      <w:r w:rsidRPr="00BD0D63">
        <w:rPr>
          <w:color w:val="000000"/>
        </w:rPr>
        <w:t>Время от времени Вы сокращаете</w:t>
      </w:r>
      <w:r w:rsidR="00BD0D63">
        <w:rPr>
          <w:color w:val="000000"/>
        </w:rPr>
        <w:t xml:space="preserve"> (</w:t>
      </w:r>
      <w:r w:rsidRPr="00BD0D63">
        <w:rPr>
          <w:color w:val="000000"/>
          <w:lang w:val="en-US"/>
        </w:rPr>
        <w:t>cut</w:t>
      </w:r>
      <w:r w:rsidR="00BD0D63" w:rsidRPr="00BD0D63">
        <w:rPr>
          <w:color w:val="000000"/>
        </w:rPr>
        <w:t xml:space="preserve">) </w:t>
      </w:r>
      <w:r w:rsidRPr="00BD0D63">
        <w:rPr>
          <w:color w:val="000000"/>
        </w:rPr>
        <w:t>количество употребляемого Вами алкоголя</w:t>
      </w:r>
      <w:r w:rsidR="00BD0D63" w:rsidRPr="00BD0D63">
        <w:rPr>
          <w:color w:val="000000"/>
        </w:rPr>
        <w:t>?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А</w:t>
      </w:r>
      <w:r w:rsidR="003975EF" w:rsidRPr="00BD0D63">
        <w:rPr>
          <w:color w:val="000000"/>
        </w:rPr>
        <w:t xml:space="preserve"> </w:t>
      </w:r>
      <w:r w:rsidRPr="00BD0D63">
        <w:rPr>
          <w:color w:val="000000"/>
        </w:rPr>
        <w:t>Вас раздражает</w:t>
      </w:r>
      <w:r w:rsidR="00BD0D63">
        <w:rPr>
          <w:color w:val="000000"/>
        </w:rPr>
        <w:t xml:space="preserve"> (</w:t>
      </w:r>
      <w:r w:rsidRPr="00BD0D63">
        <w:rPr>
          <w:color w:val="000000"/>
          <w:lang w:val="en-US"/>
        </w:rPr>
        <w:t>annoyed</w:t>
      </w:r>
      <w:r w:rsidR="00BD0D63" w:rsidRPr="00BD0D63">
        <w:rPr>
          <w:color w:val="000000"/>
        </w:rPr>
        <w:t>),</w:t>
      </w:r>
      <w:r w:rsidRPr="00BD0D63">
        <w:rPr>
          <w:color w:val="000000"/>
        </w:rPr>
        <w:t xml:space="preserve"> если люди критикуют Вас за употребление спиртного</w:t>
      </w:r>
      <w:r w:rsidR="00BD0D63" w:rsidRPr="00BD0D63">
        <w:rPr>
          <w:color w:val="000000"/>
        </w:rPr>
        <w:t>?</w:t>
      </w:r>
    </w:p>
    <w:p w:rsidR="00BD0D63" w:rsidRDefault="005A3A52" w:rsidP="00BD0D63">
      <w:pPr>
        <w:rPr>
          <w:color w:val="000000"/>
          <w:lang w:eastAsia="en-US"/>
        </w:rPr>
      </w:pPr>
      <w:r w:rsidRPr="00BD0D63">
        <w:rPr>
          <w:color w:val="000000"/>
          <w:lang w:val="en-US" w:eastAsia="en-US"/>
        </w:rPr>
        <w:t>G</w:t>
      </w:r>
      <w:r w:rsidR="003975EF" w:rsidRPr="00BD0D63">
        <w:rPr>
          <w:color w:val="000000"/>
          <w:lang w:eastAsia="en-US"/>
        </w:rPr>
        <w:t xml:space="preserve"> </w:t>
      </w:r>
      <w:r w:rsidRPr="00BD0D63">
        <w:rPr>
          <w:color w:val="000000"/>
          <w:lang w:eastAsia="en-US"/>
        </w:rPr>
        <w:t>Возникает ли у Вас чувство вины</w:t>
      </w:r>
      <w:r w:rsidR="00BD0D63">
        <w:rPr>
          <w:color w:val="000000"/>
          <w:lang w:eastAsia="en-US"/>
        </w:rPr>
        <w:t xml:space="preserve"> (</w:t>
      </w:r>
      <w:r w:rsidRPr="00BD0D63">
        <w:rPr>
          <w:color w:val="000000"/>
          <w:lang w:val="en-US" w:eastAsia="en-US"/>
        </w:rPr>
        <w:t>guilty</w:t>
      </w:r>
      <w:r w:rsidR="00BD0D63" w:rsidRPr="00BD0D63">
        <w:rPr>
          <w:color w:val="000000"/>
          <w:lang w:eastAsia="en-US"/>
        </w:rPr>
        <w:t xml:space="preserve">) </w:t>
      </w:r>
      <w:r w:rsidRPr="00BD0D63">
        <w:rPr>
          <w:color w:val="000000"/>
          <w:lang w:eastAsia="en-US"/>
        </w:rPr>
        <w:t>в связи с тем, что Вы принимали алкоголь</w:t>
      </w:r>
      <w:r w:rsidR="00BD0D63" w:rsidRPr="00BD0D63">
        <w:rPr>
          <w:color w:val="000000"/>
          <w:lang w:eastAsia="en-US"/>
        </w:rPr>
        <w:t>?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Е</w:t>
      </w:r>
      <w:r w:rsidR="003975EF" w:rsidRPr="00BD0D63">
        <w:rPr>
          <w:color w:val="000000"/>
        </w:rPr>
        <w:t xml:space="preserve"> </w:t>
      </w:r>
      <w:r w:rsidRPr="00BD0D63">
        <w:rPr>
          <w:color w:val="000000"/>
        </w:rPr>
        <w:t>Принимаете ли Вы по утрам дозу для</w:t>
      </w:r>
      <w:r w:rsidR="00BD0D63">
        <w:rPr>
          <w:color w:val="000000"/>
        </w:rPr>
        <w:t xml:space="preserve"> "</w:t>
      </w:r>
      <w:r w:rsidRPr="00BD0D63">
        <w:rPr>
          <w:color w:val="000000"/>
        </w:rPr>
        <w:t>открытия глаз</w:t>
      </w:r>
      <w:r w:rsidR="00BD0D63">
        <w:rPr>
          <w:color w:val="000000"/>
        </w:rPr>
        <w:t>" ("</w:t>
      </w:r>
      <w:r w:rsidRPr="00BD0D63">
        <w:rPr>
          <w:color w:val="000000"/>
          <w:lang w:val="en-US"/>
        </w:rPr>
        <w:t>eye</w:t>
      </w:r>
      <w:r w:rsidRPr="00BD0D63">
        <w:rPr>
          <w:color w:val="000000"/>
        </w:rPr>
        <w:t xml:space="preserve"> </w:t>
      </w:r>
      <w:r w:rsidRPr="00BD0D63">
        <w:rPr>
          <w:color w:val="000000"/>
          <w:lang w:val="en-US"/>
        </w:rPr>
        <w:t>opener</w:t>
      </w:r>
      <w:r w:rsidR="00BD0D63">
        <w:rPr>
          <w:color w:val="000000"/>
        </w:rPr>
        <w:t>")?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Выясните количество принимаемого спиртного, частоту употребления, а также срок последнего приема алкоголя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Спросите о наличии симптомов отмены и предшествующих состояниях абстиненции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Ищите ранние признаки синдрома отмены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тремор, возбуждение, беспокойство, волнение, увеличение ЧСС</w:t>
      </w:r>
      <w:r w:rsidR="00BD0D63" w:rsidRPr="00BD0D63">
        <w:rPr>
          <w:color w:val="000000"/>
        </w:rPr>
        <w:t>),</w:t>
      </w:r>
      <w:r w:rsidRPr="00BD0D63">
        <w:rPr>
          <w:color w:val="000000"/>
        </w:rPr>
        <w:t xml:space="preserve"> проявления поражения печени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ангиоматоз, эритема ладоней, желтуха, асцит, гинекомастия, увеличенные околоушные и слезные железы, нарушения свертывания крови</w:t>
      </w:r>
      <w:r w:rsidR="00BD0D63" w:rsidRPr="00BD0D63">
        <w:rPr>
          <w:color w:val="000000"/>
        </w:rPr>
        <w:t>),</w:t>
      </w:r>
      <w:r w:rsidRPr="00BD0D63">
        <w:rPr>
          <w:color w:val="000000"/>
        </w:rPr>
        <w:t xml:space="preserve"> а также возможное наличие гипертензии и кардиомиопатии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Если планируется регионарная анестезия, документально зафиксируйте любые предшествующие нейропатии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Лабораторное обследование должно включать полное определение количества форменных элементов крови, определение количества тромбоцитов, концентрации электролитов, остаточного азота, глюкозы, печеночных ферментов, альбумина, билирубина, кальция, магния, фосфора, проведение коагуляционных тестов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Показано выполнение ЭКГ перед операцией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Если при дыхании больного определяется запах алкоголя или имеются другие основания для подозрений о недавнем приеме спиртного, необходимо проконтролировать уровень алкоголя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Если вмешательство неотложное, пациент входит в категорию больных, имеющих полный желудок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Если операция плановая</w:t>
      </w:r>
      <w:r w:rsidR="00BD0D63" w:rsidRPr="00BD0D63">
        <w:rPr>
          <w:color w:val="000000"/>
        </w:rPr>
        <w:t xml:space="preserve"> - </w:t>
      </w:r>
      <w:r w:rsidRPr="00BD0D63">
        <w:rPr>
          <w:color w:val="000000"/>
        </w:rPr>
        <w:t>ее следует отложить</w:t>
      </w:r>
      <w:r w:rsidR="00BD0D63" w:rsidRPr="00BD0D63">
        <w:rPr>
          <w:color w:val="000000"/>
        </w:rPr>
        <w:t>.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pStyle w:val="2"/>
        <w:rPr>
          <w:color w:val="000000"/>
        </w:rPr>
      </w:pPr>
      <w:r w:rsidRPr="00BD0D63">
        <w:rPr>
          <w:color w:val="000000"/>
        </w:rPr>
        <w:t>Какое значение для анестезии имеет острая алкогольная интоксикация</w:t>
      </w:r>
      <w:r w:rsidR="00BD0D63" w:rsidRPr="00BD0D63">
        <w:rPr>
          <w:color w:val="000000"/>
        </w:rPr>
        <w:t>?</w:t>
      </w:r>
    </w:p>
    <w:p w:rsidR="00BD0D63" w:rsidRDefault="00BD0D63" w:rsidP="00BD0D63">
      <w:pPr>
        <w:rPr>
          <w:color w:val="000000"/>
        </w:rPr>
      </w:pP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С употреблением алкоголя связано более 50% автомобильных аварий, 67% убийств и 35% самоубийств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Алкоголь</w:t>
      </w:r>
      <w:r w:rsidR="00BD0D63" w:rsidRPr="00BD0D63">
        <w:rPr>
          <w:color w:val="000000"/>
        </w:rPr>
        <w:t xml:space="preserve"> - </w:t>
      </w:r>
      <w:r w:rsidRPr="00BD0D63">
        <w:rPr>
          <w:color w:val="000000"/>
        </w:rPr>
        <w:t>ведущая причина смертности в возрастной группе 15</w:t>
      </w:r>
      <w:r w:rsidR="005F2082" w:rsidRPr="00BD0D63">
        <w:rPr>
          <w:color w:val="000000"/>
        </w:rPr>
        <w:t>-</w:t>
      </w:r>
      <w:r w:rsidRPr="00BD0D63">
        <w:rPr>
          <w:color w:val="000000"/>
        </w:rPr>
        <w:t>45 лет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В связи с этим у многих пациентов, поступающих для срочных оперативных вмешательств, отмечается алкогольная интоксикация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Все эти пациенты рассматриваются как имеющие</w:t>
      </w:r>
      <w:r w:rsidR="00BD0D63">
        <w:rPr>
          <w:color w:val="000000"/>
        </w:rPr>
        <w:t xml:space="preserve"> "</w:t>
      </w:r>
      <w:r w:rsidRPr="00BD0D63">
        <w:rPr>
          <w:color w:val="000000"/>
        </w:rPr>
        <w:t>полный желудок</w:t>
      </w:r>
      <w:r w:rsidR="00BD0D63">
        <w:rPr>
          <w:color w:val="000000"/>
        </w:rPr>
        <w:t xml:space="preserve">". </w:t>
      </w:r>
      <w:r w:rsidRPr="00BD0D63">
        <w:rPr>
          <w:color w:val="000000"/>
        </w:rPr>
        <w:t>Поскольку алкоголь угнетает выработку антидиуретического гормона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АДГ</w:t>
      </w:r>
      <w:r w:rsidR="00BD0D63" w:rsidRPr="00BD0D63">
        <w:rPr>
          <w:color w:val="000000"/>
        </w:rPr>
        <w:t>),</w:t>
      </w:r>
      <w:r w:rsidRPr="00BD0D63">
        <w:rPr>
          <w:color w:val="000000"/>
        </w:rPr>
        <w:t xml:space="preserve"> многие дегидратированы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Это в сочетании с вазодилатацией делает их склонными к гипотонии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У некоторых развивается гипотермия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Поскольку они уже частично</w:t>
      </w:r>
      <w:r w:rsidR="00BD0D63">
        <w:rPr>
          <w:color w:val="000000"/>
        </w:rPr>
        <w:t xml:space="preserve"> "</w:t>
      </w:r>
      <w:r w:rsidRPr="00BD0D63">
        <w:rPr>
          <w:color w:val="000000"/>
        </w:rPr>
        <w:t>анестезированы</w:t>
      </w:r>
      <w:r w:rsidR="00BD0D63">
        <w:rPr>
          <w:color w:val="000000"/>
        </w:rPr>
        <w:t xml:space="preserve">", </w:t>
      </w:r>
      <w:r w:rsidRPr="00BD0D63">
        <w:rPr>
          <w:color w:val="000000"/>
        </w:rPr>
        <w:t>минимальная альвеолярная концентрация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МАК</w:t>
      </w:r>
      <w:r w:rsidR="00BD0D63" w:rsidRPr="00BD0D63">
        <w:rPr>
          <w:color w:val="000000"/>
        </w:rPr>
        <w:t xml:space="preserve">) </w:t>
      </w:r>
      <w:r w:rsidRPr="00BD0D63">
        <w:rPr>
          <w:color w:val="000000"/>
        </w:rPr>
        <w:t>снижена, алкоголь оказывает поте</w:t>
      </w:r>
      <w:r w:rsidR="00C76DBD">
        <w:rPr>
          <w:color w:val="000000"/>
        </w:rPr>
        <w:t>нцирующее действие на кардиорес</w:t>
      </w:r>
      <w:r w:rsidRPr="00BD0D63">
        <w:rPr>
          <w:color w:val="000000"/>
        </w:rPr>
        <w:t>пираторные угнетающие эффекты седативных препаратов и наркотиков</w:t>
      </w:r>
      <w:r w:rsidR="00BD0D63" w:rsidRPr="00BD0D63">
        <w:rPr>
          <w:color w:val="000000"/>
        </w:rPr>
        <w:t xml:space="preserve">. </w:t>
      </w:r>
      <w:r w:rsidRPr="00BD0D63">
        <w:rPr>
          <w:color w:val="000000"/>
        </w:rPr>
        <w:t>Не следует нарушение сознания автоматически приписывать алкогольному опьянению, необходимо иметь высокую степень настороженности в отношении сопутствующей черепно-мозговой травмы или метаболических расстройств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лактат-ацидоз, алкогольный кетоацидоз, гипогликемия</w:t>
      </w:r>
      <w:r w:rsidR="00BD0D63" w:rsidRPr="00BD0D63">
        <w:rPr>
          <w:color w:val="000000"/>
        </w:rPr>
        <w:t xml:space="preserve">). </w:t>
      </w:r>
      <w:r w:rsidRPr="00BD0D63">
        <w:rPr>
          <w:color w:val="000000"/>
        </w:rPr>
        <w:t>Лабораторные исследования включают определение уровня алкоголя в крови, лекарственный скрининг</w:t>
      </w:r>
      <w:r w:rsidR="00BD0D63">
        <w:rPr>
          <w:color w:val="000000"/>
        </w:rPr>
        <w:t xml:space="preserve"> (</w:t>
      </w:r>
      <w:r w:rsidRPr="00BD0D63">
        <w:rPr>
          <w:color w:val="000000"/>
        </w:rPr>
        <w:t>распространенными являются полилекарственные отравления</w:t>
      </w:r>
      <w:r w:rsidR="00BD0D63" w:rsidRPr="00BD0D63">
        <w:rPr>
          <w:color w:val="000000"/>
        </w:rPr>
        <w:t>),</w:t>
      </w:r>
      <w:r w:rsidRPr="00BD0D63">
        <w:rPr>
          <w:color w:val="000000"/>
        </w:rPr>
        <w:t xml:space="preserve"> развернутый</w:t>
      </w:r>
      <w:r w:rsidR="005F2082" w:rsidRPr="00BD0D63">
        <w:rPr>
          <w:color w:val="000000"/>
        </w:rPr>
        <w:t xml:space="preserve"> </w:t>
      </w:r>
      <w:r w:rsidRPr="00BD0D63">
        <w:rPr>
          <w:color w:val="000000"/>
        </w:rPr>
        <w:t>клинический анализ крови, исследование электролитов, глюкозы, функциональных печеночных тестов, коагуляции, ЭКГ, уровня кальция, фосфора и магния</w:t>
      </w:r>
      <w:r w:rsidR="00BD0D63" w:rsidRPr="00BD0D63">
        <w:rPr>
          <w:color w:val="000000"/>
        </w:rPr>
        <w:t>.</w:t>
      </w:r>
    </w:p>
    <w:p w:rsidR="00BD0D63" w:rsidRDefault="005A3A52" w:rsidP="00BD0D63">
      <w:pPr>
        <w:rPr>
          <w:color w:val="000000"/>
        </w:rPr>
      </w:pPr>
      <w:r w:rsidRPr="00BD0D63">
        <w:rPr>
          <w:color w:val="000000"/>
        </w:rPr>
        <w:t>Большинство больных с острой интоксикацией являются хроническими алкоголиками и, следовательно, к ним относятся все особенности, подчеркнутые в вопросе 18</w:t>
      </w:r>
      <w:r w:rsidR="00BD0D63" w:rsidRPr="00BD0D63">
        <w:rPr>
          <w:color w:val="000000"/>
        </w:rPr>
        <w:t>.</w:t>
      </w:r>
      <w:bookmarkStart w:id="0" w:name="_GoBack"/>
      <w:bookmarkEnd w:id="0"/>
    </w:p>
    <w:sectPr w:rsidR="00BD0D63" w:rsidSect="00BD0D63">
      <w:headerReference w:type="default" r:id="rId12"/>
      <w:type w:val="continuous"/>
      <w:pgSz w:w="11905" w:h="16837"/>
      <w:pgMar w:top="1134" w:right="850" w:bottom="1134" w:left="1701" w:header="680" w:footer="567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9B4" w:rsidRDefault="00AE59B4">
      <w:r>
        <w:separator/>
      </w:r>
    </w:p>
  </w:endnote>
  <w:endnote w:type="continuationSeparator" w:id="0">
    <w:p w:rsidR="00AE59B4" w:rsidRDefault="00AE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9B4" w:rsidRDefault="00AE59B4">
      <w:r>
        <w:separator/>
      </w:r>
    </w:p>
  </w:footnote>
  <w:footnote w:type="continuationSeparator" w:id="0">
    <w:p w:rsidR="00AE59B4" w:rsidRDefault="00AE5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D63" w:rsidRDefault="00EB5BE7" w:rsidP="00BD0D63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BD0D63" w:rsidRDefault="00BD0D63" w:rsidP="00BD0D6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A62FB"/>
    <w:multiLevelType w:val="singleLevel"/>
    <w:tmpl w:val="F67EECAC"/>
    <w:lvl w:ilvl="0">
      <w:start w:val="8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2">
    <w:nsid w:val="22E44DFC"/>
    <w:multiLevelType w:val="singleLevel"/>
    <w:tmpl w:val="18B65FAC"/>
    <w:lvl w:ilvl="0">
      <w:start w:val="9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">
    <w:nsid w:val="233610B2"/>
    <w:multiLevelType w:val="singleLevel"/>
    <w:tmpl w:val="52D40D66"/>
    <w:lvl w:ilvl="0">
      <w:start w:val="16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262780"/>
    <w:multiLevelType w:val="singleLevel"/>
    <w:tmpl w:val="0D106002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>
    <w:nsid w:val="36355190"/>
    <w:multiLevelType w:val="singleLevel"/>
    <w:tmpl w:val="B226D54A"/>
    <w:lvl w:ilvl="0">
      <w:start w:val="18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7">
    <w:nsid w:val="401D691B"/>
    <w:multiLevelType w:val="singleLevel"/>
    <w:tmpl w:val="115C58CE"/>
    <w:lvl w:ilvl="0">
      <w:start w:val="17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8">
    <w:nsid w:val="42C40AB2"/>
    <w:multiLevelType w:val="singleLevel"/>
    <w:tmpl w:val="16FE6122"/>
    <w:lvl w:ilvl="0">
      <w:start w:val="1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9">
    <w:nsid w:val="4C1D319F"/>
    <w:multiLevelType w:val="singleLevel"/>
    <w:tmpl w:val="A78EA08C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10">
    <w:nsid w:val="4D7C436E"/>
    <w:multiLevelType w:val="singleLevel"/>
    <w:tmpl w:val="3FD065EC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1">
    <w:nsid w:val="56414EFE"/>
    <w:multiLevelType w:val="singleLevel"/>
    <w:tmpl w:val="7564E786"/>
    <w:lvl w:ilvl="0">
      <w:start w:val="6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12">
    <w:nsid w:val="607F3EBB"/>
    <w:multiLevelType w:val="singleLevel"/>
    <w:tmpl w:val="85BC0104"/>
    <w:lvl w:ilvl="0">
      <w:start w:val="14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3">
    <w:nsid w:val="62B808E3"/>
    <w:multiLevelType w:val="singleLevel"/>
    <w:tmpl w:val="58D2E70A"/>
    <w:lvl w:ilvl="0">
      <w:start w:val="7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14">
    <w:nsid w:val="64BB365A"/>
    <w:multiLevelType w:val="singleLevel"/>
    <w:tmpl w:val="8DCAE72A"/>
    <w:lvl w:ilvl="0">
      <w:start w:val="13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5">
    <w:nsid w:val="6E7E2D59"/>
    <w:multiLevelType w:val="singleLevel"/>
    <w:tmpl w:val="FADA0FBA"/>
    <w:lvl w:ilvl="0">
      <w:start w:val="10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2"/>
  </w:num>
  <w:num w:numId="7">
    <w:abstractNumId w:val="15"/>
  </w:num>
  <w:num w:numId="8">
    <w:abstractNumId w:val="9"/>
  </w:num>
  <w:num w:numId="9">
    <w:abstractNumId w:val="8"/>
  </w:num>
  <w:num w:numId="10">
    <w:abstractNumId w:val="14"/>
  </w:num>
  <w:num w:numId="11">
    <w:abstractNumId w:val="12"/>
  </w:num>
  <w:num w:numId="12">
    <w:abstractNumId w:val="3"/>
  </w:num>
  <w:num w:numId="13">
    <w:abstractNumId w:val="7"/>
  </w:num>
  <w:num w:numId="14">
    <w:abstractNumId w:val="6"/>
  </w:num>
  <w:num w:numId="15">
    <w:abstractNumId w:val="4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897"/>
    <w:rsid w:val="00007897"/>
    <w:rsid w:val="0024649E"/>
    <w:rsid w:val="003975EF"/>
    <w:rsid w:val="00534EEC"/>
    <w:rsid w:val="005A3A52"/>
    <w:rsid w:val="005F2082"/>
    <w:rsid w:val="005F60CC"/>
    <w:rsid w:val="00703F98"/>
    <w:rsid w:val="00867DE3"/>
    <w:rsid w:val="00AE59B4"/>
    <w:rsid w:val="00B90643"/>
    <w:rsid w:val="00BB23C4"/>
    <w:rsid w:val="00BD0D63"/>
    <w:rsid w:val="00C76DBD"/>
    <w:rsid w:val="00CA2437"/>
    <w:rsid w:val="00E422ED"/>
    <w:rsid w:val="00EB5BE7"/>
    <w:rsid w:val="00EC360B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1A0280F6-FBFB-4DE9-AA73-83883933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D0D6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D0D6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D0D6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D0D6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D0D6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D0D6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D0D6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D0D6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D0D6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BD0D6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BD0D6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customStyle="1" w:styleId="a9">
    <w:name w:val="выделение"/>
    <w:uiPriority w:val="99"/>
    <w:rsid w:val="00BD0D6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styleId="a7">
    <w:name w:val="Body Text"/>
    <w:basedOn w:val="a2"/>
    <w:link w:val="aa"/>
    <w:uiPriority w:val="99"/>
    <w:rsid w:val="00BD0D63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BD0D63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Hyperlink"/>
    <w:uiPriority w:val="99"/>
    <w:rsid w:val="00BD0D63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c"/>
    <w:uiPriority w:val="99"/>
    <w:rsid w:val="00BD0D6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c">
    <w:name w:val="Body Text Indent"/>
    <w:basedOn w:val="a2"/>
    <w:link w:val="ad"/>
    <w:uiPriority w:val="99"/>
    <w:rsid w:val="00BD0D63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8"/>
      <w:szCs w:val="28"/>
    </w:rPr>
  </w:style>
  <w:style w:type="character" w:styleId="ae">
    <w:name w:val="endnote reference"/>
    <w:uiPriority w:val="99"/>
    <w:semiHidden/>
    <w:rsid w:val="00BD0D63"/>
    <w:rPr>
      <w:rFonts w:cs="Times New Roman"/>
      <w:vertAlign w:val="superscript"/>
    </w:rPr>
  </w:style>
  <w:style w:type="paragraph" w:styleId="af">
    <w:name w:val="Plain Text"/>
    <w:basedOn w:val="a2"/>
    <w:link w:val="11"/>
    <w:uiPriority w:val="99"/>
    <w:rsid w:val="00BD0D63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1">
    <w:name w:val="footer"/>
    <w:basedOn w:val="a2"/>
    <w:link w:val="12"/>
    <w:uiPriority w:val="99"/>
    <w:semiHidden/>
    <w:rsid w:val="00BD0D63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uiPriority w:val="99"/>
    <w:semiHidden/>
    <w:rsid w:val="00BD0D63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D0D63"/>
    <w:pPr>
      <w:numPr>
        <w:numId w:val="15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BD0D63"/>
    <w:rPr>
      <w:rFonts w:cs="Times New Roman"/>
    </w:rPr>
  </w:style>
  <w:style w:type="character" w:customStyle="1" w:styleId="af5">
    <w:name w:val="номер страницы"/>
    <w:uiPriority w:val="99"/>
    <w:rsid w:val="00BD0D63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BD0D6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D0D6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D0D6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D0D6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D0D6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D0D63"/>
    <w:pPr>
      <w:ind w:left="958"/>
    </w:pPr>
  </w:style>
  <w:style w:type="paragraph" w:styleId="23">
    <w:name w:val="Body Text Indent 2"/>
    <w:basedOn w:val="a2"/>
    <w:link w:val="24"/>
    <w:uiPriority w:val="99"/>
    <w:rsid w:val="00BD0D6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D0D6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BD0D6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D0D6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D0D63"/>
    <w:pPr>
      <w:numPr>
        <w:numId w:val="1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D0D63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D0D6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D0D6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D0D6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D0D63"/>
    <w:rPr>
      <w:i/>
      <w:iCs/>
    </w:rPr>
  </w:style>
  <w:style w:type="paragraph" w:customStyle="1" w:styleId="af9">
    <w:name w:val="ТАБЛИЦА"/>
    <w:next w:val="a2"/>
    <w:autoRedefine/>
    <w:uiPriority w:val="99"/>
    <w:rsid w:val="00BD0D63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BD0D63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BD0D63"/>
  </w:style>
  <w:style w:type="table" w:customStyle="1" w:styleId="15">
    <w:name w:val="Стиль таблицы1"/>
    <w:uiPriority w:val="99"/>
    <w:rsid w:val="00BD0D6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BD0D63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BD0D63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BD0D63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BD0D6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3711</Words>
  <Characters>21157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Diapsalmata</Company>
  <LinksUpToDate>false</LinksUpToDate>
  <CharactersWithSpaces>24819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Diapsalmata</dc:creator>
  <cp:keywords/>
  <dc:description/>
  <cp:lastModifiedBy>admin</cp:lastModifiedBy>
  <cp:revision>2</cp:revision>
  <dcterms:created xsi:type="dcterms:W3CDTF">2014-02-25T07:39:00Z</dcterms:created>
  <dcterms:modified xsi:type="dcterms:W3CDTF">2014-02-25T07:39:00Z</dcterms:modified>
</cp:coreProperties>
</file>