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8E" w:rsidRPr="00253CEE" w:rsidRDefault="00093D8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093D8E" w:rsidRPr="00253CEE" w:rsidRDefault="00093D8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093D8E" w:rsidRPr="00253CEE" w:rsidRDefault="00093D8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093D8E" w:rsidRPr="00253CEE" w:rsidRDefault="00093D8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093D8E" w:rsidRDefault="00093D8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Default="00253CEE" w:rsidP="00253CEE">
      <w:pPr>
        <w:pStyle w:val="Style2"/>
        <w:keepNext/>
        <w:spacing w:line="360" w:lineRule="auto"/>
        <w:ind w:firstLine="720"/>
        <w:jc w:val="both"/>
        <w:rPr>
          <w:rStyle w:val="FontStyle21"/>
          <w:b w:val="0"/>
          <w:sz w:val="28"/>
        </w:rPr>
      </w:pPr>
    </w:p>
    <w:p w:rsidR="00253CEE" w:rsidRPr="00253CEE" w:rsidRDefault="00253CEE" w:rsidP="00253CEE">
      <w:pPr>
        <w:pStyle w:val="Style2"/>
        <w:keepNext/>
        <w:spacing w:line="360" w:lineRule="auto"/>
        <w:ind w:firstLine="720"/>
        <w:jc w:val="center"/>
        <w:rPr>
          <w:rStyle w:val="FontStyle21"/>
          <w:sz w:val="28"/>
        </w:rPr>
      </w:pPr>
    </w:p>
    <w:p w:rsidR="00093D8E" w:rsidRPr="00253CEE" w:rsidRDefault="00093D8E" w:rsidP="00253CEE">
      <w:pPr>
        <w:pStyle w:val="Style2"/>
        <w:keepNext/>
        <w:spacing w:line="360" w:lineRule="auto"/>
        <w:ind w:firstLine="720"/>
        <w:jc w:val="center"/>
        <w:rPr>
          <w:rStyle w:val="FontStyle21"/>
          <w:sz w:val="28"/>
        </w:rPr>
      </w:pPr>
      <w:r w:rsidRPr="00253CEE">
        <w:rPr>
          <w:rStyle w:val="FontStyle21"/>
          <w:sz w:val="28"/>
        </w:rPr>
        <w:t>Контрольная работа</w:t>
      </w:r>
    </w:p>
    <w:p w:rsidR="00921D0C" w:rsidRPr="00253CEE" w:rsidRDefault="00093D8E" w:rsidP="00253CEE">
      <w:pPr>
        <w:pStyle w:val="Style2"/>
        <w:keepNext/>
        <w:spacing w:line="360" w:lineRule="auto"/>
        <w:ind w:firstLine="720"/>
        <w:jc w:val="center"/>
        <w:rPr>
          <w:rStyle w:val="FontStyle21"/>
          <w:sz w:val="28"/>
        </w:rPr>
      </w:pPr>
      <w:r w:rsidRPr="00253CEE">
        <w:rPr>
          <w:rStyle w:val="FontStyle21"/>
          <w:sz w:val="28"/>
        </w:rPr>
        <w:t>"Премедикация"</w:t>
      </w:r>
    </w:p>
    <w:p w:rsidR="00921D0C" w:rsidRPr="00253CEE" w:rsidRDefault="00093D8E" w:rsidP="00253CEE">
      <w:pPr>
        <w:pStyle w:val="Style2"/>
        <w:keepNext/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1"/>
          <w:b w:val="0"/>
          <w:sz w:val="28"/>
        </w:rPr>
        <w:br w:type="page"/>
      </w:r>
      <w:r w:rsidR="00253CEE" w:rsidRPr="00253CEE">
        <w:rPr>
          <w:rStyle w:val="FontStyle28"/>
          <w:sz w:val="28"/>
        </w:rPr>
        <w:t xml:space="preserve">1 </w:t>
      </w:r>
      <w:r w:rsidR="00921D0C" w:rsidRPr="00253CEE">
        <w:rPr>
          <w:rStyle w:val="FontStyle28"/>
          <w:sz w:val="28"/>
        </w:rPr>
        <w:t>Каковы цели премедикации?</w:t>
      </w:r>
    </w:p>
    <w:p w:rsidR="00253CEE" w:rsidRDefault="00253CEE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</w:p>
    <w:p w:rsidR="00921D0C" w:rsidRPr="00253CEE" w:rsidRDefault="00921D0C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Создание психологического комфорта для больного:</w:t>
      </w:r>
    </w:p>
    <w:p w:rsidR="00921D0C" w:rsidRPr="00253CEE" w:rsidRDefault="00921D0C" w:rsidP="00253CEE">
      <w:pPr>
        <w:pStyle w:val="Style8"/>
        <w:keepNext/>
        <w:numPr>
          <w:ilvl w:val="0"/>
          <w:numId w:val="2"/>
        </w:numPr>
        <w:tabs>
          <w:tab w:val="left" w:pos="63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Устранение тревоги.</w:t>
      </w:r>
    </w:p>
    <w:p w:rsidR="00921D0C" w:rsidRPr="00253CEE" w:rsidRDefault="00921D0C" w:rsidP="00253CEE">
      <w:pPr>
        <w:pStyle w:val="Style8"/>
        <w:keepNext/>
        <w:numPr>
          <w:ilvl w:val="0"/>
          <w:numId w:val="2"/>
        </w:numPr>
        <w:tabs>
          <w:tab w:val="left" w:pos="63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Седация.</w:t>
      </w:r>
    </w:p>
    <w:p w:rsidR="00921D0C" w:rsidRPr="00253CEE" w:rsidRDefault="00921D0C" w:rsidP="00253CEE">
      <w:pPr>
        <w:pStyle w:val="Style8"/>
        <w:keepNext/>
        <w:numPr>
          <w:ilvl w:val="0"/>
          <w:numId w:val="2"/>
        </w:numPr>
        <w:tabs>
          <w:tab w:val="left" w:pos="63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Амнезия.</w:t>
      </w:r>
    </w:p>
    <w:p w:rsidR="00921D0C" w:rsidRPr="00253CEE" w:rsidRDefault="00921D0C" w:rsidP="00253CEE">
      <w:pPr>
        <w:pStyle w:val="Style8"/>
        <w:keepNext/>
        <w:numPr>
          <w:ilvl w:val="0"/>
          <w:numId w:val="2"/>
        </w:numPr>
        <w:tabs>
          <w:tab w:val="left" w:pos="63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Аналгезия.</w:t>
      </w:r>
    </w:p>
    <w:p w:rsidR="00921D0C" w:rsidRPr="00253CEE" w:rsidRDefault="00921D0C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Снижение объема и повышение рН желудочного содержимого. Снижение бронхиальной секреции. Снижение частоты развития тошноты и рвоты.</w:t>
      </w:r>
    </w:p>
    <w:p w:rsidR="00921D0C" w:rsidRDefault="00921D0C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Уменьшение вегетативных реакций (со стороны и симпатической, и парасимпатической систем). Профилактика аллергических реакций. Продолжающаяся терапия сопутствующего заболевания. Предупреждение инфекции.</w:t>
      </w:r>
    </w:p>
    <w:p w:rsidR="00253CEE" w:rsidRPr="00253CEE" w:rsidRDefault="00253CEE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</w:p>
    <w:p w:rsidR="00921D0C" w:rsidRPr="00253CEE" w:rsidRDefault="00921D0C" w:rsidP="00253CEE">
      <w:pPr>
        <w:pStyle w:val="Style10"/>
        <w:keepNext/>
        <w:numPr>
          <w:ilvl w:val="0"/>
          <w:numId w:val="3"/>
        </w:numPr>
        <w:tabs>
          <w:tab w:val="left" w:pos="284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Перечислите препараты, чаще всего используе</w:t>
      </w:r>
      <w:r w:rsidR="00253CEE">
        <w:rPr>
          <w:rStyle w:val="FontStyle28"/>
          <w:sz w:val="28"/>
        </w:rPr>
        <w:t>мые для премедикации, и их дозы</w:t>
      </w:r>
    </w:p>
    <w:p w:rsidR="00253CEE" w:rsidRPr="00253CEE" w:rsidRDefault="00253CEE" w:rsidP="00253CEE">
      <w:pPr>
        <w:pStyle w:val="Style10"/>
        <w:keepNext/>
        <w:tabs>
          <w:tab w:val="left" w:pos="284"/>
        </w:tabs>
        <w:spacing w:line="360" w:lineRule="auto"/>
        <w:ind w:left="720"/>
        <w:rPr>
          <w:rStyle w:val="FontStyle28"/>
          <w:b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6"/>
        <w:gridCol w:w="1393"/>
        <w:gridCol w:w="1796"/>
        <w:gridCol w:w="2786"/>
      </w:tblGrid>
      <w:tr w:rsidR="00093D8E" w:rsidRPr="00253CEE" w:rsidTr="00921D0C">
        <w:tc>
          <w:tcPr>
            <w:tcW w:w="16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ПРЕПАРАТ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ДОЗА*</w:t>
            </w:r>
          </w:p>
        </w:tc>
        <w:tc>
          <w:tcPr>
            <w:tcW w:w="17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ПУТЬ ВВЕДЕНИЯ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ПОКАЗАНИЯ</w:t>
            </w:r>
          </w:p>
        </w:tc>
      </w:tr>
      <w:tr w:rsidR="00093D8E" w:rsidRPr="00253CEE" w:rsidTr="00921D0C">
        <w:tc>
          <w:tcPr>
            <w:tcW w:w="16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Скополамин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5—8 мкг/кг</w:t>
            </w:r>
          </w:p>
        </w:tc>
        <w:tc>
          <w:tcPr>
            <w:tcW w:w="1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в/м или в/в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Ранитидин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1-3 мг/кг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п/о или в/в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Н</w:t>
            </w:r>
            <w:r w:rsidRPr="00253CEE">
              <w:rPr>
                <w:rStyle w:val="FontStyle24"/>
                <w:sz w:val="20"/>
                <w:szCs w:val="20"/>
                <w:vertAlign w:val="subscript"/>
              </w:rPr>
              <w:t>2</w:t>
            </w:r>
            <w:r w:rsidRPr="00253CEE">
              <w:rPr>
                <w:rStyle w:val="FontStyle24"/>
                <w:sz w:val="20"/>
                <w:szCs w:val="20"/>
              </w:rPr>
              <w:t>-блокада</w:t>
            </w: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Циметидин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2-4 мг/кг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в/м, в/в или п/о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Н</w:t>
            </w:r>
            <w:r w:rsidRPr="00253CEE">
              <w:rPr>
                <w:rStyle w:val="FontStyle24"/>
                <w:sz w:val="20"/>
                <w:szCs w:val="20"/>
                <w:vertAlign w:val="subscript"/>
              </w:rPr>
              <w:t>2</w:t>
            </w:r>
            <w:r w:rsidRPr="00253CEE">
              <w:rPr>
                <w:rStyle w:val="FontStyle24"/>
                <w:sz w:val="20"/>
                <w:szCs w:val="20"/>
              </w:rPr>
              <w:t>-блокада</w:t>
            </w: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Метоклопрамид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(церукал)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0,1-0,25 мг/кг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в/м, в/в или п/о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Профилактика</w:t>
            </w: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Антациды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аспирации</w:t>
            </w:r>
          </w:p>
        </w:tc>
      </w:tr>
      <w:tr w:rsidR="00093D8E" w:rsidRPr="00253CEE" w:rsidTr="00921D0C">
        <w:tc>
          <w:tcPr>
            <w:tcW w:w="16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(без твердых частиц)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30 мл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п/о (для взрослых)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21D0C" w:rsidRPr="00253CEE" w:rsidRDefault="00921D0C" w:rsidP="00253CEE">
      <w:pPr>
        <w:pStyle w:val="Style3"/>
        <w:keepNext/>
        <w:spacing w:line="360" w:lineRule="auto"/>
        <w:ind w:firstLine="720"/>
        <w:jc w:val="both"/>
        <w:rPr>
          <w:rStyle w:val="FontStyle22"/>
          <w:rFonts w:ascii="Times New Roman" w:hAnsi="Times New Roman" w:cs="Times New Roman"/>
          <w:i w:val="0"/>
          <w:sz w:val="28"/>
          <w:lang w:val="en-US" w:eastAsia="en-US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4"/>
        </w:numPr>
        <w:tabs>
          <w:tab w:val="left" w:pos="270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Какие факторы всегда следует принимать во внимание при назначении премедикации больному?</w:t>
      </w:r>
    </w:p>
    <w:p w:rsidR="00253CEE" w:rsidRDefault="00253CEE" w:rsidP="00253CEE">
      <w:pPr>
        <w:pStyle w:val="Style5"/>
        <w:keepNext/>
        <w:spacing w:line="360" w:lineRule="auto"/>
        <w:ind w:firstLine="720"/>
        <w:jc w:val="both"/>
        <w:rPr>
          <w:rStyle w:val="FontStyle23"/>
          <w:b w:val="0"/>
          <w:i w:val="0"/>
          <w:sz w:val="28"/>
          <w:szCs w:val="28"/>
        </w:rPr>
      </w:pPr>
    </w:p>
    <w:p w:rsidR="00093D8E" w:rsidRDefault="00093D8E" w:rsidP="00253CEE">
      <w:pPr>
        <w:pStyle w:val="Style5"/>
        <w:keepNext/>
        <w:spacing w:line="360" w:lineRule="auto"/>
        <w:ind w:firstLine="720"/>
        <w:jc w:val="both"/>
        <w:rPr>
          <w:rStyle w:val="FontStyle23"/>
          <w:b w:val="0"/>
          <w:i w:val="0"/>
          <w:sz w:val="28"/>
          <w:szCs w:val="28"/>
        </w:rPr>
      </w:pPr>
      <w:r w:rsidRPr="00253CEE">
        <w:rPr>
          <w:rStyle w:val="FontStyle23"/>
          <w:b w:val="0"/>
          <w:i w:val="0"/>
          <w:sz w:val="28"/>
          <w:szCs w:val="28"/>
        </w:rPr>
        <w:t>Препараты, часто используемые для премедикации: дозы, пути введения и показания</w:t>
      </w:r>
    </w:p>
    <w:p w:rsidR="00253CEE" w:rsidRPr="00253CEE" w:rsidRDefault="00253CEE" w:rsidP="00253CEE">
      <w:pPr>
        <w:pStyle w:val="Style5"/>
        <w:keepNext/>
        <w:spacing w:line="360" w:lineRule="auto"/>
        <w:ind w:firstLine="720"/>
        <w:jc w:val="both"/>
        <w:rPr>
          <w:rStyle w:val="FontStyle23"/>
          <w:b w:val="0"/>
          <w:i w:val="0"/>
          <w:sz w:val="28"/>
          <w:szCs w:val="28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129"/>
        <w:gridCol w:w="1995"/>
        <w:gridCol w:w="2736"/>
      </w:tblGrid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ПРЕПАРАТ Мидазолам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2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ДОЗА* 0,5-2,0 мг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4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ПУТЬ ВВЕДЕНИЯ Внутривенно (в/в)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7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ПОКАЗАНИЯ Седация, амнезия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"/>
              <w:keepNext/>
              <w:spacing w:line="360" w:lineRule="auto"/>
              <w:ind w:hanging="23"/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0,05-0,1 мг/кг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6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Внутримышечно (в/м)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</w:tr>
      <w:tr w:rsidR="00093D8E" w:rsidRPr="002B4F26" w:rsidTr="002B4F26">
        <w:trPr>
          <w:trHeight w:val="474"/>
        </w:trPr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"/>
              <w:keepNext/>
              <w:spacing w:line="360" w:lineRule="auto"/>
              <w:ind w:hanging="23"/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6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0,5-1,0мг/кг (максимум: 20 мг)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Перорально (п/о)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"/>
              <w:keepNext/>
              <w:spacing w:line="360" w:lineRule="auto"/>
              <w:ind w:hanging="23"/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0,2-0,3 мг/кг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Интраназально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Диазепам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5-20 мг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п/о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Метогекситал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25 мг/кг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Ректально (р)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 в педиатрии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Кетамин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1—2 мг/кг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в/м, в/в или п/о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Седация, аналгезия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Морфин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0,1-0,2 мг/кг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в/м или в/в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Аналгезия, седация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Дроперидол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5-100 м кг/кг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в/в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Нейролепсия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Атропин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5-20 мкг/кг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в/м или в/в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Ваголитическое действие</w:t>
            </w:r>
          </w:p>
        </w:tc>
      </w:tr>
      <w:tr w:rsidR="00093D8E" w:rsidRPr="002B4F26" w:rsidTr="002B4F26">
        <w:tc>
          <w:tcPr>
            <w:tcW w:w="1297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Гликопирролат</w:t>
            </w:r>
          </w:p>
        </w:tc>
        <w:tc>
          <w:tcPr>
            <w:tcW w:w="2129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2—5 мкг/кг</w:t>
            </w:r>
          </w:p>
        </w:tc>
        <w:tc>
          <w:tcPr>
            <w:tcW w:w="1995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в/м или в/в</w:t>
            </w:r>
          </w:p>
        </w:tc>
        <w:tc>
          <w:tcPr>
            <w:tcW w:w="2736" w:type="dxa"/>
            <w:shd w:val="clear" w:color="auto" w:fill="auto"/>
          </w:tcPr>
          <w:p w:rsidR="00093D8E" w:rsidRPr="002B4F26" w:rsidRDefault="00093D8E" w:rsidP="002B4F26">
            <w:pPr>
              <w:pStyle w:val="Style11"/>
              <w:keepNext/>
              <w:spacing w:line="360" w:lineRule="auto"/>
              <w:ind w:hanging="23"/>
              <w:jc w:val="both"/>
              <w:rPr>
                <w:rStyle w:val="FontStyle24"/>
                <w:sz w:val="20"/>
                <w:szCs w:val="20"/>
              </w:rPr>
            </w:pPr>
            <w:r w:rsidRPr="002B4F26">
              <w:rPr>
                <w:rStyle w:val="FontStyle24"/>
                <w:sz w:val="20"/>
                <w:szCs w:val="20"/>
              </w:rPr>
              <w:t>Уменьшение слюноотделения</w:t>
            </w:r>
          </w:p>
        </w:tc>
      </w:tr>
    </w:tbl>
    <w:p w:rsidR="00093D8E" w:rsidRPr="00253CEE" w:rsidRDefault="00093D8E" w:rsidP="00253CEE">
      <w:pPr>
        <w:pStyle w:val="Style18"/>
        <w:keepNext/>
        <w:tabs>
          <w:tab w:val="left" w:pos="3866"/>
        </w:tabs>
        <w:spacing w:line="360" w:lineRule="auto"/>
        <w:ind w:firstLine="720"/>
        <w:jc w:val="both"/>
        <w:rPr>
          <w:rStyle w:val="FontStyle25"/>
          <w:sz w:val="28"/>
        </w:rPr>
      </w:pPr>
    </w:p>
    <w:p w:rsidR="00921D0C" w:rsidRPr="00253CEE" w:rsidRDefault="00921D0C" w:rsidP="00253CEE">
      <w:pPr>
        <w:pStyle w:val="Style18"/>
        <w:keepNext/>
        <w:tabs>
          <w:tab w:val="left" w:pos="3866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Физикальный статус (оцененный</w:t>
      </w:r>
      <w:r w:rsid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 xml:space="preserve">Предшествующие эпизоды </w:t>
      </w:r>
      <w:r w:rsid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>тошноты</w:t>
      </w:r>
      <w:r w:rsidR="00093D8E" w:rsidRPr="00253CEE">
        <w:rPr>
          <w:rStyle w:val="FontStyle25"/>
          <w:sz w:val="28"/>
        </w:rPr>
        <w:t xml:space="preserve"> и рвоты, связанные с анестезией</w:t>
      </w:r>
    </w:p>
    <w:p w:rsidR="00093D8E" w:rsidRPr="00253CEE" w:rsidRDefault="00921D0C" w:rsidP="00253CEE">
      <w:pPr>
        <w:pStyle w:val="Style18"/>
        <w:keepNext/>
        <w:tabs>
          <w:tab w:val="left" w:pos="4248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по классификации Американского</w:t>
      </w:r>
      <w:r w:rsidR="00093D8E" w:rsidRPr="00253CEE">
        <w:rPr>
          <w:rStyle w:val="FontStyle25"/>
          <w:sz w:val="28"/>
        </w:rPr>
        <w:t xml:space="preserve"> </w:t>
      </w:r>
    </w:p>
    <w:p w:rsidR="00921D0C" w:rsidRPr="00253CEE" w:rsidRDefault="00921D0C" w:rsidP="00253CEE">
      <w:pPr>
        <w:pStyle w:val="Style18"/>
        <w:keepNext/>
        <w:tabs>
          <w:tab w:val="left" w:pos="4248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общества анестезиологов [</w:t>
      </w:r>
      <w:r w:rsidRPr="00253CEE">
        <w:rPr>
          <w:rStyle w:val="FontStyle25"/>
          <w:sz w:val="28"/>
          <w:lang w:val="en-US"/>
        </w:rPr>
        <w:t>ASA</w:t>
      </w:r>
      <w:r w:rsidRPr="00253CEE">
        <w:rPr>
          <w:rStyle w:val="FontStyle25"/>
          <w:sz w:val="28"/>
        </w:rPr>
        <w:t>])</w:t>
      </w:r>
    </w:p>
    <w:p w:rsidR="00921D0C" w:rsidRPr="00253CEE" w:rsidRDefault="00921D0C" w:rsidP="00253CEE">
      <w:pPr>
        <w:pStyle w:val="Style18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Возраст и вес Аллергии</w:t>
      </w:r>
    </w:p>
    <w:p w:rsidR="00093D8E" w:rsidRPr="00253CEE" w:rsidRDefault="00921D0C" w:rsidP="00253CEE">
      <w:pPr>
        <w:pStyle w:val="Style18"/>
        <w:keepNext/>
        <w:tabs>
          <w:tab w:val="left" w:pos="4162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Степень беспокойства и выраженности</w:t>
      </w:r>
      <w:r w:rsidRPr="00253CEE">
        <w:rPr>
          <w:rStyle w:val="FontStyle25"/>
          <w:sz w:val="28"/>
        </w:rPr>
        <w:tab/>
        <w:t>Стационарное или амбулаторное</w:t>
      </w:r>
      <w:r w:rsidR="00093D8E" w:rsidRP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 xml:space="preserve">болевого синдрома лечение </w:t>
      </w:r>
    </w:p>
    <w:p w:rsidR="00921D0C" w:rsidRPr="00253CEE" w:rsidRDefault="00921D0C" w:rsidP="00253CEE">
      <w:pPr>
        <w:pStyle w:val="Style18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Данные о предшествующем использовании Запланированная </w:t>
      </w:r>
      <w:r w:rsidR="00093D8E" w:rsidRPr="00253CEE">
        <w:rPr>
          <w:rStyle w:val="FontStyle25"/>
          <w:sz w:val="28"/>
        </w:rPr>
        <w:t>препаратов или злоупотреблении ими операция</w:t>
      </w:r>
      <w:r w:rsidR="00093D8E" w:rsidRPr="00253CEE">
        <w:rPr>
          <w:rStyle w:val="FontStyle25"/>
          <w:sz w:val="28"/>
        </w:rPr>
        <w:tab/>
      </w:r>
      <w:r w:rsid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>хирургическая</w:t>
      </w:r>
    </w:p>
    <w:p w:rsidR="00093D8E" w:rsidRPr="00253CEE" w:rsidRDefault="00093D8E" w:rsidP="00253CEE">
      <w:pPr>
        <w:pStyle w:val="Style18"/>
        <w:keepNext/>
        <w:spacing w:line="360" w:lineRule="auto"/>
        <w:ind w:firstLine="720"/>
        <w:jc w:val="both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5"/>
        </w:numPr>
        <w:tabs>
          <w:tab w:val="left" w:pos="270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Какие факторы ограничивают использование препаратов с депрессорными свойствами?</w:t>
      </w:r>
    </w:p>
    <w:p w:rsidR="00093D8E" w:rsidRPr="00253CEE" w:rsidRDefault="00093D8E" w:rsidP="00253CEE">
      <w:pPr>
        <w:pStyle w:val="Style18"/>
        <w:keepNext/>
        <w:spacing w:line="360" w:lineRule="auto"/>
        <w:ind w:firstLine="720"/>
        <w:jc w:val="both"/>
        <w:rPr>
          <w:rStyle w:val="FontStyle25"/>
          <w:sz w:val="28"/>
        </w:rPr>
      </w:pPr>
    </w:p>
    <w:p w:rsidR="00921D0C" w:rsidRPr="00253CEE" w:rsidRDefault="00921D0C" w:rsidP="00253CEE">
      <w:pPr>
        <w:pStyle w:val="Style18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Пожилой возраст.</w:t>
      </w:r>
    </w:p>
    <w:p w:rsidR="00921D0C" w:rsidRPr="00253CEE" w:rsidRDefault="00921D0C" w:rsidP="00253CEE">
      <w:pPr>
        <w:pStyle w:val="Style9"/>
        <w:keepNext/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Травмы черепа или нарушенный психический статус. Минимальные сердечные или легочные резервы. Гиповолемия. Полный желудок.</w:t>
      </w:r>
    </w:p>
    <w:p w:rsidR="00093D8E" w:rsidRPr="00253CEE" w:rsidRDefault="00093D8E" w:rsidP="00253CEE">
      <w:pPr>
        <w:pStyle w:val="Style9"/>
        <w:keepNext/>
        <w:spacing w:line="360" w:lineRule="auto"/>
        <w:ind w:firstLine="720"/>
        <w:jc w:val="center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6"/>
        </w:numPr>
        <w:tabs>
          <w:tab w:val="left" w:pos="270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>Что подразумевается под психологической подготовкой? Каким в идеале должно быть состояние больного при поступлении в операционный блок для плановой операции?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Психологическая подготовка начинается с обнадеживающей предоперационной беседы анестезиолога и больного, в которой пациенту разъясняются все ожидаемые события и даются ответы на все его вопросы. В идеале, перед плановой операцией больной должен быть спокойным, седатированным, легко пробуждаемым и способным к сотрудничеству.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7"/>
        </w:numPr>
        <w:tabs>
          <w:tab w:val="left" w:pos="270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>Почему объем и рН желудочного содержимого являются предметами особого интереса анестезиолога? Каким образом на них может повлиять премедикация?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Приблизительно у 40</w:t>
      </w:r>
      <w:r w:rsidR="00093D8E" w:rsidRPr="00253CEE">
        <w:rPr>
          <w:rStyle w:val="FontStyle25"/>
          <w:sz w:val="28"/>
        </w:rPr>
        <w:t>-</w:t>
      </w:r>
      <w:r w:rsidRPr="00253CEE">
        <w:rPr>
          <w:rStyle w:val="FontStyle25"/>
          <w:sz w:val="28"/>
        </w:rPr>
        <w:t>80% пациентов, которым планируются плановые операции, имеется риск развития аспирационного пневмонита, если объем желудочного содержимого &gt;25 мл с рН &lt;2,5 (синдром Мендельсона). Ожидается, что преднаркозные мероприятия, направленные на снижение желудочного объема и повышение рН, будут снижать частоту и тяжесть аспирации.</w:t>
      </w:r>
    </w:p>
    <w:p w:rsidR="00921D0C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Жидкие антациды (без твердых частиц) повышают рН желудочного содержимого и обладают немедленным действием; тем не менее, для лучшего результата необходимо применять Нг-блокаторы, если имеется примерно 8 ч до начала анестезии. Метоклопрамид (церукал) улучшает моторику желудка и расслабляет привратник, таким образом способствуя опорожнению желудка. Метоклопрамид обладает также центральным действием как антиеметик. Метоклопрамид действует в пределах 1—4 мин, если вводится внутривенно, и в пределах 30—60 мин — при пероральном применении.</w:t>
      </w:r>
    </w:p>
    <w:p w:rsidR="00253CEE" w:rsidRPr="00253CEE" w:rsidRDefault="00253CE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8"/>
        </w:numPr>
        <w:tabs>
          <w:tab w:val="left" w:pos="270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 xml:space="preserve">Назовите факторы, при наличии которых следует рассмотреть возможности применения препаратов, описанных в вопросе </w:t>
      </w:r>
      <w:r w:rsidR="00253CEE">
        <w:rPr>
          <w:rStyle w:val="FontStyle25"/>
          <w:sz w:val="28"/>
        </w:rPr>
        <w:t>6</w:t>
      </w:r>
    </w:p>
    <w:p w:rsidR="00093D8E" w:rsidRPr="00253CEE" w:rsidRDefault="00093D8E" w:rsidP="00253CEE">
      <w:pPr>
        <w:pStyle w:val="Style9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</w:p>
    <w:p w:rsidR="00093D8E" w:rsidRPr="00253CEE" w:rsidRDefault="00921D0C" w:rsidP="00253CEE">
      <w:pPr>
        <w:pStyle w:val="Style9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Беременность </w:t>
      </w:r>
    </w:p>
    <w:p w:rsidR="00093D8E" w:rsidRPr="00253CEE" w:rsidRDefault="00921D0C" w:rsidP="00253CEE">
      <w:pPr>
        <w:pStyle w:val="Style9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Травма</w:t>
      </w:r>
      <w:r w:rsidR="00093D8E" w:rsidRP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>Ожирение</w:t>
      </w:r>
    </w:p>
    <w:p w:rsidR="00921D0C" w:rsidRPr="00253CEE" w:rsidRDefault="00921D0C" w:rsidP="00253CEE">
      <w:pPr>
        <w:pStyle w:val="Style9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Сахарный диабет</w:t>
      </w:r>
    </w:p>
    <w:p w:rsidR="00093D8E" w:rsidRPr="00253CEE" w:rsidRDefault="00921D0C" w:rsidP="00253CEE">
      <w:pPr>
        <w:pStyle w:val="Style18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Применение опиатов</w:t>
      </w:r>
    </w:p>
    <w:p w:rsidR="00921D0C" w:rsidRPr="00253CEE" w:rsidRDefault="00921D0C" w:rsidP="00253CEE">
      <w:pPr>
        <w:pStyle w:val="Style18"/>
        <w:keepNext/>
        <w:tabs>
          <w:tab w:val="left" w:pos="3110"/>
        </w:tabs>
        <w:spacing w:line="360" w:lineRule="auto"/>
        <w:ind w:firstLine="720"/>
        <w:jc w:val="both"/>
        <w:rPr>
          <w:rStyle w:val="FontStyle25"/>
          <w:sz w:val="28"/>
        </w:rPr>
      </w:pPr>
      <w:r w:rsidRPr="00253CEE">
        <w:rPr>
          <w:rStyle w:val="FontStyle25"/>
          <w:sz w:val="28"/>
        </w:rPr>
        <w:t>Предполагаемые трудности при интубации</w:t>
      </w:r>
    </w:p>
    <w:p w:rsidR="00093D8E" w:rsidRPr="00253CEE" w:rsidRDefault="00921D0C" w:rsidP="00253CEE">
      <w:pPr>
        <w:pStyle w:val="Style13"/>
        <w:keepNext/>
        <w:tabs>
          <w:tab w:val="left" w:pos="3146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Боль</w:t>
      </w:r>
    </w:p>
    <w:p w:rsidR="00921D0C" w:rsidRPr="00253CEE" w:rsidRDefault="00921D0C" w:rsidP="00253CEE">
      <w:pPr>
        <w:pStyle w:val="Style13"/>
        <w:keepNext/>
        <w:tabs>
          <w:tab w:val="left" w:pos="3146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Кишечная непроходимость</w:t>
      </w:r>
    </w:p>
    <w:p w:rsidR="00093D8E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Алкоголь</w:t>
      </w:r>
    </w:p>
    <w:p w:rsidR="00921D0C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Повышенное внутрибрюшное давление</w:t>
      </w:r>
    </w:p>
    <w:p w:rsidR="00093D8E" w:rsidRPr="00253CEE" w:rsidRDefault="00093D8E" w:rsidP="00253CEE">
      <w:pPr>
        <w:pStyle w:val="Style13"/>
        <w:keepNext/>
        <w:tabs>
          <w:tab w:val="left" w:pos="3143"/>
        </w:tabs>
        <w:spacing w:line="360" w:lineRule="auto"/>
        <w:ind w:firstLine="720"/>
        <w:jc w:val="center"/>
        <w:rPr>
          <w:rStyle w:val="FontStyle25"/>
          <w:b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9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Назовите наиболее распространенные побочные эффекты опиоидов при использовании их в премедикации.</w:t>
      </w:r>
    </w:p>
    <w:p w:rsidR="00093D8E" w:rsidRPr="00253CEE" w:rsidRDefault="00093D8E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</w:p>
    <w:p w:rsidR="00093D8E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Кожный зуд</w:t>
      </w:r>
    </w:p>
    <w:p w:rsidR="00921D0C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Освобождение гистамина</w:t>
      </w:r>
    </w:p>
    <w:p w:rsidR="00093D8E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Тошнота и рвота</w:t>
      </w:r>
    </w:p>
    <w:p w:rsidR="00921D0C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Замедление опорожнения желудка</w:t>
      </w:r>
    </w:p>
    <w:p w:rsidR="00093D8E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Угнетение дыхания</w:t>
      </w:r>
    </w:p>
    <w:p w:rsidR="00921D0C" w:rsidRPr="00253CEE" w:rsidRDefault="00921D0C" w:rsidP="00253CEE">
      <w:pPr>
        <w:pStyle w:val="Style13"/>
        <w:keepNext/>
        <w:tabs>
          <w:tab w:val="left" w:pos="3143"/>
        </w:tabs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Синдром ригидной грудной клетки</w:t>
      </w:r>
    </w:p>
    <w:p w:rsidR="00093D8E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Ортостатическая гипотония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Спазм сфинктера Одди</w:t>
      </w:r>
    </w:p>
    <w:p w:rsidR="00921D0C" w:rsidRPr="00253CEE" w:rsidRDefault="00253CEE" w:rsidP="00253CEE">
      <w:pPr>
        <w:pStyle w:val="Style19"/>
        <w:keepNext/>
        <w:numPr>
          <w:ilvl w:val="0"/>
          <w:numId w:val="10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>
        <w:rPr>
          <w:rStyle w:val="FontStyle28"/>
          <w:b w:val="0"/>
          <w:sz w:val="28"/>
        </w:rPr>
        <w:br w:type="page"/>
      </w:r>
      <w:r w:rsidR="00921D0C" w:rsidRPr="00253CEE">
        <w:rPr>
          <w:rStyle w:val="FontStyle28"/>
          <w:sz w:val="28"/>
        </w:rPr>
        <w:t>Зачем в премедикацию включают антихолинергические препараты? Назовите три наибол</w:t>
      </w:r>
      <w:r>
        <w:rPr>
          <w:rStyle w:val="FontStyle28"/>
          <w:sz w:val="28"/>
        </w:rPr>
        <w:t>ее часто используемых препарата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Включение антихолинергических средств в премедикацию не является обязательным и должно соотноситься с потребностями пациента. Цель их использования — ваголитический эффект с уменьшением слюноотделения, а также седация, амнезия и антиеметический эффекты. К трем наиболее распространенным антихолинергическим препаратам относятся атропин, скополамин и гликопирролат. Подавление слюноотделения имеет огромное значение при проведении интубации с помощью фиброоптической техники. Уменьшение секреции в сочетании с местной анестезией способствуют лучшей визуализации и локализации анатомических структур. Ваголитический эффект может снижать реактивность дыхательных путей.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1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Каковы потенциальные возможности антихолинергических препаратов и их относительная эффективность?</w:t>
      </w:r>
    </w:p>
    <w:p w:rsidR="00253CEE" w:rsidRPr="00253CEE" w:rsidRDefault="00253CEE" w:rsidP="00253CEE">
      <w:pPr>
        <w:pStyle w:val="Style19"/>
        <w:keepNext/>
        <w:tabs>
          <w:tab w:val="left" w:pos="288"/>
        </w:tabs>
        <w:spacing w:line="360" w:lineRule="auto"/>
        <w:ind w:left="720"/>
        <w:rPr>
          <w:rStyle w:val="FontStyle28"/>
          <w:b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1220"/>
        <w:gridCol w:w="1793"/>
        <w:gridCol w:w="2131"/>
      </w:tblGrid>
      <w:tr w:rsidR="00093D8E" w:rsidRPr="00253CEE" w:rsidTr="00921D0C">
        <w:tc>
          <w:tcPr>
            <w:tcW w:w="2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АТРОПИН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СКОПОЛАМИН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ГЛИКОПИРРОЛАТ</w:t>
            </w:r>
          </w:p>
        </w:tc>
      </w:tr>
      <w:tr w:rsidR="00093D8E" w:rsidRPr="00253CEE" w:rsidTr="00921D0C">
        <w:tc>
          <w:tcPr>
            <w:tcW w:w="2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Тахикардия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+++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</w:t>
            </w:r>
          </w:p>
        </w:tc>
      </w:tr>
      <w:tr w:rsidR="00093D8E" w:rsidRPr="00253CEE" w:rsidTr="00921D0C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Подавление слюноотделения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+++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</w:t>
            </w:r>
          </w:p>
        </w:tc>
      </w:tr>
      <w:tr w:rsidR="00093D8E" w:rsidRPr="00253CEE" w:rsidTr="00921D0C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Седация, амнезия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+++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0</w:t>
            </w:r>
          </w:p>
        </w:tc>
      </w:tr>
      <w:tr w:rsidR="00093D8E" w:rsidRPr="00253CEE" w:rsidTr="00921D0C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Нейротоксичность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7"/>
              <w:keepNext/>
              <w:spacing w:line="360" w:lineRule="auto"/>
              <w:jc w:val="both"/>
              <w:rPr>
                <w:rStyle w:val="FontStyle27"/>
                <w:spacing w:val="0"/>
                <w:sz w:val="20"/>
                <w:szCs w:val="20"/>
              </w:rPr>
            </w:pPr>
            <w:r w:rsidRPr="00253CEE">
              <w:rPr>
                <w:rStyle w:val="FontStyle27"/>
                <w:spacing w:val="0"/>
                <w:sz w:val="20"/>
                <w:szCs w:val="20"/>
              </w:rPr>
              <w:t>+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0</w:t>
            </w:r>
          </w:p>
        </w:tc>
      </w:tr>
      <w:tr w:rsidR="00093D8E" w:rsidRPr="00253CEE" w:rsidTr="00921D0C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Расслабление нижнего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093D8E" w:rsidRPr="00253CEE" w:rsidRDefault="00093D8E" w:rsidP="00253CEE">
            <w:pPr>
              <w:pStyle w:val="Style1"/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93D8E" w:rsidRPr="00253CEE" w:rsidTr="00921D0C">
        <w:tc>
          <w:tcPr>
            <w:tcW w:w="2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6"/>
              <w:keepNext/>
              <w:spacing w:line="360" w:lineRule="auto"/>
              <w:jc w:val="both"/>
              <w:rPr>
                <w:rStyle w:val="FontStyle24"/>
                <w:sz w:val="20"/>
                <w:szCs w:val="20"/>
              </w:rPr>
            </w:pPr>
            <w:r w:rsidRPr="00253CEE">
              <w:rPr>
                <w:rStyle w:val="FontStyle24"/>
                <w:sz w:val="20"/>
                <w:szCs w:val="20"/>
              </w:rPr>
              <w:t>пищеводного сфинктера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17"/>
              <w:keepNext/>
              <w:spacing w:line="360" w:lineRule="auto"/>
              <w:jc w:val="both"/>
              <w:rPr>
                <w:rStyle w:val="FontStyle27"/>
                <w:spacing w:val="0"/>
                <w:sz w:val="20"/>
                <w:szCs w:val="20"/>
              </w:rPr>
            </w:pPr>
            <w:r w:rsidRPr="00253CEE">
              <w:rPr>
                <w:rStyle w:val="FontStyle27"/>
                <w:spacing w:val="0"/>
                <w:sz w:val="20"/>
                <w:szCs w:val="20"/>
              </w:rPr>
              <w:t>++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3D8E" w:rsidRPr="00253CEE" w:rsidRDefault="00093D8E" w:rsidP="00253CEE">
            <w:pPr>
              <w:pStyle w:val="Style16"/>
              <w:keepNext/>
              <w:spacing w:line="360" w:lineRule="auto"/>
              <w:jc w:val="both"/>
              <w:rPr>
                <w:rStyle w:val="FontStyle26"/>
                <w:b w:val="0"/>
                <w:spacing w:val="0"/>
                <w:sz w:val="20"/>
                <w:szCs w:val="20"/>
              </w:rPr>
            </w:pPr>
            <w:r w:rsidRPr="00253CEE">
              <w:rPr>
                <w:rStyle w:val="FontStyle26"/>
                <w:b w:val="0"/>
                <w:spacing w:val="0"/>
                <w:sz w:val="20"/>
                <w:szCs w:val="20"/>
              </w:rPr>
              <w:t>++</w:t>
            </w:r>
          </w:p>
        </w:tc>
      </w:tr>
    </w:tbl>
    <w:p w:rsidR="00093D8E" w:rsidRPr="00253CEE" w:rsidRDefault="00093D8E" w:rsidP="00253CEE">
      <w:pPr>
        <w:pStyle w:val="Style15"/>
        <w:keepNext/>
        <w:spacing w:line="360" w:lineRule="auto"/>
        <w:ind w:firstLine="720"/>
        <w:rPr>
          <w:rStyle w:val="FontStyle25"/>
          <w:sz w:val="28"/>
          <w:szCs w:val="24"/>
        </w:rPr>
      </w:pPr>
      <w:r w:rsidRPr="00253CEE">
        <w:rPr>
          <w:rStyle w:val="FontStyle24"/>
          <w:sz w:val="28"/>
          <w:szCs w:val="24"/>
        </w:rPr>
        <w:t xml:space="preserve">0 </w:t>
      </w:r>
      <w:r w:rsidRPr="00253CEE">
        <w:rPr>
          <w:rStyle w:val="FontStyle25"/>
          <w:sz w:val="28"/>
          <w:szCs w:val="24"/>
        </w:rPr>
        <w:t>— нулевой; + — средний; ++ — умеренный; +++ — явный.</w:t>
      </w:r>
    </w:p>
    <w:p w:rsidR="00093D8E" w:rsidRPr="00253CEE" w:rsidRDefault="00093D8E" w:rsidP="00253CEE">
      <w:pPr>
        <w:pStyle w:val="Style5"/>
        <w:keepNext/>
        <w:spacing w:line="360" w:lineRule="auto"/>
        <w:ind w:firstLine="720"/>
        <w:jc w:val="both"/>
        <w:rPr>
          <w:rStyle w:val="FontStyle23"/>
          <w:b w:val="0"/>
          <w:i w:val="0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2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Перечислите основные побочные эффекты</w:t>
      </w:r>
      <w:r w:rsidR="00253CEE">
        <w:rPr>
          <w:rStyle w:val="FontStyle28"/>
          <w:sz w:val="28"/>
        </w:rPr>
        <w:t xml:space="preserve"> антихолинергических препаратов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Побочные эффекты, встречающиеся при применении антихолинергических препаратов, включают: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Токсическое воздействие на ЦНС.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Снижение тонуса нижнего пищеводного сфинктера.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Мидриаз и циклоплегию.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Увеличение физиологического мертвого пространства.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Снижение потоотделения.</w:t>
      </w:r>
    </w:p>
    <w:p w:rsidR="00921D0C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Гипертермию.</w:t>
      </w:r>
    </w:p>
    <w:p w:rsidR="00253CEE" w:rsidRPr="00253CEE" w:rsidRDefault="00253CE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3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Объясните, почему гликопирролат не обладает побочным действием на ЦНС?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Гликопирролат по химической </w:t>
      </w:r>
      <w:r w:rsidR="00253CEE" w:rsidRPr="00253CEE">
        <w:rPr>
          <w:rStyle w:val="FontStyle25"/>
          <w:sz w:val="28"/>
        </w:rPr>
        <w:t>структуре</w:t>
      </w:r>
      <w:r w:rsidRPr="00253CEE">
        <w:rPr>
          <w:rStyle w:val="FontStyle25"/>
          <w:sz w:val="28"/>
        </w:rPr>
        <w:t xml:space="preserve"> — положительно заряженный четвертичный амин, поэтому не способен проникать через гематоэнцефалический барьер (ГЭБ). Третичные амины заряжены нейтрально и проходят через ГЭБ, оказывая влияние на ЦНС.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4"/>
        </w:numPr>
        <w:tabs>
          <w:tab w:val="left" w:pos="288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У больного в предоперационной развился делирий после введения лишь 0,4 мг скополамина в качестве премедикации. Какова причи</w:t>
      </w:r>
      <w:r w:rsidR="00253CEE">
        <w:rPr>
          <w:rStyle w:val="FontStyle28"/>
          <w:sz w:val="28"/>
        </w:rPr>
        <w:t>на делирия? Опишите его лечение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Наиболее вероятная причина делирия — центральный антихолинергический криз. К препаратам, устраняющим действие антихолинергических средств, относятся неостигмин, пиридостигмин и физостигмин. Физостигмин — единственный из ингибиторов ацетилхолинэ-стеразы, который проникает через ГЭБ и, следовательно, единственный препарат, купирующий антихолинергический криз. Доза физостигмина </w:t>
      </w:r>
      <w:r w:rsidRPr="00253CEE">
        <w:rPr>
          <w:rStyle w:val="FontStyle29"/>
          <w:rFonts w:ascii="Times New Roman" w:hAnsi="Times New Roman" w:cs="Times New Roman"/>
          <w:b w:val="0"/>
          <w:sz w:val="28"/>
        </w:rPr>
        <w:t xml:space="preserve">— </w:t>
      </w:r>
      <w:r w:rsidRPr="00253CEE">
        <w:rPr>
          <w:rStyle w:val="FontStyle24"/>
          <w:sz w:val="28"/>
        </w:rPr>
        <w:t xml:space="preserve">1 </w:t>
      </w:r>
      <w:r w:rsidRPr="00253CEE">
        <w:rPr>
          <w:rStyle w:val="FontStyle25"/>
          <w:sz w:val="28"/>
        </w:rPr>
        <w:t xml:space="preserve">мг, вводится медленно; повторную дозу можно вводить через </w:t>
      </w:r>
      <w:r w:rsidRPr="00253CEE">
        <w:rPr>
          <w:rStyle w:val="FontStyle24"/>
          <w:sz w:val="28"/>
        </w:rPr>
        <w:t xml:space="preserve">15 </w:t>
      </w:r>
      <w:r w:rsidRPr="00253CEE">
        <w:rPr>
          <w:rStyle w:val="FontStyle25"/>
          <w:sz w:val="28"/>
        </w:rPr>
        <w:t>мин.</w:t>
      </w:r>
    </w:p>
    <w:p w:rsidR="00921D0C" w:rsidRPr="00253CEE" w:rsidRDefault="00253CEE" w:rsidP="00253CEE">
      <w:pPr>
        <w:pStyle w:val="Style19"/>
        <w:keepNext/>
        <w:numPr>
          <w:ilvl w:val="0"/>
          <w:numId w:val="15"/>
        </w:numPr>
        <w:tabs>
          <w:tab w:val="left" w:pos="266"/>
        </w:tabs>
        <w:spacing w:line="360" w:lineRule="auto"/>
        <w:ind w:firstLine="720"/>
        <w:jc w:val="center"/>
        <w:rPr>
          <w:rStyle w:val="FontStyle25"/>
          <w:sz w:val="28"/>
        </w:rPr>
      </w:pPr>
      <w:r>
        <w:rPr>
          <w:rStyle w:val="FontStyle28"/>
          <w:b w:val="0"/>
          <w:sz w:val="28"/>
        </w:rPr>
        <w:br w:type="page"/>
      </w:r>
      <w:r w:rsidR="00921D0C" w:rsidRPr="00253CEE">
        <w:rPr>
          <w:rStyle w:val="FontStyle28"/>
          <w:sz w:val="28"/>
        </w:rPr>
        <w:t>Когда необходимо использовать премедикацию, направленную на подавление реактивности симпатической нервной системы (СНС)? Какие способы доступны?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У больных с гипертензией может отмечаться выраженное повышение АД после или во время ларингоскопии или интубации. При ишемической болезни сердца пациенты обычно плохо переносят тахикардию, связанную с введением инструментов в поверхностно анестезированные дыхательные пути. Таким больных может быть полезна премедикация, подавляющая активность СНС.</w:t>
      </w: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К препаратам, воздействие которых на СНС может быть успешно использовано, относятся клонидин (клофелин), (3-блокаторы и опиоиды в высоких дозах. Последние в составе премедикации применяться не могут из-за их угнетающего действия на дыхание. Клофелин — центральный агагонист и подавляет рефлекторные реакции, проявляющиеся повышением АД и ЧСС и возникающие под воздействием опасных импульсов, а также снижает потребность в ингаляционных и внутривенных анестетиках до 40% при пероральной премедикации в дозе </w:t>
      </w:r>
      <w:r w:rsidRPr="00253CEE">
        <w:rPr>
          <w:rStyle w:val="FontStyle24"/>
          <w:sz w:val="28"/>
        </w:rPr>
        <w:t xml:space="preserve">5 </w:t>
      </w:r>
      <w:r w:rsidRPr="00253CEE">
        <w:rPr>
          <w:rStyle w:val="FontStyle25"/>
          <w:sz w:val="28"/>
        </w:rPr>
        <w:t>мкг/кг. Клофелин может вызывать значительную брадикардию и гипотонию при сочетании с р-блокаторами или антагонистами кальция и может быть причиной выраженной седации и сонливости в послеоперационном периоде.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6"/>
        </w:numPr>
        <w:tabs>
          <w:tab w:val="left" w:pos="266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>Какие препараты применяются для профилактики аллергических реакций?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Н</w:t>
      </w:r>
      <w:r w:rsidRPr="00253CEE">
        <w:rPr>
          <w:rStyle w:val="FontStyle25"/>
          <w:sz w:val="28"/>
          <w:vertAlign w:val="subscript"/>
        </w:rPr>
        <w:t>г</w:t>
      </w:r>
      <w:r w:rsidRPr="00253CEE">
        <w:rPr>
          <w:rStyle w:val="FontStyle25"/>
          <w:sz w:val="28"/>
        </w:rPr>
        <w:t>блокаторы (дифенгидрамин) и Н</w:t>
      </w:r>
      <w:r w:rsidRPr="00253CEE">
        <w:rPr>
          <w:rStyle w:val="FontStyle25"/>
          <w:sz w:val="28"/>
          <w:vertAlign w:val="subscript"/>
        </w:rPr>
        <w:t>2</w:t>
      </w:r>
      <w:r w:rsidRPr="00253CEE">
        <w:rPr>
          <w:rStyle w:val="FontStyle25"/>
          <w:sz w:val="28"/>
        </w:rPr>
        <w:t>-блокаторы (ранитидин и циметидин) вместе с кортикостероидами могут быть использованы для профилактики аллергических реакций; тем не менее, эффективность их не доказана.</w:t>
      </w:r>
    </w:p>
    <w:p w:rsidR="00921D0C" w:rsidRPr="00253CEE" w:rsidRDefault="00253CEE" w:rsidP="00253CEE">
      <w:pPr>
        <w:pStyle w:val="Style19"/>
        <w:keepNext/>
        <w:numPr>
          <w:ilvl w:val="0"/>
          <w:numId w:val="17"/>
        </w:numPr>
        <w:tabs>
          <w:tab w:val="left" w:pos="266"/>
        </w:tabs>
        <w:spacing w:line="360" w:lineRule="auto"/>
        <w:ind w:firstLine="720"/>
        <w:jc w:val="center"/>
        <w:rPr>
          <w:rStyle w:val="FontStyle25"/>
          <w:sz w:val="28"/>
        </w:rPr>
      </w:pPr>
      <w:r>
        <w:rPr>
          <w:rStyle w:val="FontStyle28"/>
          <w:b w:val="0"/>
          <w:sz w:val="28"/>
        </w:rPr>
        <w:br w:type="page"/>
      </w:r>
      <w:r w:rsidR="00921D0C" w:rsidRPr="00253CEE">
        <w:rPr>
          <w:rStyle w:val="FontStyle28"/>
          <w:sz w:val="28"/>
        </w:rPr>
        <w:t>Почему премедикация имеет особое значение в педиатрической практике?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Премедикация у детей особенно важна, так как детей трудно подготовить психологически к нахождению в операционном блоке. Разлучение с родителями и страх уколов могут быть причиной выраженного беспокойства. Поэтому большинству детей проводится пероральная седация до начала анестезии. Кроме того, у детей высокий тонус блуждающего нерва, поэтому для них характерна парадоксальная реакция в виде брадикардии на ларингоскопию, в то время как у взрослых обычно развивается тахикардия. В связи с этим маленьким детям, находящимся под воздействием анестетиков, непосредственно перед ларингоскопией внутривенно или внутримышечно вводят антихолинергические препараты.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8"/>
        </w:numPr>
        <w:tabs>
          <w:tab w:val="left" w:pos="266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>В каком возрасте и на какой стадии развития ребенку необходима седация?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 xml:space="preserve">Детям следует проводить седацию, начиная примерно с 6-месячного возраста, поскольку именно в этом возрасте у них развивается чувство тревоги при разлучении. До возраста </w:t>
      </w:r>
      <w:r w:rsidRPr="00253CEE">
        <w:rPr>
          <w:rStyle w:val="FontStyle28"/>
          <w:b w:val="0"/>
          <w:sz w:val="28"/>
        </w:rPr>
        <w:t xml:space="preserve">6 </w:t>
      </w:r>
      <w:r w:rsidRPr="00253CEE">
        <w:rPr>
          <w:rStyle w:val="FontStyle25"/>
          <w:sz w:val="28"/>
        </w:rPr>
        <w:t>мес. большинство детей не реагируют негативно на разлучение с их родителями.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9"/>
        <w:keepNext/>
        <w:numPr>
          <w:ilvl w:val="0"/>
          <w:numId w:val="19"/>
        </w:numPr>
        <w:tabs>
          <w:tab w:val="left" w:pos="266"/>
        </w:tabs>
        <w:spacing w:line="360" w:lineRule="auto"/>
        <w:ind w:firstLine="720"/>
        <w:jc w:val="center"/>
        <w:rPr>
          <w:rStyle w:val="FontStyle25"/>
          <w:sz w:val="28"/>
        </w:rPr>
      </w:pPr>
      <w:r w:rsidRPr="00253CEE">
        <w:rPr>
          <w:rStyle w:val="FontStyle28"/>
          <w:sz w:val="28"/>
        </w:rPr>
        <w:t>Имеются ли особенности премедикации у беременных женщин?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Большинство хирургических вмешательств у беременных женщин в плановом порядке не выполняются; тем не менее, необходимость анестезии в этих случаях не является необычной.</w:t>
      </w:r>
    </w:p>
    <w:p w:rsidR="00921D0C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Психологическая подготовка может оказывать большое влияние. Бензодиазепины и закись азота обладают тератогенным действием, и поэтому в течение I триместра беременности применяться не должны. Считается, что опиоиды относительно безопасны, но так как большинство препаратов относится к классу С по беременности (не протестированные у беременных), обычно пытаются снизить до минимума дозы всех препаратов, вводимых в предоперационном периоде и во время операции. В идеале, следует проводить регионарную анестезию, когда это возможно, применяя единственный местный анестетик. Большинство</w:t>
      </w:r>
      <w:r w:rsidR="00253CEE">
        <w:rPr>
          <w:rStyle w:val="FontStyle25"/>
          <w:sz w:val="28"/>
        </w:rPr>
        <w:t xml:space="preserve"> </w:t>
      </w:r>
      <w:r w:rsidRPr="00253CEE">
        <w:rPr>
          <w:rStyle w:val="FontStyle25"/>
          <w:sz w:val="28"/>
        </w:rPr>
        <w:t>беременных женщин соглашаются с таким планом, когда анестезиолог объясняет им моменты, касающиеся состояния плода.</w:t>
      </w:r>
    </w:p>
    <w:p w:rsidR="00253CEE" w:rsidRPr="00253CEE" w:rsidRDefault="00253CE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0"/>
        <w:keepNext/>
        <w:numPr>
          <w:ilvl w:val="0"/>
          <w:numId w:val="20"/>
        </w:numPr>
        <w:tabs>
          <w:tab w:val="left" w:pos="292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Назовите антиеметики, введение которых в состав премедикации приводит к отмене плано</w:t>
      </w:r>
      <w:r w:rsidR="00253CEE">
        <w:rPr>
          <w:rStyle w:val="FontStyle28"/>
          <w:sz w:val="28"/>
        </w:rPr>
        <w:t>вого оперативного вмешательства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Дроперидол, один из бутирофенонов, — антагонист допамина, являющийся потенциальным антиеметическим препаратом. При его использовании у пациента может развиться крайняя степень дисфории и испуга, что ведет к отмене оперативного вмешательства. Этот феномен обычно развивается при обособленном назначении препарата; тем не менее, он может развиться у пациентов, получивших вместе с дроперидолом фентанил (</w:t>
      </w:r>
      <w:r w:rsidRPr="00253CEE">
        <w:rPr>
          <w:rStyle w:val="FontStyle25"/>
          <w:sz w:val="28"/>
          <w:lang w:val="en-US"/>
        </w:rPr>
        <w:t>Innovar</w:t>
      </w:r>
      <w:r w:rsidRPr="00253CEE">
        <w:rPr>
          <w:rStyle w:val="FontStyle25"/>
          <w:sz w:val="28"/>
        </w:rPr>
        <w:t>). Автор рекомендует перед введением дроперидола по возможности использовать бензодиазе-пины.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921D0C" w:rsidRPr="00253CEE" w:rsidRDefault="00921D0C" w:rsidP="00253CEE">
      <w:pPr>
        <w:pStyle w:val="Style10"/>
        <w:keepNext/>
        <w:numPr>
          <w:ilvl w:val="0"/>
          <w:numId w:val="21"/>
        </w:numPr>
        <w:tabs>
          <w:tab w:val="left" w:pos="292"/>
        </w:tabs>
        <w:spacing w:line="360" w:lineRule="auto"/>
        <w:ind w:firstLine="720"/>
        <w:jc w:val="center"/>
        <w:rPr>
          <w:rStyle w:val="FontStyle28"/>
          <w:sz w:val="28"/>
        </w:rPr>
      </w:pPr>
      <w:r w:rsidRPr="00253CEE">
        <w:rPr>
          <w:rStyle w:val="FontStyle28"/>
          <w:sz w:val="28"/>
        </w:rPr>
        <w:t>Какую предоперационную подготовку необходимо провести пациенту с патологическим ожирением, у которого возможны трудности при интубации? Предполагается,</w:t>
      </w:r>
      <w:r w:rsidR="00253CEE">
        <w:rPr>
          <w:rStyle w:val="FontStyle28"/>
          <w:sz w:val="28"/>
        </w:rPr>
        <w:t xml:space="preserve"> что в остальном пациент здоров</w:t>
      </w:r>
    </w:p>
    <w:p w:rsidR="00093D8E" w:rsidRPr="00253CEE" w:rsidRDefault="00093D8E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</w:p>
    <w:p w:rsidR="00093D8E" w:rsidRPr="00253CEE" w:rsidRDefault="00921D0C" w:rsidP="00253CEE">
      <w:pPr>
        <w:pStyle w:val="Style13"/>
        <w:keepNext/>
        <w:spacing w:line="360" w:lineRule="auto"/>
        <w:ind w:firstLine="720"/>
        <w:rPr>
          <w:rStyle w:val="FontStyle25"/>
          <w:sz w:val="28"/>
        </w:rPr>
      </w:pPr>
      <w:r w:rsidRPr="00253CEE">
        <w:rPr>
          <w:rStyle w:val="FontStyle25"/>
          <w:sz w:val="28"/>
        </w:rPr>
        <w:t>Считается, что больной с патологическим ожирением имеет полный желудок. Следовательно, накануне вечером и утром в день операции назначаются Н</w:t>
      </w:r>
      <w:r w:rsidRPr="00253CEE">
        <w:rPr>
          <w:rStyle w:val="FontStyle25"/>
          <w:sz w:val="28"/>
          <w:vertAlign w:val="subscript"/>
        </w:rPr>
        <w:t>2</w:t>
      </w:r>
      <w:r w:rsidRPr="00253CEE">
        <w:rPr>
          <w:rStyle w:val="FontStyle25"/>
          <w:sz w:val="28"/>
        </w:rPr>
        <w:t>-блокаторы, а перед операцией вводят метоклопрамид и пероральные антациды. При плановой фибробронхоскопии вводят гликопирролат. Он улучшает визуализацию за счет уменьшения секреции, повышает эффективность поверхностной местной анестезии и снижает реактивность дыхательных путей. Следует благоразумно рассчитывать глубину седации использованием наркотических средств, бензодиазепинов и дроперидола, дополнительно применяя ингаляции кислорода и проводя тщательное наблюдение за сохранением сознания и соответствующими реакциями, обеспечивающими защиту дыхательных путей.</w:t>
      </w:r>
      <w:bookmarkStart w:id="0" w:name="_GoBack"/>
      <w:bookmarkEnd w:id="0"/>
    </w:p>
    <w:sectPr w:rsidR="00093D8E" w:rsidRPr="00253CEE" w:rsidSect="00253CEE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26" w:rsidRDefault="002B4F26">
      <w:r>
        <w:separator/>
      </w:r>
    </w:p>
  </w:endnote>
  <w:endnote w:type="continuationSeparator" w:id="0">
    <w:p w:rsidR="002B4F26" w:rsidRDefault="002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26" w:rsidRDefault="002B4F26">
      <w:r>
        <w:separator/>
      </w:r>
    </w:p>
  </w:footnote>
  <w:footnote w:type="continuationSeparator" w:id="0">
    <w:p w:rsidR="002B4F26" w:rsidRDefault="002B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4CCD08"/>
    <w:lvl w:ilvl="0">
      <w:numFmt w:val="bullet"/>
      <w:lvlText w:val="*"/>
      <w:lvlJc w:val="left"/>
    </w:lvl>
  </w:abstractNum>
  <w:abstractNum w:abstractNumId="1">
    <w:nsid w:val="02842CFF"/>
    <w:multiLevelType w:val="singleLevel"/>
    <w:tmpl w:val="09A2D4C8"/>
    <w:lvl w:ilvl="0">
      <w:start w:val="1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3BA0BD4"/>
    <w:multiLevelType w:val="singleLevel"/>
    <w:tmpl w:val="F51842AA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CF35BEE"/>
    <w:multiLevelType w:val="singleLevel"/>
    <w:tmpl w:val="E2EABF82"/>
    <w:lvl w:ilvl="0">
      <w:start w:val="5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4">
    <w:nsid w:val="1EDF1431"/>
    <w:multiLevelType w:val="singleLevel"/>
    <w:tmpl w:val="038A064C"/>
    <w:lvl w:ilvl="0">
      <w:start w:val="1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52253D8"/>
    <w:multiLevelType w:val="singleLevel"/>
    <w:tmpl w:val="B3241B9C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55327E5"/>
    <w:multiLevelType w:val="singleLevel"/>
    <w:tmpl w:val="46766B32"/>
    <w:lvl w:ilvl="0">
      <w:start w:val="19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272F6138"/>
    <w:multiLevelType w:val="singleLevel"/>
    <w:tmpl w:val="D72C4076"/>
    <w:lvl w:ilvl="0">
      <w:start w:val="4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8">
    <w:nsid w:val="2D9B5E5D"/>
    <w:multiLevelType w:val="singleLevel"/>
    <w:tmpl w:val="AC027642"/>
    <w:lvl w:ilvl="0">
      <w:start w:val="17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EF75843"/>
    <w:multiLevelType w:val="singleLevel"/>
    <w:tmpl w:val="7B78083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48121BFE"/>
    <w:multiLevelType w:val="singleLevel"/>
    <w:tmpl w:val="32E290E4"/>
    <w:lvl w:ilvl="0">
      <w:start w:val="6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1">
    <w:nsid w:val="4BBC3FFD"/>
    <w:multiLevelType w:val="singleLevel"/>
    <w:tmpl w:val="04A0B894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4FC32F0A"/>
    <w:multiLevelType w:val="singleLevel"/>
    <w:tmpl w:val="8EB40CB2"/>
    <w:lvl w:ilvl="0">
      <w:start w:val="16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3">
    <w:nsid w:val="509945FC"/>
    <w:multiLevelType w:val="singleLevel"/>
    <w:tmpl w:val="3A6CC46E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15A3C9E"/>
    <w:multiLevelType w:val="singleLevel"/>
    <w:tmpl w:val="9544D598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3DD7C30"/>
    <w:multiLevelType w:val="singleLevel"/>
    <w:tmpl w:val="0040F264"/>
    <w:lvl w:ilvl="0">
      <w:start w:val="1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CDF1B70"/>
    <w:multiLevelType w:val="singleLevel"/>
    <w:tmpl w:val="A8E04A8C"/>
    <w:lvl w:ilvl="0">
      <w:start w:val="1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7">
    <w:nsid w:val="5E3138A3"/>
    <w:multiLevelType w:val="singleLevel"/>
    <w:tmpl w:val="2E4A2A78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2BE336A"/>
    <w:multiLevelType w:val="singleLevel"/>
    <w:tmpl w:val="62A0F136"/>
    <w:lvl w:ilvl="0">
      <w:start w:val="3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9">
    <w:nsid w:val="743C6EDD"/>
    <w:multiLevelType w:val="singleLevel"/>
    <w:tmpl w:val="7472A6E6"/>
    <w:lvl w:ilvl="0">
      <w:start w:val="7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454141B"/>
    <w:multiLevelType w:val="singleLevel"/>
    <w:tmpl w:val="FF8C460C"/>
    <w:lvl w:ilvl="0">
      <w:start w:val="2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3"/>
  </w:num>
  <w:num w:numId="7">
    <w:abstractNumId w:val="10"/>
  </w:num>
  <w:num w:numId="8">
    <w:abstractNumId w:val="19"/>
  </w:num>
  <w:num w:numId="9">
    <w:abstractNumId w:val="17"/>
  </w:num>
  <w:num w:numId="10">
    <w:abstractNumId w:val="11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8E"/>
    <w:rsid w:val="00093D8E"/>
    <w:rsid w:val="00140E7B"/>
    <w:rsid w:val="00253CEE"/>
    <w:rsid w:val="002B4F26"/>
    <w:rsid w:val="005C1592"/>
    <w:rsid w:val="00921D0C"/>
    <w:rsid w:val="00991DA8"/>
    <w:rsid w:val="00B47741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AF7DDC-68F0-4A19-8953-EE08EAD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74" w:lineRule="exact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184" w:lineRule="exact"/>
    </w:pPr>
  </w:style>
  <w:style w:type="paragraph" w:customStyle="1" w:styleId="Style7">
    <w:name w:val="Style7"/>
    <w:basedOn w:val="a"/>
    <w:pPr>
      <w:spacing w:line="277" w:lineRule="exact"/>
      <w:ind w:firstLine="479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212" w:lineRule="exact"/>
    </w:pPr>
  </w:style>
  <w:style w:type="paragraph" w:customStyle="1" w:styleId="Style10">
    <w:name w:val="Style10"/>
    <w:basedOn w:val="a"/>
    <w:pPr>
      <w:jc w:val="both"/>
    </w:pPr>
  </w:style>
  <w:style w:type="paragraph" w:customStyle="1" w:styleId="Style11">
    <w:name w:val="Style11"/>
    <w:basedOn w:val="a"/>
    <w:pPr>
      <w:spacing w:line="277" w:lineRule="exact"/>
      <w:ind w:firstLine="252"/>
    </w:pPr>
  </w:style>
  <w:style w:type="paragraph" w:customStyle="1" w:styleId="Style12">
    <w:name w:val="Style12"/>
    <w:basedOn w:val="a"/>
    <w:pPr>
      <w:spacing w:line="274" w:lineRule="exact"/>
      <w:ind w:firstLine="425"/>
    </w:pPr>
  </w:style>
  <w:style w:type="paragraph" w:customStyle="1" w:styleId="Style13">
    <w:name w:val="Style13"/>
    <w:basedOn w:val="a"/>
    <w:pPr>
      <w:spacing w:line="214" w:lineRule="exact"/>
      <w:ind w:firstLine="281"/>
      <w:jc w:val="both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jc w:val="both"/>
    </w:pPr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  <w:pPr>
      <w:spacing w:line="212" w:lineRule="exact"/>
      <w:ind w:firstLine="104"/>
    </w:pPr>
  </w:style>
  <w:style w:type="paragraph" w:customStyle="1" w:styleId="Style19">
    <w:name w:val="Style19"/>
    <w:basedOn w:val="a"/>
    <w:pPr>
      <w:spacing w:line="212" w:lineRule="exact"/>
      <w:jc w:val="both"/>
    </w:pPr>
  </w:style>
  <w:style w:type="character" w:customStyle="1" w:styleId="FontStyle21">
    <w:name w:val="Font Style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Pr>
      <w:rFonts w:ascii="Microsoft Sans Serif" w:hAnsi="Microsoft Sans Serif" w:cs="Microsoft Sans Serif"/>
      <w:b/>
      <w:bCs/>
      <w:sz w:val="18"/>
      <w:szCs w:val="18"/>
    </w:rPr>
  </w:style>
  <w:style w:type="table" w:styleId="1">
    <w:name w:val="Table Grid 1"/>
    <w:basedOn w:val="a1"/>
    <w:uiPriority w:val="99"/>
    <w:rsid w:val="00093D8E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2014-04-23T07:13:00Z</dcterms:created>
  <dcterms:modified xsi:type="dcterms:W3CDTF">2014-04-23T07:13:00Z</dcterms:modified>
</cp:coreProperties>
</file>