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D15" w:rsidRDefault="00A94D15" w:rsidP="00A94D15">
      <w:pPr>
        <w:pStyle w:val="aff0"/>
        <w:rPr>
          <w:color w:val="000000"/>
        </w:rPr>
      </w:pPr>
    </w:p>
    <w:p w:rsidR="00A94D15" w:rsidRDefault="00A94D15" w:rsidP="00A94D15">
      <w:pPr>
        <w:pStyle w:val="aff0"/>
        <w:rPr>
          <w:color w:val="000000"/>
        </w:rPr>
      </w:pPr>
    </w:p>
    <w:p w:rsidR="00A94D15" w:rsidRDefault="00A94D15" w:rsidP="00A94D15">
      <w:pPr>
        <w:pStyle w:val="aff0"/>
        <w:rPr>
          <w:color w:val="000000"/>
        </w:rPr>
      </w:pPr>
    </w:p>
    <w:p w:rsidR="00A94D15" w:rsidRDefault="00A94D15" w:rsidP="00A94D15">
      <w:pPr>
        <w:pStyle w:val="aff0"/>
        <w:rPr>
          <w:color w:val="000000"/>
        </w:rPr>
      </w:pPr>
    </w:p>
    <w:p w:rsidR="00A94D15" w:rsidRDefault="00A94D15" w:rsidP="00A94D15">
      <w:pPr>
        <w:pStyle w:val="aff0"/>
        <w:rPr>
          <w:color w:val="000000"/>
        </w:rPr>
      </w:pPr>
    </w:p>
    <w:p w:rsidR="00A94D15" w:rsidRDefault="00A94D15" w:rsidP="00A94D15">
      <w:pPr>
        <w:pStyle w:val="aff0"/>
        <w:rPr>
          <w:color w:val="000000"/>
        </w:rPr>
      </w:pPr>
    </w:p>
    <w:p w:rsidR="00A94D15" w:rsidRDefault="00A94D15" w:rsidP="00A94D15">
      <w:pPr>
        <w:pStyle w:val="aff0"/>
        <w:rPr>
          <w:color w:val="000000"/>
        </w:rPr>
      </w:pPr>
    </w:p>
    <w:p w:rsidR="00A94D15" w:rsidRDefault="00A94D15" w:rsidP="00A94D15">
      <w:pPr>
        <w:pStyle w:val="aff0"/>
        <w:rPr>
          <w:color w:val="000000"/>
        </w:rPr>
      </w:pPr>
    </w:p>
    <w:p w:rsidR="00A94D15" w:rsidRDefault="00A94D15" w:rsidP="00A94D15">
      <w:pPr>
        <w:pStyle w:val="aff0"/>
        <w:rPr>
          <w:color w:val="000000"/>
        </w:rPr>
      </w:pPr>
    </w:p>
    <w:p w:rsidR="00A94D15" w:rsidRDefault="00A94D15" w:rsidP="00A94D15">
      <w:pPr>
        <w:pStyle w:val="aff0"/>
        <w:rPr>
          <w:color w:val="000000"/>
        </w:rPr>
      </w:pPr>
    </w:p>
    <w:p w:rsidR="00A94D15" w:rsidRDefault="00B71187" w:rsidP="00A94D15">
      <w:pPr>
        <w:pStyle w:val="aff0"/>
        <w:rPr>
          <w:color w:val="000000"/>
        </w:rPr>
      </w:pPr>
      <w:r w:rsidRPr="00A94D15">
        <w:rPr>
          <w:color w:val="000000"/>
        </w:rPr>
        <w:t>Контрольная работа</w:t>
      </w:r>
    </w:p>
    <w:p w:rsidR="00A94D15" w:rsidRDefault="00A94D15" w:rsidP="00A94D15">
      <w:pPr>
        <w:pStyle w:val="aff0"/>
        <w:rPr>
          <w:color w:val="000000"/>
        </w:rPr>
      </w:pPr>
      <w:r>
        <w:rPr>
          <w:color w:val="000000"/>
        </w:rPr>
        <w:t>"</w:t>
      </w:r>
      <w:r w:rsidR="00B71187" w:rsidRPr="00A94D15">
        <w:rPr>
          <w:color w:val="000000"/>
        </w:rPr>
        <w:t>Препараты, блокирующие нервно-мышечную проводимость</w:t>
      </w:r>
      <w:r>
        <w:rPr>
          <w:color w:val="000000"/>
        </w:rPr>
        <w:t>"</w:t>
      </w:r>
    </w:p>
    <w:p w:rsidR="00A94D15" w:rsidRDefault="00B71187" w:rsidP="00A94D15">
      <w:pPr>
        <w:pStyle w:val="2"/>
        <w:rPr>
          <w:color w:val="000000"/>
        </w:rPr>
      </w:pPr>
      <w:r w:rsidRPr="00A94D15">
        <w:br w:type="page"/>
      </w:r>
      <w:r w:rsidR="00593F0B" w:rsidRPr="00A94D15">
        <w:rPr>
          <w:color w:val="000000"/>
        </w:rPr>
        <w:t>Что такое препараты, блокирующие нервно-мышечную проводимость</w:t>
      </w:r>
      <w:r w:rsidR="00A94D15" w:rsidRPr="00A94D15">
        <w:rPr>
          <w:color w:val="000000"/>
        </w:rPr>
        <w:t>?</w:t>
      </w:r>
    </w:p>
    <w:p w:rsidR="00A94D15" w:rsidRDefault="00A94D15" w:rsidP="00A94D15">
      <w:pPr>
        <w:rPr>
          <w:color w:val="000000"/>
        </w:rPr>
      </w:pPr>
    </w:p>
    <w:p w:rsidR="002C2B22" w:rsidRDefault="00593F0B" w:rsidP="00A94D15">
      <w:pPr>
        <w:rPr>
          <w:color w:val="000000"/>
        </w:rPr>
      </w:pPr>
      <w:r w:rsidRPr="00A94D15">
        <w:rPr>
          <w:color w:val="000000"/>
        </w:rPr>
        <w:t>Это препараты, имеющие общее название</w:t>
      </w:r>
      <w:r w:rsidR="00A94D15">
        <w:rPr>
          <w:color w:val="000000"/>
        </w:rPr>
        <w:t xml:space="preserve"> "</w:t>
      </w:r>
      <w:r w:rsidRPr="00A94D15">
        <w:rPr>
          <w:color w:val="000000"/>
        </w:rPr>
        <w:t>мышечные релаксанты</w:t>
      </w:r>
      <w:r w:rsidR="00A94D15">
        <w:rPr>
          <w:color w:val="000000"/>
        </w:rPr>
        <w:t xml:space="preserve">" </w:t>
      </w:r>
      <w:r w:rsidRPr="00A94D15">
        <w:rPr>
          <w:color w:val="000000"/>
        </w:rPr>
        <w:t>и нарушающие проводимость в нервно-мышечном синапсе</w:t>
      </w:r>
      <w:r w:rsidR="00A94D15" w:rsidRPr="00A94D15">
        <w:rPr>
          <w:color w:val="000000"/>
        </w:rPr>
        <w:t xml:space="preserve">. </w:t>
      </w:r>
    </w:p>
    <w:p w:rsidR="008A1D35" w:rsidRDefault="00593F0B" w:rsidP="00A94D15">
      <w:pPr>
        <w:rPr>
          <w:color w:val="000000"/>
        </w:rPr>
      </w:pPr>
      <w:r w:rsidRPr="00A94D15">
        <w:rPr>
          <w:color w:val="000000"/>
        </w:rPr>
        <w:t>Эти вещества вызывают релаксацию скелетных мышц и, таким образом, облегчают интубацию трахеи, помогают при ИВЛ и улучшают условия работы хирургов</w:t>
      </w:r>
      <w:r w:rsidR="00A94D15" w:rsidRPr="00A94D15">
        <w:rPr>
          <w:color w:val="000000"/>
        </w:rPr>
        <w:t xml:space="preserve">. </w:t>
      </w:r>
    </w:p>
    <w:p w:rsidR="00A94D15" w:rsidRDefault="00593F0B" w:rsidP="00A94D15">
      <w:pPr>
        <w:rPr>
          <w:color w:val="000000"/>
        </w:rPr>
      </w:pPr>
      <w:r w:rsidRPr="00A94D15">
        <w:rPr>
          <w:color w:val="000000"/>
        </w:rPr>
        <w:t>Кроме того, их применяют для снижения энергетической цены дыхания, при лечении эпилептического состояния</w:t>
      </w:r>
      <w:r w:rsidR="00A94D15">
        <w:rPr>
          <w:color w:val="000000"/>
        </w:rPr>
        <w:t xml:space="preserve"> (</w:t>
      </w:r>
      <w:r w:rsidRPr="00A94D15">
        <w:rPr>
          <w:color w:val="000000"/>
        </w:rPr>
        <w:t>хотя они не снижают активность ЦНС</w:t>
      </w:r>
      <w:r w:rsidR="00A94D15" w:rsidRPr="00A94D15">
        <w:rPr>
          <w:color w:val="000000"/>
        </w:rPr>
        <w:t>),</w:t>
      </w:r>
      <w:r w:rsidRPr="00A94D15">
        <w:rPr>
          <w:color w:val="000000"/>
        </w:rPr>
        <w:t xml:space="preserve"> астматического статуса или столбняка, для снижения высокого внутричерепного давления</w:t>
      </w:r>
      <w:r w:rsidR="00A94D15" w:rsidRPr="00A94D15">
        <w:rPr>
          <w:color w:val="000000"/>
        </w:rPr>
        <w:t>.</w:t>
      </w:r>
    </w:p>
    <w:p w:rsidR="008A1D35" w:rsidRDefault="00593F0B" w:rsidP="00A94D15">
      <w:pPr>
        <w:rPr>
          <w:color w:val="000000"/>
        </w:rPr>
      </w:pPr>
      <w:r w:rsidRPr="00A94D15">
        <w:rPr>
          <w:color w:val="000000"/>
        </w:rPr>
        <w:t>Эти препараты нарушают функцию всех скелетных мышц, включая диафрагму, и могут применяться только специально подготовленным персоналом, способным поддержать проходимость дыхательных путей и вентиляцию легких</w:t>
      </w:r>
      <w:r w:rsidR="00A94D15" w:rsidRPr="00A94D15">
        <w:rPr>
          <w:color w:val="000000"/>
        </w:rPr>
        <w:t xml:space="preserve">. </w:t>
      </w:r>
    </w:p>
    <w:p w:rsidR="00A94D15" w:rsidRDefault="00593F0B" w:rsidP="00A94D15">
      <w:pPr>
        <w:rPr>
          <w:color w:val="000000"/>
        </w:rPr>
      </w:pPr>
      <w:r w:rsidRPr="00A94D15">
        <w:rPr>
          <w:color w:val="000000"/>
        </w:rPr>
        <w:t>Поскольку эти препараты, вызывая полный паралич мышц, не угнетают сознание, показано одновременное применение препаратов седативно-гипнотического или амнестического действия</w:t>
      </w:r>
      <w:r w:rsidR="00A94D15" w:rsidRPr="00A94D15">
        <w:rPr>
          <w:color w:val="000000"/>
        </w:rPr>
        <w:t>.</w:t>
      </w:r>
    </w:p>
    <w:p w:rsidR="00A94D15" w:rsidRDefault="00A94D15" w:rsidP="00A94D15">
      <w:pPr>
        <w:rPr>
          <w:color w:val="000000"/>
        </w:rPr>
      </w:pPr>
    </w:p>
    <w:p w:rsidR="00A94D15" w:rsidRDefault="00593F0B" w:rsidP="00A94D15">
      <w:pPr>
        <w:pStyle w:val="2"/>
        <w:rPr>
          <w:color w:val="000000"/>
        </w:rPr>
      </w:pPr>
      <w:r w:rsidRPr="00A94D15">
        <w:rPr>
          <w:color w:val="000000"/>
        </w:rPr>
        <w:t>Как передается импульс в нервно-мышечном синапсе</w:t>
      </w:r>
      <w:r w:rsidR="00A94D15" w:rsidRPr="00A94D15">
        <w:rPr>
          <w:color w:val="000000"/>
        </w:rPr>
        <w:t>?</w:t>
      </w:r>
    </w:p>
    <w:p w:rsidR="00A94D15" w:rsidRDefault="00A94D15" w:rsidP="00A94D15">
      <w:pPr>
        <w:rPr>
          <w:color w:val="000000"/>
        </w:rPr>
      </w:pPr>
    </w:p>
    <w:p w:rsidR="002C2B22" w:rsidRDefault="00593F0B" w:rsidP="00A94D15">
      <w:pPr>
        <w:rPr>
          <w:color w:val="000000"/>
        </w:rPr>
      </w:pPr>
      <w:r w:rsidRPr="00A94D15">
        <w:rPr>
          <w:color w:val="000000"/>
        </w:rPr>
        <w:t>В структуру нервно-мышечного синапса входит пресинаптическое окончание двигательного нерва и постсинаптическая рецепторная зона мембраны скелетной мышцы</w:t>
      </w:r>
      <w:r w:rsidR="00A94D15" w:rsidRPr="00A94D15">
        <w:rPr>
          <w:color w:val="000000"/>
        </w:rPr>
        <w:t xml:space="preserve">. </w:t>
      </w:r>
    </w:p>
    <w:p w:rsidR="008A1D35" w:rsidRDefault="00593F0B" w:rsidP="00A94D15">
      <w:pPr>
        <w:rPr>
          <w:color w:val="000000"/>
        </w:rPr>
      </w:pPr>
      <w:r w:rsidRPr="00A94D15">
        <w:rPr>
          <w:color w:val="000000"/>
        </w:rPr>
        <w:t>Как только импульс достигнет нервного окончания, в него входит кальций и активизирует ацетилхолин</w:t>
      </w:r>
      <w:r w:rsidR="00A94D15" w:rsidRPr="00A94D15">
        <w:rPr>
          <w:color w:val="000000"/>
        </w:rPr>
        <w:t xml:space="preserve">. </w:t>
      </w:r>
      <w:r w:rsidRPr="00A94D15">
        <w:rPr>
          <w:color w:val="000000"/>
        </w:rPr>
        <w:t>Последний взаимодействует с холинорецептором, расположенным на постсинаптической мембране</w:t>
      </w:r>
      <w:r w:rsidR="00A94D15" w:rsidRPr="00A94D15">
        <w:rPr>
          <w:color w:val="000000"/>
        </w:rPr>
        <w:t xml:space="preserve">. </w:t>
      </w:r>
    </w:p>
    <w:p w:rsidR="008A1D35" w:rsidRDefault="00593F0B" w:rsidP="00A94D15">
      <w:pPr>
        <w:rPr>
          <w:color w:val="000000"/>
        </w:rPr>
      </w:pPr>
      <w:r w:rsidRPr="00A94D15">
        <w:rPr>
          <w:color w:val="000000"/>
        </w:rPr>
        <w:t>Каналы рецептора открываются, внеклеточные ионы по градиенту концентрации начинают проникать в клетку и снижают трансмембранный потенциал</w:t>
      </w:r>
      <w:r w:rsidR="00A94D15" w:rsidRPr="00A94D15">
        <w:rPr>
          <w:color w:val="000000"/>
        </w:rPr>
        <w:t xml:space="preserve">; </w:t>
      </w:r>
      <w:r w:rsidRPr="00A94D15">
        <w:rPr>
          <w:color w:val="000000"/>
        </w:rPr>
        <w:t>распространение этого процесса вдоль мышечного волокна вызывает его сокращение</w:t>
      </w:r>
      <w:r w:rsidR="00A94D15" w:rsidRPr="00A94D15">
        <w:rPr>
          <w:color w:val="000000"/>
        </w:rPr>
        <w:t xml:space="preserve">. </w:t>
      </w:r>
    </w:p>
    <w:p w:rsidR="00A94D15" w:rsidRDefault="00593F0B" w:rsidP="00A94D15">
      <w:pPr>
        <w:rPr>
          <w:color w:val="000000"/>
        </w:rPr>
      </w:pPr>
      <w:r w:rsidRPr="00A94D15">
        <w:rPr>
          <w:color w:val="000000"/>
        </w:rPr>
        <w:t>Быстрый гид</w:t>
      </w:r>
      <w:r w:rsidR="008A1D35">
        <w:rPr>
          <w:color w:val="000000"/>
        </w:rPr>
        <w:t>ролиз ацетилхолина ацетилхолинэ</w:t>
      </w:r>
      <w:r w:rsidRPr="00A94D15">
        <w:rPr>
          <w:color w:val="000000"/>
        </w:rPr>
        <w:t>стеразой</w:t>
      </w:r>
      <w:r w:rsidR="00A94D15">
        <w:rPr>
          <w:color w:val="000000"/>
        </w:rPr>
        <w:t xml:space="preserve"> (</w:t>
      </w:r>
      <w:r w:rsidRPr="00A94D15">
        <w:rPr>
          <w:color w:val="000000"/>
        </w:rPr>
        <w:t>истинной холинэстеразой</w:t>
      </w:r>
      <w:r w:rsidR="00A94D15" w:rsidRPr="00A94D15">
        <w:rPr>
          <w:color w:val="000000"/>
        </w:rPr>
        <w:t xml:space="preserve">) </w:t>
      </w:r>
      <w:r w:rsidRPr="00A94D15">
        <w:rPr>
          <w:color w:val="000000"/>
        </w:rPr>
        <w:t>восстанавливает нормальный градиент концентрации ионов, а в нервно-мышечном синапсе и мышечном волокне</w:t>
      </w:r>
      <w:r w:rsidR="00A94D15" w:rsidRPr="00A94D15">
        <w:rPr>
          <w:color w:val="000000"/>
        </w:rPr>
        <w:t xml:space="preserve"> - </w:t>
      </w:r>
      <w:r w:rsidRPr="00A94D15">
        <w:rPr>
          <w:color w:val="000000"/>
        </w:rPr>
        <w:t>недеполяризированное состояние</w:t>
      </w:r>
      <w:r w:rsidR="00A94D15" w:rsidRPr="00A94D15">
        <w:rPr>
          <w:color w:val="000000"/>
        </w:rPr>
        <w:t>.</w:t>
      </w:r>
    </w:p>
    <w:p w:rsidR="00A94D15" w:rsidRDefault="00A94D15" w:rsidP="00A94D15">
      <w:pPr>
        <w:rPr>
          <w:color w:val="000000"/>
        </w:rPr>
      </w:pPr>
    </w:p>
    <w:p w:rsidR="00A94D15" w:rsidRDefault="00593F0B" w:rsidP="00A94D15">
      <w:pPr>
        <w:pStyle w:val="2"/>
        <w:rPr>
          <w:color w:val="000000"/>
        </w:rPr>
      </w:pPr>
      <w:r w:rsidRPr="00A94D15">
        <w:rPr>
          <w:color w:val="000000"/>
        </w:rPr>
        <w:t>Как классифицируют миорелаксанты</w:t>
      </w:r>
      <w:r w:rsidR="00A94D15" w:rsidRPr="00A94D15">
        <w:rPr>
          <w:color w:val="000000"/>
        </w:rPr>
        <w:t>?</w:t>
      </w:r>
    </w:p>
    <w:p w:rsidR="00A94D15" w:rsidRDefault="00A94D15" w:rsidP="00A94D15">
      <w:pPr>
        <w:rPr>
          <w:color w:val="000000"/>
        </w:rPr>
      </w:pPr>
    </w:p>
    <w:p w:rsidR="00A94D15" w:rsidRDefault="00593F0B" w:rsidP="00A94D15">
      <w:pPr>
        <w:rPr>
          <w:color w:val="000000"/>
        </w:rPr>
      </w:pPr>
      <w:r w:rsidRPr="00A94D15">
        <w:rPr>
          <w:color w:val="000000"/>
        </w:rPr>
        <w:t>В соответствии с влиянием на нервно-мышечный синапс выделяют 2 группы препаратов</w:t>
      </w:r>
      <w:r w:rsidR="00A94D15" w:rsidRPr="00A94D15">
        <w:rPr>
          <w:color w:val="000000"/>
        </w:rPr>
        <w:t>:</w:t>
      </w:r>
    </w:p>
    <w:p w:rsidR="008A1D35" w:rsidRDefault="00593F0B" w:rsidP="00A94D15">
      <w:pPr>
        <w:rPr>
          <w:color w:val="000000"/>
        </w:rPr>
      </w:pPr>
      <w:r w:rsidRPr="00A94D15">
        <w:rPr>
          <w:color w:val="000000"/>
        </w:rPr>
        <w:t>Деполяризующие миорелаксанты</w:t>
      </w:r>
      <w:r w:rsidR="00A94D15">
        <w:rPr>
          <w:color w:val="000000"/>
        </w:rPr>
        <w:t xml:space="preserve"> (</w:t>
      </w:r>
      <w:r w:rsidRPr="00A94D15">
        <w:rPr>
          <w:color w:val="000000"/>
        </w:rPr>
        <w:t>сукцинилхолин</w:t>
      </w:r>
      <w:r w:rsidR="00A94D15" w:rsidRPr="00A94D15">
        <w:rPr>
          <w:color w:val="000000"/>
        </w:rPr>
        <w:t xml:space="preserve">). </w:t>
      </w:r>
      <w:r w:rsidRPr="00A94D15">
        <w:rPr>
          <w:color w:val="000000"/>
        </w:rPr>
        <w:t>Су</w:t>
      </w:r>
      <w:r w:rsidR="008A1D35">
        <w:rPr>
          <w:color w:val="000000"/>
        </w:rPr>
        <w:t>кцинилхолин действует подобно ац</w:t>
      </w:r>
      <w:r w:rsidRPr="00A94D15">
        <w:rPr>
          <w:color w:val="000000"/>
        </w:rPr>
        <w:t>етилхолину, деполяризуя постсинаптическую мембрану нервно-мышечного синапса</w:t>
      </w:r>
      <w:r w:rsidR="00A94D15" w:rsidRPr="00A94D15">
        <w:rPr>
          <w:color w:val="000000"/>
        </w:rPr>
        <w:t xml:space="preserve">. </w:t>
      </w:r>
    </w:p>
    <w:p w:rsidR="00A94D15" w:rsidRDefault="00593F0B" w:rsidP="00A94D15">
      <w:pPr>
        <w:rPr>
          <w:color w:val="000000"/>
        </w:rPr>
      </w:pPr>
      <w:r w:rsidRPr="00A94D15">
        <w:rPr>
          <w:color w:val="000000"/>
        </w:rPr>
        <w:t>Поскольку рецептор, расположенный на постсинаптической мембране, занят, ацетилхолин не действует</w:t>
      </w:r>
      <w:r w:rsidR="00A94D15" w:rsidRPr="00A94D15">
        <w:rPr>
          <w:color w:val="000000"/>
        </w:rPr>
        <w:t>.</w:t>
      </w:r>
    </w:p>
    <w:p w:rsidR="00A94D15" w:rsidRDefault="00593F0B" w:rsidP="00A94D15">
      <w:pPr>
        <w:rPr>
          <w:color w:val="000000"/>
        </w:rPr>
      </w:pPr>
      <w:r w:rsidRPr="00A94D15">
        <w:rPr>
          <w:color w:val="000000"/>
        </w:rPr>
        <w:t>Недеполяризующие миорелаксанты</w:t>
      </w:r>
      <w:r w:rsidR="00A94D15" w:rsidRPr="00A94D15">
        <w:rPr>
          <w:color w:val="000000"/>
        </w:rPr>
        <w:t xml:space="preserve">. </w:t>
      </w:r>
      <w:r w:rsidRPr="00A94D15">
        <w:rPr>
          <w:color w:val="000000"/>
        </w:rPr>
        <w:t>Эти препараты вызывают конкурентную блокаду постсинаптической мембраны, и ацетилхолин, изолированный от рецептора, не может вызвать его деполяризацию</w:t>
      </w:r>
      <w:r w:rsidR="00A94D15" w:rsidRPr="00A94D15">
        <w:rPr>
          <w:color w:val="000000"/>
        </w:rPr>
        <w:t>.</w:t>
      </w:r>
    </w:p>
    <w:p w:rsidR="00A94D15" w:rsidRDefault="00A94D15" w:rsidP="00A94D15">
      <w:pPr>
        <w:rPr>
          <w:color w:val="000000"/>
        </w:rPr>
      </w:pPr>
    </w:p>
    <w:p w:rsidR="00A94D15" w:rsidRDefault="00593F0B" w:rsidP="00A94D15">
      <w:pPr>
        <w:pStyle w:val="2"/>
        <w:rPr>
          <w:color w:val="000000"/>
        </w:rPr>
      </w:pPr>
      <w:r w:rsidRPr="00A94D15">
        <w:rPr>
          <w:color w:val="000000"/>
        </w:rPr>
        <w:t>Каков механизм действия сукцинилхолина</w:t>
      </w:r>
      <w:r w:rsidR="00A94D15" w:rsidRPr="00A94D15">
        <w:rPr>
          <w:color w:val="000000"/>
        </w:rPr>
        <w:t>?</w:t>
      </w:r>
    </w:p>
    <w:p w:rsidR="00A94D15" w:rsidRDefault="00A94D15" w:rsidP="00A94D15">
      <w:pPr>
        <w:rPr>
          <w:color w:val="000000"/>
        </w:rPr>
      </w:pPr>
    </w:p>
    <w:p w:rsidR="002C2B22" w:rsidRDefault="00593F0B" w:rsidP="00A94D15">
      <w:pPr>
        <w:rPr>
          <w:color w:val="000000"/>
        </w:rPr>
      </w:pPr>
      <w:r w:rsidRPr="00A94D15">
        <w:rPr>
          <w:color w:val="000000"/>
        </w:rPr>
        <w:t>Сукцинилхолин</w:t>
      </w:r>
      <w:r w:rsidR="00A94D15" w:rsidRPr="00A94D15">
        <w:rPr>
          <w:color w:val="000000"/>
        </w:rPr>
        <w:t xml:space="preserve"> - </w:t>
      </w:r>
      <w:r w:rsidRPr="00A94D15">
        <w:rPr>
          <w:color w:val="000000"/>
        </w:rPr>
        <w:t>единственный из деполяризующих миорелаксантов</w:t>
      </w:r>
      <w:r w:rsidR="00A94D15" w:rsidRPr="00A94D15">
        <w:rPr>
          <w:color w:val="000000"/>
        </w:rPr>
        <w:t xml:space="preserve"> - </w:t>
      </w:r>
      <w:r w:rsidRPr="00A94D15">
        <w:rPr>
          <w:color w:val="000000"/>
        </w:rPr>
        <w:t>довольно широко распространен в анестезиологической практике</w:t>
      </w:r>
      <w:r w:rsidR="00A94D15" w:rsidRPr="00A94D15">
        <w:rPr>
          <w:color w:val="000000"/>
        </w:rPr>
        <w:t xml:space="preserve">. </w:t>
      </w:r>
      <w:r w:rsidRPr="00A94D15">
        <w:rPr>
          <w:color w:val="000000"/>
        </w:rPr>
        <w:t>Он действует подобно ацетилхолину</w:t>
      </w:r>
      <w:r w:rsidR="00A94D15" w:rsidRPr="00A94D15">
        <w:rPr>
          <w:color w:val="000000"/>
        </w:rPr>
        <w:t xml:space="preserve">. </w:t>
      </w:r>
    </w:p>
    <w:p w:rsidR="008A1D35" w:rsidRDefault="00593F0B" w:rsidP="00A94D15">
      <w:pPr>
        <w:rPr>
          <w:color w:val="000000"/>
        </w:rPr>
      </w:pPr>
      <w:r w:rsidRPr="00A94D15">
        <w:rPr>
          <w:color w:val="000000"/>
        </w:rPr>
        <w:t>Однако, поскольку сукцинилхолин гидролизуется плазменной холинэстеразой</w:t>
      </w:r>
      <w:r w:rsidR="00A94D15">
        <w:rPr>
          <w:color w:val="000000"/>
        </w:rPr>
        <w:t xml:space="preserve"> (</w:t>
      </w:r>
      <w:r w:rsidRPr="00A94D15">
        <w:rPr>
          <w:color w:val="000000"/>
        </w:rPr>
        <w:t>псевдохолин-эстеразой</w:t>
      </w:r>
      <w:r w:rsidR="00A94D15" w:rsidRPr="00A94D15">
        <w:rPr>
          <w:color w:val="000000"/>
        </w:rPr>
        <w:t>),</w:t>
      </w:r>
      <w:r w:rsidRPr="00A94D15">
        <w:rPr>
          <w:color w:val="000000"/>
        </w:rPr>
        <w:t xml:space="preserve"> которой нет в нервно-мышечном синапсе, длительность блокады напрямую зависит от скорости диффузии сукцинилхолина из нервно-мышечного синапса</w:t>
      </w:r>
      <w:r w:rsidR="00A94D15" w:rsidRPr="00A94D15">
        <w:rPr>
          <w:color w:val="000000"/>
        </w:rPr>
        <w:t xml:space="preserve">. </w:t>
      </w:r>
    </w:p>
    <w:p w:rsidR="00A94D15" w:rsidRDefault="00593F0B" w:rsidP="00A94D15">
      <w:pPr>
        <w:rPr>
          <w:color w:val="000000"/>
        </w:rPr>
      </w:pPr>
      <w:r w:rsidRPr="00A94D15">
        <w:rPr>
          <w:color w:val="000000"/>
        </w:rPr>
        <w:t>Следовательно, деполяризация длится дольше, чем у ацетилхолина</w:t>
      </w:r>
      <w:r w:rsidR="00A94D15" w:rsidRPr="00A94D15">
        <w:rPr>
          <w:color w:val="000000"/>
        </w:rPr>
        <w:t xml:space="preserve">. </w:t>
      </w:r>
      <w:r w:rsidRPr="00A94D15">
        <w:rPr>
          <w:color w:val="000000"/>
        </w:rPr>
        <w:t>Деполяризация постепенно снижается, но релаксация сохраняется, пока сукцинилхолин фиксирован на рецепторе постсинаптической мембраны</w:t>
      </w:r>
      <w:r w:rsidR="00A94D15" w:rsidRPr="00A94D15">
        <w:rPr>
          <w:color w:val="000000"/>
        </w:rPr>
        <w:t>.</w:t>
      </w:r>
    </w:p>
    <w:p w:rsidR="008A1D35" w:rsidRDefault="008A1D35" w:rsidP="00A94D15">
      <w:pPr>
        <w:rPr>
          <w:color w:val="000000"/>
        </w:rPr>
      </w:pPr>
    </w:p>
    <w:p w:rsidR="00A94D15" w:rsidRDefault="00593F0B" w:rsidP="00A94D15">
      <w:pPr>
        <w:pStyle w:val="2"/>
        <w:rPr>
          <w:color w:val="000000"/>
        </w:rPr>
      </w:pPr>
      <w:r w:rsidRPr="00A94D15">
        <w:rPr>
          <w:color w:val="000000"/>
        </w:rPr>
        <w:t>Каковы показания для применения сукцинилхолина</w:t>
      </w:r>
      <w:r w:rsidR="00A94D15" w:rsidRPr="00A94D15">
        <w:rPr>
          <w:color w:val="000000"/>
        </w:rPr>
        <w:t>?</w:t>
      </w:r>
    </w:p>
    <w:p w:rsidR="00A94D15" w:rsidRDefault="00A94D15" w:rsidP="00A94D15">
      <w:pPr>
        <w:rPr>
          <w:color w:val="000000"/>
        </w:rPr>
      </w:pPr>
    </w:p>
    <w:p w:rsidR="008A1D35" w:rsidRDefault="00593F0B" w:rsidP="00A94D15">
      <w:pPr>
        <w:rPr>
          <w:color w:val="000000"/>
        </w:rPr>
      </w:pPr>
      <w:r w:rsidRPr="00A94D15">
        <w:rPr>
          <w:color w:val="000000"/>
        </w:rPr>
        <w:t>Клинические ситуации, когда у пациента полный желудок и существует риск регургитации и аспирации во время анестезии, быстрый паралич и сохранность дыхательных путей от попадания в них желудочного содержимого играют приоритетную роль</w:t>
      </w:r>
      <w:r w:rsidR="00A94D15" w:rsidRPr="00A94D15">
        <w:rPr>
          <w:color w:val="000000"/>
        </w:rPr>
        <w:t xml:space="preserve">. </w:t>
      </w:r>
    </w:p>
    <w:p w:rsidR="00A94D15" w:rsidRDefault="00593F0B" w:rsidP="00A94D15">
      <w:pPr>
        <w:rPr>
          <w:color w:val="000000"/>
        </w:rPr>
      </w:pPr>
      <w:r w:rsidRPr="00A94D15">
        <w:rPr>
          <w:color w:val="000000"/>
        </w:rPr>
        <w:t>Эти ситуации включают сахарный диабет, диафрагмальную грыжу, ожирение, беременность, выраженный болевой синдром, травму</w:t>
      </w:r>
      <w:r w:rsidR="00A94D15" w:rsidRPr="00A94D15">
        <w:rPr>
          <w:color w:val="000000"/>
        </w:rPr>
        <w:t>.</w:t>
      </w:r>
    </w:p>
    <w:p w:rsidR="008A1D35" w:rsidRDefault="00593F0B" w:rsidP="00A94D15">
      <w:pPr>
        <w:rPr>
          <w:color w:val="000000"/>
        </w:rPr>
      </w:pPr>
      <w:r w:rsidRPr="00A94D15">
        <w:rPr>
          <w:color w:val="000000"/>
        </w:rPr>
        <w:t>Сукцинилхолин обеспечивает самое быстрое начало действия из всех известных ныне миорелаксантов</w:t>
      </w:r>
      <w:r w:rsidR="00A94D15" w:rsidRPr="00A94D15">
        <w:rPr>
          <w:color w:val="000000"/>
        </w:rPr>
        <w:t xml:space="preserve">. </w:t>
      </w:r>
      <w:r w:rsidRPr="00A94D15">
        <w:rPr>
          <w:color w:val="000000"/>
        </w:rPr>
        <w:t>К тому же, продолжительность сукцинилхолиновой блокады</w:t>
      </w:r>
      <w:r w:rsidR="00A94D15" w:rsidRPr="00A94D15">
        <w:rPr>
          <w:color w:val="000000"/>
        </w:rPr>
        <w:t xml:space="preserve"> - </w:t>
      </w:r>
      <w:r w:rsidRPr="00A94D15">
        <w:rPr>
          <w:color w:val="000000"/>
        </w:rPr>
        <w:t>5</w:t>
      </w:r>
      <w:r w:rsidR="00A94D15" w:rsidRPr="00A94D15">
        <w:rPr>
          <w:color w:val="000000"/>
        </w:rPr>
        <w:t>-</w:t>
      </w:r>
      <w:r w:rsidRPr="00A94D15">
        <w:rPr>
          <w:color w:val="000000"/>
        </w:rPr>
        <w:t>10 мин</w:t>
      </w:r>
      <w:r w:rsidR="00A94D15" w:rsidRPr="00A94D15">
        <w:rPr>
          <w:color w:val="000000"/>
        </w:rPr>
        <w:t xml:space="preserve">. </w:t>
      </w:r>
    </w:p>
    <w:p w:rsidR="00A94D15" w:rsidRDefault="00593F0B" w:rsidP="00A94D15">
      <w:pPr>
        <w:rPr>
          <w:color w:val="000000"/>
        </w:rPr>
      </w:pPr>
      <w:r w:rsidRPr="00A94D15">
        <w:rPr>
          <w:color w:val="000000"/>
        </w:rPr>
        <w:t>Функция дыхательных мышц восстанавливается довольно быстро, что очень важно, если больного трудно интубировать</w:t>
      </w:r>
      <w:r w:rsidR="00A94D15">
        <w:rPr>
          <w:color w:val="000000"/>
        </w:rPr>
        <w:t xml:space="preserve"> (</w:t>
      </w:r>
      <w:r w:rsidRPr="00A94D15">
        <w:rPr>
          <w:color w:val="000000"/>
        </w:rPr>
        <w:t>см</w:t>
      </w:r>
      <w:r w:rsidR="00A94D15" w:rsidRPr="00A94D15">
        <w:rPr>
          <w:color w:val="000000"/>
        </w:rPr>
        <w:t xml:space="preserve">. </w:t>
      </w:r>
      <w:r w:rsidRPr="00A94D15">
        <w:rPr>
          <w:color w:val="000000"/>
        </w:rPr>
        <w:t>вопрос 11</w:t>
      </w:r>
      <w:r w:rsidR="00A94D15" w:rsidRPr="00A94D15">
        <w:rPr>
          <w:color w:val="000000"/>
        </w:rPr>
        <w:t>).</w:t>
      </w:r>
    </w:p>
    <w:p w:rsidR="00A94D15" w:rsidRDefault="00A94D15" w:rsidP="00A94D15">
      <w:pPr>
        <w:rPr>
          <w:color w:val="000000"/>
        </w:rPr>
      </w:pPr>
    </w:p>
    <w:p w:rsidR="00A94D15" w:rsidRDefault="00593F0B" w:rsidP="00A94D15">
      <w:pPr>
        <w:pStyle w:val="2"/>
        <w:rPr>
          <w:color w:val="000000"/>
        </w:rPr>
      </w:pPr>
      <w:r w:rsidRPr="00A94D15">
        <w:rPr>
          <w:color w:val="000000"/>
        </w:rPr>
        <w:t>Если сукцинилхолин действует так быстро и предсказуемо, почему бы не применять его все время</w:t>
      </w:r>
      <w:r w:rsidR="00A94D15" w:rsidRPr="00A94D15">
        <w:rPr>
          <w:color w:val="000000"/>
        </w:rPr>
        <w:t>?</w:t>
      </w:r>
    </w:p>
    <w:p w:rsidR="00A94D15" w:rsidRDefault="00A94D15" w:rsidP="00A94D15">
      <w:pPr>
        <w:rPr>
          <w:color w:val="000000"/>
        </w:rPr>
      </w:pPr>
    </w:p>
    <w:p w:rsidR="00A94D15" w:rsidRDefault="00593F0B" w:rsidP="00A94D15">
      <w:pPr>
        <w:rPr>
          <w:color w:val="000000"/>
        </w:rPr>
      </w:pPr>
      <w:r w:rsidRPr="00A94D15">
        <w:rPr>
          <w:color w:val="000000"/>
        </w:rPr>
        <w:t>Сукцинилхолин, в самом деле, действует быстро и предсказуемо и применяется в клинике в течение многих десятилетий</w:t>
      </w:r>
      <w:r w:rsidR="00A94D15" w:rsidRPr="00A94D15">
        <w:rPr>
          <w:color w:val="000000"/>
        </w:rPr>
        <w:t xml:space="preserve">. </w:t>
      </w:r>
      <w:r w:rsidRPr="00A94D15">
        <w:rPr>
          <w:color w:val="000000"/>
        </w:rPr>
        <w:t>За это время выявлено несколько его побочных действий и связанных с ними опасностей</w:t>
      </w:r>
      <w:r w:rsidR="00A94D15" w:rsidRPr="00A94D15">
        <w:rPr>
          <w:color w:val="000000"/>
        </w:rPr>
        <w:t>.</w:t>
      </w:r>
    </w:p>
    <w:p w:rsidR="00A94D15" w:rsidRDefault="00593F0B" w:rsidP="00A94D15">
      <w:pPr>
        <w:rPr>
          <w:color w:val="000000"/>
        </w:rPr>
      </w:pPr>
      <w:r w:rsidRPr="00A94D15">
        <w:rPr>
          <w:color w:val="000000"/>
        </w:rPr>
        <w:t>Действие сукцинилхолина может быть непредсказуемо продолжительным, если у больного имеется дефицит псевдохолинэстеразы</w:t>
      </w:r>
      <w:r w:rsidR="00A94D15">
        <w:rPr>
          <w:color w:val="000000"/>
        </w:rPr>
        <w:t xml:space="preserve"> (</w:t>
      </w:r>
      <w:r w:rsidRPr="00A94D15">
        <w:rPr>
          <w:color w:val="000000"/>
        </w:rPr>
        <w:t>патология печени, беременность, истощение, злокачественные опухоли</w:t>
      </w:r>
      <w:r w:rsidR="00A94D15" w:rsidRPr="00A94D15">
        <w:rPr>
          <w:color w:val="000000"/>
        </w:rPr>
        <w:t>).</w:t>
      </w:r>
    </w:p>
    <w:p w:rsidR="00A94D15" w:rsidRDefault="00593F0B" w:rsidP="00A94D15">
      <w:pPr>
        <w:rPr>
          <w:color w:val="000000"/>
        </w:rPr>
      </w:pPr>
      <w:r w:rsidRPr="00A94D15">
        <w:rPr>
          <w:color w:val="000000"/>
        </w:rPr>
        <w:t>Сукцинилхолин возбуждает все холинергические рецепторы</w:t>
      </w:r>
      <w:r w:rsidR="00A94D15" w:rsidRPr="00A94D15">
        <w:rPr>
          <w:color w:val="000000"/>
        </w:rPr>
        <w:t xml:space="preserve"> - </w:t>
      </w:r>
      <w:r w:rsidR="008A1D35">
        <w:rPr>
          <w:color w:val="000000"/>
        </w:rPr>
        <w:t>никотиночувствитель</w:t>
      </w:r>
      <w:r w:rsidRPr="00A94D15">
        <w:rPr>
          <w:color w:val="000000"/>
        </w:rPr>
        <w:t>ные в вегетативных ганглиях и, что особенно важно, мускариночувствительные в синусовом узле</w:t>
      </w:r>
      <w:r w:rsidR="00A94D15" w:rsidRPr="00A94D15">
        <w:rPr>
          <w:color w:val="000000"/>
        </w:rPr>
        <w:t xml:space="preserve">. </w:t>
      </w:r>
      <w:r w:rsidRPr="00A94D15">
        <w:rPr>
          <w:color w:val="000000"/>
        </w:rPr>
        <w:t>Поэтому могут развиться все типы аритмий, особенно брадикардия</w:t>
      </w:r>
      <w:r w:rsidR="00A94D15" w:rsidRPr="00A94D15">
        <w:rPr>
          <w:color w:val="000000"/>
        </w:rPr>
        <w:t>.</w:t>
      </w:r>
    </w:p>
    <w:p w:rsidR="008A1D35" w:rsidRDefault="00593F0B" w:rsidP="00A94D15">
      <w:pPr>
        <w:rPr>
          <w:color w:val="000000"/>
        </w:rPr>
      </w:pPr>
      <w:r w:rsidRPr="00A94D15">
        <w:rPr>
          <w:color w:val="000000"/>
        </w:rPr>
        <w:t>Если у пациента имеется пролиферация экстрасинаптических рецепторов, может развиться гиперкалиемия</w:t>
      </w:r>
      <w:r w:rsidR="00A94D15" w:rsidRPr="00A94D15">
        <w:rPr>
          <w:color w:val="000000"/>
        </w:rPr>
        <w:t xml:space="preserve">. </w:t>
      </w:r>
      <w:r w:rsidRPr="00A94D15">
        <w:rPr>
          <w:color w:val="000000"/>
        </w:rPr>
        <w:t>Экстрасинаптические рецепторы, во-первых, явление аномальное, и, во-вторых, нормальная невральная активность подавляет их</w:t>
      </w:r>
      <w:r w:rsidR="00A94D15" w:rsidRPr="00A94D15">
        <w:rPr>
          <w:color w:val="000000"/>
        </w:rPr>
        <w:t xml:space="preserve">. </w:t>
      </w:r>
    </w:p>
    <w:p w:rsidR="002C2B22" w:rsidRDefault="00593F0B" w:rsidP="00A94D15">
      <w:pPr>
        <w:rPr>
          <w:color w:val="000000"/>
        </w:rPr>
      </w:pPr>
      <w:r w:rsidRPr="00A94D15">
        <w:rPr>
          <w:color w:val="000000"/>
        </w:rPr>
        <w:t>Однако при ряде ситуаций</w:t>
      </w:r>
      <w:r w:rsidR="00A94D15">
        <w:rPr>
          <w:color w:val="000000"/>
        </w:rPr>
        <w:t xml:space="preserve"> (</w:t>
      </w:r>
      <w:r w:rsidRPr="00A94D15">
        <w:rPr>
          <w:color w:val="000000"/>
        </w:rPr>
        <w:t>например, при ожогах, мышечных дистрофиях, длительной иммобилизации, спинальной травме, поражении мотонейронов, закрытой черепно-мозговой травме</w:t>
      </w:r>
      <w:r w:rsidR="00A94D15" w:rsidRPr="00A94D15">
        <w:rPr>
          <w:color w:val="000000"/>
        </w:rPr>
        <w:t xml:space="preserve">) </w:t>
      </w:r>
      <w:r w:rsidRPr="00A94D15">
        <w:rPr>
          <w:color w:val="000000"/>
        </w:rPr>
        <w:t>отмечается угнетение двигательной активности и пролиферация экстрасинаптических рецепторов</w:t>
      </w:r>
      <w:r w:rsidR="00A94D15" w:rsidRPr="00A94D15">
        <w:rPr>
          <w:color w:val="000000"/>
        </w:rPr>
        <w:t xml:space="preserve">. </w:t>
      </w:r>
    </w:p>
    <w:p w:rsidR="00A94D15" w:rsidRDefault="00593F0B" w:rsidP="00A94D15">
      <w:pPr>
        <w:rPr>
          <w:color w:val="000000"/>
        </w:rPr>
      </w:pPr>
      <w:r w:rsidRPr="00A94D15">
        <w:rPr>
          <w:color w:val="000000"/>
        </w:rPr>
        <w:t>Деполяризация таких рецепторов сукцинилхолином может привести к массивному выбросу ионов калия из клеток, выраженной плазменной гиперкалиемии и опасной желудочковой аритмии</w:t>
      </w:r>
      <w:r w:rsidR="00A94D15" w:rsidRPr="00A94D15">
        <w:rPr>
          <w:color w:val="000000"/>
        </w:rPr>
        <w:t>.</w:t>
      </w:r>
    </w:p>
    <w:p w:rsidR="00A94D15" w:rsidRDefault="00593F0B" w:rsidP="00A94D15">
      <w:pPr>
        <w:rPr>
          <w:color w:val="000000"/>
        </w:rPr>
      </w:pPr>
      <w:r w:rsidRPr="00A94D15">
        <w:rPr>
          <w:color w:val="000000"/>
        </w:rPr>
        <w:t>Сукцинилхолин может запустить механизм злокачественной гипертермии, поэтому следует избегать его применения у больных, родственники которых перенесли эту патологию, не говоря уже о них самих</w:t>
      </w:r>
      <w:r w:rsidR="00A94D15" w:rsidRPr="00A94D15">
        <w:rPr>
          <w:color w:val="000000"/>
        </w:rPr>
        <w:t>.</w:t>
      </w:r>
    </w:p>
    <w:p w:rsidR="002C2B22" w:rsidRDefault="00593F0B" w:rsidP="00A94D15">
      <w:pPr>
        <w:rPr>
          <w:color w:val="000000"/>
        </w:rPr>
      </w:pPr>
      <w:r w:rsidRPr="00A94D15">
        <w:rPr>
          <w:color w:val="000000"/>
        </w:rPr>
        <w:t>При внутричерепной гипертензии или открытой травме глаза сукцинилхолин может повысить внутричерепное и внутриглазное давление</w:t>
      </w:r>
      <w:r w:rsidR="00A94D15" w:rsidRPr="00A94D15">
        <w:rPr>
          <w:color w:val="000000"/>
        </w:rPr>
        <w:t>.</w:t>
      </w:r>
      <w:r w:rsidR="00A94D15">
        <w:rPr>
          <w:color w:val="000000"/>
        </w:rPr>
        <w:t xml:space="preserve"> </w:t>
      </w:r>
    </w:p>
    <w:p w:rsidR="00A94D15" w:rsidRDefault="00A94D15" w:rsidP="00A94D15">
      <w:pPr>
        <w:rPr>
          <w:color w:val="000000"/>
        </w:rPr>
      </w:pPr>
      <w:r>
        <w:rPr>
          <w:color w:val="000000"/>
        </w:rPr>
        <w:t>(</w:t>
      </w:r>
      <w:r w:rsidR="00593F0B" w:rsidRPr="00A94D15">
        <w:rPr>
          <w:color w:val="000000"/>
        </w:rPr>
        <w:t>Вместе с тем, риск подъема давления в указанных полостях необходимо сравнить с риском аспирации у этих больных, и использование сукцинилхолина может быть оправдано</w:t>
      </w:r>
      <w:r w:rsidRPr="00A94D15">
        <w:rPr>
          <w:color w:val="000000"/>
        </w:rPr>
        <w:t>)</w:t>
      </w:r>
      <w:r w:rsidR="002C2B22">
        <w:rPr>
          <w:color w:val="000000"/>
        </w:rPr>
        <w:t>.</w:t>
      </w:r>
    </w:p>
    <w:p w:rsidR="00A94D15" w:rsidRDefault="00593F0B" w:rsidP="00A94D15">
      <w:pPr>
        <w:rPr>
          <w:color w:val="000000"/>
        </w:rPr>
      </w:pPr>
      <w:r w:rsidRPr="00A94D15">
        <w:rPr>
          <w:color w:val="000000"/>
        </w:rPr>
        <w:t>Сукцинилхолин повышает внутрижелудочное давление, однако рост нижнепищеводного давления более значительный и поэтому риск аспирации не возрастает</w:t>
      </w:r>
      <w:r w:rsidR="00A94D15" w:rsidRPr="00A94D15">
        <w:rPr>
          <w:color w:val="000000"/>
        </w:rPr>
        <w:t>.</w:t>
      </w:r>
    </w:p>
    <w:p w:rsidR="002C2B22" w:rsidRDefault="00593F0B" w:rsidP="00A94D15">
      <w:pPr>
        <w:rPr>
          <w:color w:val="000000"/>
        </w:rPr>
      </w:pPr>
      <w:r w:rsidRPr="00A94D15">
        <w:rPr>
          <w:color w:val="000000"/>
        </w:rPr>
        <w:t>После длительного и массивного</w:t>
      </w:r>
      <w:r w:rsidR="00A94D15">
        <w:rPr>
          <w:color w:val="000000"/>
        </w:rPr>
        <w:t xml:space="preserve"> (</w:t>
      </w:r>
      <w:r w:rsidRPr="00A94D15">
        <w:rPr>
          <w:color w:val="000000"/>
        </w:rPr>
        <w:t>7</w:t>
      </w:r>
      <w:r w:rsidR="00A94D15" w:rsidRPr="00A94D15">
        <w:rPr>
          <w:color w:val="000000"/>
        </w:rPr>
        <w:t>-</w:t>
      </w:r>
      <w:r w:rsidRPr="00A94D15">
        <w:rPr>
          <w:color w:val="000000"/>
        </w:rPr>
        <w:t>10 мг/кг</w:t>
      </w:r>
      <w:r w:rsidR="00A94D15" w:rsidRPr="00A94D15">
        <w:rPr>
          <w:color w:val="000000"/>
        </w:rPr>
        <w:t xml:space="preserve">) </w:t>
      </w:r>
      <w:r w:rsidRPr="00A94D15">
        <w:rPr>
          <w:color w:val="000000"/>
        </w:rPr>
        <w:t>применения сукцинилхолина характер нервно-мышечного блока может измениться и стать схожим с недеполяризующим блоком</w:t>
      </w:r>
      <w:r w:rsidR="00A94D15" w:rsidRPr="00A94D15">
        <w:rPr>
          <w:color w:val="000000"/>
        </w:rPr>
        <w:t xml:space="preserve">. </w:t>
      </w:r>
    </w:p>
    <w:p w:rsidR="00A94D15" w:rsidRDefault="00593F0B" w:rsidP="002C2B22">
      <w:pPr>
        <w:rPr>
          <w:color w:val="000000"/>
        </w:rPr>
      </w:pPr>
      <w:r w:rsidRPr="00A94D15">
        <w:rPr>
          <w:color w:val="000000"/>
        </w:rPr>
        <w:t>Это называется развитием II фазы блока, или десенситизирующего блока</w:t>
      </w:r>
      <w:r w:rsidR="00A94D15" w:rsidRPr="00A94D15">
        <w:rPr>
          <w:color w:val="000000"/>
        </w:rPr>
        <w:t>.</w:t>
      </w:r>
    </w:p>
    <w:p w:rsidR="00A94D15" w:rsidRDefault="00A94D15" w:rsidP="00A94D15">
      <w:pPr>
        <w:pStyle w:val="2"/>
        <w:rPr>
          <w:color w:val="000000"/>
        </w:rPr>
      </w:pPr>
      <w:r>
        <w:rPr>
          <w:color w:val="000000"/>
        </w:rPr>
        <w:br w:type="page"/>
      </w:r>
      <w:r w:rsidR="00593F0B" w:rsidRPr="00A94D15">
        <w:rPr>
          <w:color w:val="000000"/>
        </w:rPr>
        <w:t>Что должен выяснить анестезиолог у больного с подозрением на риск осложнения после введения сукцинилхолина</w:t>
      </w:r>
      <w:r w:rsidRPr="00A94D15">
        <w:rPr>
          <w:color w:val="000000"/>
        </w:rPr>
        <w:t>?</w:t>
      </w:r>
    </w:p>
    <w:p w:rsidR="00A94D15" w:rsidRDefault="00A94D15" w:rsidP="00A94D15">
      <w:pPr>
        <w:rPr>
          <w:color w:val="000000"/>
        </w:rPr>
      </w:pPr>
    </w:p>
    <w:p w:rsidR="00A94D15" w:rsidRDefault="00593F0B" w:rsidP="00A94D15">
      <w:pPr>
        <w:rPr>
          <w:color w:val="000000"/>
        </w:rPr>
      </w:pPr>
      <w:r w:rsidRPr="00A94D15">
        <w:rPr>
          <w:color w:val="000000"/>
        </w:rPr>
        <w:t>Были ли у пациента или членов его семьи случаи лихорадки или необъяснимой смерти во время анестезий в прошлом</w:t>
      </w:r>
      <w:r w:rsidR="00A94D15" w:rsidRPr="00A94D15">
        <w:rPr>
          <w:color w:val="000000"/>
        </w:rPr>
        <w:t>.</w:t>
      </w:r>
    </w:p>
    <w:p w:rsidR="00A94D15" w:rsidRDefault="00593F0B" w:rsidP="00A94D15">
      <w:pPr>
        <w:rPr>
          <w:color w:val="000000"/>
        </w:rPr>
      </w:pPr>
      <w:r w:rsidRPr="00A94D15">
        <w:rPr>
          <w:color w:val="000000"/>
        </w:rPr>
        <w:t>Не было ли у пациента или членов его семьи необъяснимого плохого самочувствия и слабости после прошлых анестезий или необходимости в проведении ИВЛ после обычных хирургических операций</w:t>
      </w:r>
      <w:r w:rsidR="00A94D15" w:rsidRPr="00A94D15">
        <w:rPr>
          <w:color w:val="000000"/>
        </w:rPr>
        <w:t>.</w:t>
      </w:r>
    </w:p>
    <w:p w:rsidR="00A94D15" w:rsidRDefault="00593F0B" w:rsidP="00A94D15">
      <w:pPr>
        <w:rPr>
          <w:color w:val="000000"/>
        </w:rPr>
      </w:pPr>
      <w:r w:rsidRPr="00A94D15">
        <w:rPr>
          <w:color w:val="000000"/>
        </w:rPr>
        <w:t>Не было ли у пациента или членов его семьи во время прошлых анестезий</w:t>
      </w:r>
      <w:r w:rsidR="00A94D15">
        <w:rPr>
          <w:color w:val="000000"/>
        </w:rPr>
        <w:t xml:space="preserve"> "</w:t>
      </w:r>
      <w:r w:rsidRPr="00A94D15">
        <w:rPr>
          <w:color w:val="000000"/>
        </w:rPr>
        <w:t>кризиса</w:t>
      </w:r>
      <w:r w:rsidR="00A94D15">
        <w:rPr>
          <w:color w:val="000000"/>
        </w:rPr>
        <w:t xml:space="preserve">", </w:t>
      </w:r>
      <w:r w:rsidRPr="00A94D15">
        <w:rPr>
          <w:color w:val="000000"/>
        </w:rPr>
        <w:t>который невозможно было объяснить существующими медицинскими проблемами</w:t>
      </w:r>
      <w:r w:rsidR="00A94D15" w:rsidRPr="00A94D15">
        <w:rPr>
          <w:color w:val="000000"/>
        </w:rPr>
        <w:t>.</w:t>
      </w:r>
    </w:p>
    <w:p w:rsidR="00A94D15" w:rsidRDefault="00593F0B" w:rsidP="00A94D15">
      <w:pPr>
        <w:rPr>
          <w:color w:val="000000"/>
        </w:rPr>
      </w:pPr>
      <w:r w:rsidRPr="00A94D15">
        <w:rPr>
          <w:color w:val="000000"/>
        </w:rPr>
        <w:t>Не было ли у пациента или членов его семьи лихорадки или выраженной миалгии после физической нагрузки</w:t>
      </w:r>
      <w:r w:rsidR="00A94D15" w:rsidRPr="00A94D15">
        <w:rPr>
          <w:color w:val="000000"/>
        </w:rPr>
        <w:t>.</w:t>
      </w:r>
    </w:p>
    <w:p w:rsidR="00A94D15" w:rsidRDefault="00A94D15" w:rsidP="00A94D15">
      <w:pPr>
        <w:rPr>
          <w:color w:val="000000"/>
        </w:rPr>
      </w:pPr>
    </w:p>
    <w:p w:rsidR="00A94D15" w:rsidRDefault="00593F0B" w:rsidP="00A94D15">
      <w:pPr>
        <w:pStyle w:val="2"/>
        <w:rPr>
          <w:color w:val="000000"/>
        </w:rPr>
      </w:pPr>
      <w:r w:rsidRPr="00A94D15">
        <w:rPr>
          <w:color w:val="000000"/>
        </w:rPr>
        <w:t>Что такое плазменная холинэстераза</w:t>
      </w:r>
      <w:r w:rsidR="00A94D15">
        <w:rPr>
          <w:color w:val="000000"/>
        </w:rPr>
        <w:t xml:space="preserve"> (</w:t>
      </w:r>
      <w:r w:rsidRPr="00A94D15">
        <w:rPr>
          <w:color w:val="000000"/>
        </w:rPr>
        <w:t>псевдохолинэстераза</w:t>
      </w:r>
      <w:r w:rsidR="00A94D15">
        <w:rPr>
          <w:color w:val="000000"/>
        </w:rPr>
        <w:t>)?</w:t>
      </w:r>
    </w:p>
    <w:p w:rsidR="00A94D15" w:rsidRDefault="00A94D15" w:rsidP="00A94D15">
      <w:pPr>
        <w:rPr>
          <w:color w:val="000000"/>
        </w:rPr>
      </w:pPr>
    </w:p>
    <w:p w:rsidR="008A1D35" w:rsidRDefault="00593F0B" w:rsidP="00A94D15">
      <w:pPr>
        <w:rPr>
          <w:color w:val="000000"/>
        </w:rPr>
      </w:pPr>
      <w:r w:rsidRPr="00A94D15">
        <w:rPr>
          <w:color w:val="000000"/>
        </w:rPr>
        <w:t>Плазменная холинэстераза вырабатывается печенью, метаболизирует сукцинилхолин, эстеризированные местные анестетики и мивакуриум</w:t>
      </w:r>
      <w:r w:rsidR="00A94D15">
        <w:rPr>
          <w:color w:val="000000"/>
        </w:rPr>
        <w:t xml:space="preserve"> (</w:t>
      </w:r>
      <w:r w:rsidRPr="00A94D15">
        <w:rPr>
          <w:color w:val="000000"/>
        </w:rPr>
        <w:t>недеполяризующий миорелаксант</w:t>
      </w:r>
      <w:r w:rsidR="00A94D15" w:rsidRPr="00A94D15">
        <w:rPr>
          <w:color w:val="000000"/>
        </w:rPr>
        <w:t xml:space="preserve">). </w:t>
      </w:r>
    </w:p>
    <w:p w:rsidR="00A94D15" w:rsidRDefault="00593F0B" w:rsidP="00A94D15">
      <w:pPr>
        <w:rPr>
          <w:color w:val="000000"/>
        </w:rPr>
      </w:pPr>
      <w:r w:rsidRPr="00A94D15">
        <w:rPr>
          <w:color w:val="000000"/>
        </w:rPr>
        <w:t>Снижение уровня холинэстеразы плазмы, выявленное при печеночной патологии, беременности, злокачественных опухолях, истощении, системных заболеваниях соединительной ткани и гипотиреоидизме, может обусловить продленный сукцинилхолиновый блок</w:t>
      </w:r>
      <w:r w:rsidR="00A94D15" w:rsidRPr="00A94D15">
        <w:rPr>
          <w:color w:val="000000"/>
        </w:rPr>
        <w:t>.</w:t>
      </w:r>
    </w:p>
    <w:p w:rsidR="00A94D15" w:rsidRDefault="00A94D15" w:rsidP="00A94D15">
      <w:pPr>
        <w:rPr>
          <w:color w:val="000000"/>
        </w:rPr>
      </w:pPr>
    </w:p>
    <w:p w:rsidR="00A94D15" w:rsidRDefault="00593F0B" w:rsidP="00A94D15">
      <w:pPr>
        <w:pStyle w:val="2"/>
        <w:rPr>
          <w:color w:val="000000"/>
        </w:rPr>
      </w:pPr>
      <w:r w:rsidRPr="00A94D15">
        <w:rPr>
          <w:color w:val="000000"/>
        </w:rPr>
        <w:t>Объясните важность дибукаинового числа</w:t>
      </w:r>
    </w:p>
    <w:p w:rsidR="00A94D15" w:rsidRDefault="00A94D15" w:rsidP="00A94D15">
      <w:pPr>
        <w:rPr>
          <w:color w:val="000000"/>
        </w:rPr>
      </w:pPr>
    </w:p>
    <w:p w:rsidR="008A1D35" w:rsidRDefault="00593F0B" w:rsidP="00A94D15">
      <w:pPr>
        <w:rPr>
          <w:color w:val="000000"/>
        </w:rPr>
      </w:pPr>
      <w:r w:rsidRPr="00A94D15">
        <w:rPr>
          <w:color w:val="000000"/>
        </w:rPr>
        <w:t>Псевдохолинэстераза имеет качественную и количественную характеристику, что уточняется пробой с дибукаином</w:t>
      </w:r>
      <w:r w:rsidR="00A94D15" w:rsidRPr="00A94D15">
        <w:rPr>
          <w:color w:val="000000"/>
        </w:rPr>
        <w:t xml:space="preserve">. </w:t>
      </w:r>
      <w:r w:rsidRPr="00A94D15">
        <w:rPr>
          <w:color w:val="000000"/>
        </w:rPr>
        <w:t>Дибукаин угнетает нормальную псевдохолинэстеразу на 80%, тогда как атипичную псевдохолинэстеразу лишь на 20%</w:t>
      </w:r>
      <w:r w:rsidR="00A94D15" w:rsidRPr="00A94D15">
        <w:rPr>
          <w:color w:val="000000"/>
        </w:rPr>
        <w:t xml:space="preserve">. </w:t>
      </w:r>
      <w:r w:rsidRPr="00A94D15">
        <w:rPr>
          <w:color w:val="000000"/>
        </w:rPr>
        <w:t>У больных с нормальным метаболизмом сукцинилхолина дибукаиновое число 80</w:t>
      </w:r>
      <w:r w:rsidR="00A94D15" w:rsidRPr="00A94D15">
        <w:rPr>
          <w:color w:val="000000"/>
        </w:rPr>
        <w:t xml:space="preserve">. </w:t>
      </w:r>
    </w:p>
    <w:p w:rsidR="002C2B22" w:rsidRDefault="00593F0B" w:rsidP="00A94D15">
      <w:pPr>
        <w:rPr>
          <w:color w:val="000000"/>
        </w:rPr>
      </w:pPr>
      <w:r w:rsidRPr="00A94D15">
        <w:rPr>
          <w:color w:val="000000"/>
        </w:rPr>
        <w:t>Если дибукаиновое число 40-60, больного следует отнести к гетерозиготным по атипичной псевдохолинэстеразе, у него будет среднее удлинение сукцинилхолинового блока</w:t>
      </w:r>
      <w:r w:rsidR="00A94D15" w:rsidRPr="00A94D15">
        <w:rPr>
          <w:color w:val="000000"/>
        </w:rPr>
        <w:t xml:space="preserve">. </w:t>
      </w:r>
    </w:p>
    <w:p w:rsidR="00A94D15" w:rsidRDefault="00593F0B" w:rsidP="00A94D15">
      <w:pPr>
        <w:rPr>
          <w:color w:val="000000"/>
        </w:rPr>
      </w:pPr>
      <w:r w:rsidRPr="00A94D15">
        <w:rPr>
          <w:color w:val="000000"/>
        </w:rPr>
        <w:t>Если дибукаиновое число 20, больной относится к гомозиготным по атипичной псевдохолинэстеразе, у него будет выраженное продление сукцинилхолинового блока</w:t>
      </w:r>
      <w:r w:rsidR="00A94D15" w:rsidRPr="00A94D15">
        <w:rPr>
          <w:color w:val="000000"/>
        </w:rPr>
        <w:t>.</w:t>
      </w:r>
    </w:p>
    <w:p w:rsidR="00A94D15" w:rsidRDefault="00593F0B" w:rsidP="00A94D15">
      <w:pPr>
        <w:rPr>
          <w:color w:val="000000"/>
        </w:rPr>
      </w:pPr>
      <w:r w:rsidRPr="00A94D15">
        <w:rPr>
          <w:color w:val="000000"/>
        </w:rPr>
        <w:t>Важно помнить, что дибукаиновое число</w:t>
      </w:r>
      <w:r w:rsidR="00A94D15" w:rsidRPr="00A94D15">
        <w:rPr>
          <w:color w:val="000000"/>
        </w:rPr>
        <w:t xml:space="preserve"> - </w:t>
      </w:r>
      <w:r w:rsidRPr="00A94D15">
        <w:rPr>
          <w:color w:val="000000"/>
        </w:rPr>
        <w:t xml:space="preserve">это качественная, а не количественная оценка псевдохолинэстеразы, </w:t>
      </w:r>
      <w:r w:rsidR="00A94D15">
        <w:rPr>
          <w:color w:val="000000"/>
        </w:rPr>
        <w:t>т.е.</w:t>
      </w:r>
      <w:r w:rsidR="00A94D15" w:rsidRPr="00A94D15">
        <w:rPr>
          <w:color w:val="000000"/>
        </w:rPr>
        <w:t xml:space="preserve"> </w:t>
      </w:r>
      <w:r w:rsidRPr="00A94D15">
        <w:rPr>
          <w:color w:val="000000"/>
        </w:rPr>
        <w:t>у больного с дибукаиновым числом 80 может быть продленный сукцинилхолиновый блок из-за низкой концентрации нормальной псевдохолинэстеразы</w:t>
      </w:r>
      <w:r w:rsidR="00A94D15" w:rsidRPr="00A94D15">
        <w:rPr>
          <w:color w:val="000000"/>
        </w:rPr>
        <w:t>.</w:t>
      </w:r>
    </w:p>
    <w:p w:rsidR="00A94D15" w:rsidRDefault="00A94D15" w:rsidP="00A94D15">
      <w:pPr>
        <w:rPr>
          <w:color w:val="000000"/>
        </w:rPr>
      </w:pPr>
    </w:p>
    <w:p w:rsidR="00A94D15" w:rsidRDefault="00593F0B" w:rsidP="00A94D15">
      <w:pPr>
        <w:pStyle w:val="2"/>
        <w:rPr>
          <w:color w:val="000000"/>
        </w:rPr>
      </w:pPr>
      <w:r w:rsidRPr="00A94D15">
        <w:rPr>
          <w:color w:val="000000"/>
        </w:rPr>
        <w:t>Мой больной прекрасно восстановился после</w:t>
      </w:r>
      <w:r w:rsidR="00A94D15">
        <w:rPr>
          <w:color w:val="000000"/>
        </w:rPr>
        <w:t xml:space="preserve"> "</w:t>
      </w:r>
      <w:r w:rsidRPr="00A94D15">
        <w:rPr>
          <w:color w:val="000000"/>
        </w:rPr>
        <w:t>учебной</w:t>
      </w:r>
      <w:r w:rsidR="00A94D15">
        <w:rPr>
          <w:color w:val="000000"/>
        </w:rPr>
        <w:t xml:space="preserve">" </w:t>
      </w:r>
      <w:r w:rsidRPr="00A94D15">
        <w:rPr>
          <w:color w:val="000000"/>
        </w:rPr>
        <w:t>анестезии, но жаловался на боли во всем теле</w:t>
      </w:r>
      <w:r w:rsidR="00A94D15" w:rsidRPr="00A94D15">
        <w:rPr>
          <w:color w:val="000000"/>
        </w:rPr>
        <w:t xml:space="preserve">. </w:t>
      </w:r>
      <w:r w:rsidRPr="00A94D15">
        <w:rPr>
          <w:color w:val="000000"/>
        </w:rPr>
        <w:t>Что произошло</w:t>
      </w:r>
    </w:p>
    <w:p w:rsidR="00A94D15" w:rsidRPr="00A94D15" w:rsidRDefault="00A94D15" w:rsidP="00A94D15"/>
    <w:p w:rsidR="008A1D35" w:rsidRDefault="00593F0B" w:rsidP="00A94D15">
      <w:pPr>
        <w:rPr>
          <w:color w:val="000000"/>
        </w:rPr>
      </w:pPr>
      <w:r w:rsidRPr="00A94D15">
        <w:rPr>
          <w:color w:val="000000"/>
        </w:rPr>
        <w:t>Сукцинилхолин</w:t>
      </w:r>
      <w:r w:rsidR="00A94D15" w:rsidRPr="00A94D15">
        <w:rPr>
          <w:color w:val="000000"/>
        </w:rPr>
        <w:t xml:space="preserve"> - </w:t>
      </w:r>
      <w:r w:rsidRPr="00A94D15">
        <w:rPr>
          <w:color w:val="000000"/>
        </w:rPr>
        <w:t>единственный миорелаксант, вызывающий миалгию</w:t>
      </w:r>
      <w:r w:rsidR="00A94D15" w:rsidRPr="00A94D15">
        <w:rPr>
          <w:color w:val="000000"/>
        </w:rPr>
        <w:t xml:space="preserve">. </w:t>
      </w:r>
      <w:r w:rsidRPr="00A94D15">
        <w:rPr>
          <w:color w:val="000000"/>
        </w:rPr>
        <w:t>Ее частота колеблется от 10 до 70%</w:t>
      </w:r>
      <w:r w:rsidR="00A94D15" w:rsidRPr="00A94D15">
        <w:rPr>
          <w:color w:val="000000"/>
        </w:rPr>
        <w:t xml:space="preserve">. </w:t>
      </w:r>
      <w:r w:rsidRPr="00A94D15">
        <w:rPr>
          <w:color w:val="000000"/>
        </w:rPr>
        <w:t>Она чаще всего развивается у лиц мышечного телосложения и амбулаторно оперируемых</w:t>
      </w:r>
      <w:r w:rsidR="00A94D15" w:rsidRPr="00A94D15">
        <w:rPr>
          <w:color w:val="000000"/>
        </w:rPr>
        <w:t xml:space="preserve">. </w:t>
      </w:r>
    </w:p>
    <w:p w:rsidR="00A94D15" w:rsidRDefault="00593F0B" w:rsidP="00A94D15">
      <w:pPr>
        <w:rPr>
          <w:color w:val="000000"/>
        </w:rPr>
      </w:pPr>
      <w:r w:rsidRPr="00A94D15">
        <w:rPr>
          <w:color w:val="000000"/>
        </w:rPr>
        <w:t>Хотя частота миалгии не зависит от фасцикуляций, частота ее снижается после применения небольших доз недеполяризующих релаксантов, например тракриума 0,025 мг/кг</w:t>
      </w:r>
      <w:r w:rsidR="00A94D15" w:rsidRPr="00A94D15">
        <w:rPr>
          <w:color w:val="000000"/>
        </w:rPr>
        <w:t>.</w:t>
      </w:r>
    </w:p>
    <w:p w:rsidR="00A94D15" w:rsidRDefault="00A94D15" w:rsidP="00A94D15">
      <w:pPr>
        <w:rPr>
          <w:color w:val="000000"/>
        </w:rPr>
      </w:pPr>
    </w:p>
    <w:p w:rsidR="00593F0B" w:rsidRDefault="00593F0B" w:rsidP="00A94D15">
      <w:pPr>
        <w:pStyle w:val="2"/>
        <w:rPr>
          <w:color w:val="000000"/>
        </w:rPr>
      </w:pPr>
      <w:r w:rsidRPr="00A94D15">
        <w:rPr>
          <w:color w:val="000000"/>
        </w:rPr>
        <w:t>Как классифицируются недеполяризующие миорелаксанты</w:t>
      </w:r>
      <w:r w:rsidR="00A94D15" w:rsidRPr="00A94D15">
        <w:rPr>
          <w:color w:val="000000"/>
        </w:rPr>
        <w:t>?</w:t>
      </w:r>
    </w:p>
    <w:p w:rsidR="00A94D15" w:rsidRPr="00A94D15" w:rsidRDefault="00A94D15" w:rsidP="00A94D15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46"/>
        <w:gridCol w:w="914"/>
        <w:gridCol w:w="1597"/>
        <w:gridCol w:w="3080"/>
        <w:gridCol w:w="1539"/>
      </w:tblGrid>
      <w:tr w:rsidR="0089381C" w:rsidRPr="00F14CE1" w:rsidTr="00F14CE1">
        <w:trPr>
          <w:jc w:val="center"/>
        </w:trPr>
        <w:tc>
          <w:tcPr>
            <w:tcW w:w="1746" w:type="dxa"/>
            <w:shd w:val="clear" w:color="auto" w:fill="auto"/>
          </w:tcPr>
          <w:p w:rsidR="0089381C" w:rsidRPr="00A94D15" w:rsidRDefault="00A94D15" w:rsidP="00A94D15">
            <w:pPr>
              <w:pStyle w:val="af9"/>
            </w:pPr>
            <w:r w:rsidRPr="00A94D15">
              <w:t>релаксанты</w:t>
            </w:r>
          </w:p>
        </w:tc>
        <w:tc>
          <w:tcPr>
            <w:tcW w:w="914" w:type="dxa"/>
            <w:shd w:val="clear" w:color="auto" w:fill="auto"/>
          </w:tcPr>
          <w:p w:rsidR="0089381C" w:rsidRPr="00A94D15" w:rsidRDefault="00A94D15" w:rsidP="00A94D15">
            <w:pPr>
              <w:pStyle w:val="af9"/>
              <w:rPr>
                <w:lang w:eastAsia="en-US"/>
              </w:rPr>
            </w:pPr>
            <w:r w:rsidRPr="00F14CE1">
              <w:rPr>
                <w:lang w:val="en-US" w:eastAsia="en-US"/>
              </w:rPr>
              <w:t>ed</w:t>
            </w:r>
            <w:r w:rsidRPr="00F14CE1">
              <w:rPr>
                <w:vertAlign w:val="subscript"/>
                <w:lang w:val="en-US" w:eastAsia="en-US"/>
              </w:rPr>
              <w:t>95</w:t>
            </w:r>
            <w:r w:rsidRPr="00F14CE1">
              <w:rPr>
                <w:lang w:val="en-US" w:eastAsia="en-US"/>
              </w:rPr>
              <w:t xml:space="preserve">, </w:t>
            </w:r>
            <w:r w:rsidRPr="00A94D15">
              <w:rPr>
                <w:lang w:eastAsia="en-US"/>
              </w:rPr>
              <w:t>мг/кг</w:t>
            </w:r>
          </w:p>
        </w:tc>
        <w:tc>
          <w:tcPr>
            <w:tcW w:w="1597" w:type="dxa"/>
            <w:shd w:val="clear" w:color="auto" w:fill="auto"/>
          </w:tcPr>
          <w:p w:rsidR="0089381C" w:rsidRPr="00A94D15" w:rsidRDefault="008A1D35" w:rsidP="00A94D15">
            <w:pPr>
              <w:pStyle w:val="af9"/>
            </w:pPr>
            <w:r>
              <w:t>интубаци</w:t>
            </w:r>
            <w:r w:rsidR="00A94D15" w:rsidRPr="00A94D15">
              <w:t>онная доза, мг/кг</w:t>
            </w:r>
          </w:p>
        </w:tc>
        <w:tc>
          <w:tcPr>
            <w:tcW w:w="3080" w:type="dxa"/>
            <w:shd w:val="clear" w:color="auto" w:fill="auto"/>
          </w:tcPr>
          <w:p w:rsidR="0089381C" w:rsidRPr="00A94D15" w:rsidRDefault="00A94D15" w:rsidP="00A94D15">
            <w:pPr>
              <w:pStyle w:val="af9"/>
            </w:pPr>
            <w:r w:rsidRPr="00A94D15">
              <w:t>начало действия после введени</w:t>
            </w:r>
            <w:r w:rsidR="008A1D35">
              <w:t>я инту</w:t>
            </w:r>
            <w:r w:rsidRPr="00A94D15">
              <w:t>бационной дозы, мин</w:t>
            </w:r>
          </w:p>
        </w:tc>
        <w:tc>
          <w:tcPr>
            <w:tcW w:w="1539" w:type="dxa"/>
            <w:shd w:val="clear" w:color="auto" w:fill="auto"/>
          </w:tcPr>
          <w:p w:rsidR="0089381C" w:rsidRPr="00A94D15" w:rsidRDefault="00A94D15" w:rsidP="00A94D15">
            <w:pPr>
              <w:pStyle w:val="af9"/>
            </w:pPr>
            <w:r w:rsidRPr="00A94D15">
              <w:t>длительность действия, мин*</w:t>
            </w:r>
          </w:p>
        </w:tc>
      </w:tr>
      <w:tr w:rsidR="0089381C" w:rsidRPr="00A94D15" w:rsidTr="00F14CE1">
        <w:trPr>
          <w:jc w:val="center"/>
        </w:trPr>
        <w:tc>
          <w:tcPr>
            <w:tcW w:w="1746" w:type="dxa"/>
            <w:shd w:val="clear" w:color="auto" w:fill="auto"/>
          </w:tcPr>
          <w:p w:rsidR="0089381C" w:rsidRPr="00A94D15" w:rsidRDefault="0089381C" w:rsidP="00A94D15">
            <w:pPr>
              <w:pStyle w:val="af9"/>
            </w:pPr>
            <w:r w:rsidRPr="00A94D15">
              <w:t>Коротко действующие</w:t>
            </w:r>
          </w:p>
        </w:tc>
        <w:tc>
          <w:tcPr>
            <w:tcW w:w="914" w:type="dxa"/>
            <w:shd w:val="clear" w:color="auto" w:fill="auto"/>
          </w:tcPr>
          <w:p w:rsidR="0089381C" w:rsidRPr="00A94D15" w:rsidRDefault="0089381C" w:rsidP="00A94D15">
            <w:pPr>
              <w:pStyle w:val="af9"/>
            </w:pPr>
          </w:p>
        </w:tc>
        <w:tc>
          <w:tcPr>
            <w:tcW w:w="1597" w:type="dxa"/>
            <w:shd w:val="clear" w:color="auto" w:fill="auto"/>
          </w:tcPr>
          <w:p w:rsidR="0089381C" w:rsidRPr="00A94D15" w:rsidRDefault="0089381C" w:rsidP="00A94D15">
            <w:pPr>
              <w:pStyle w:val="af9"/>
            </w:pPr>
          </w:p>
        </w:tc>
        <w:tc>
          <w:tcPr>
            <w:tcW w:w="3080" w:type="dxa"/>
            <w:shd w:val="clear" w:color="auto" w:fill="auto"/>
          </w:tcPr>
          <w:p w:rsidR="0089381C" w:rsidRPr="00A94D15" w:rsidRDefault="0089381C" w:rsidP="00A94D15">
            <w:pPr>
              <w:pStyle w:val="af9"/>
            </w:pPr>
          </w:p>
        </w:tc>
        <w:tc>
          <w:tcPr>
            <w:tcW w:w="1539" w:type="dxa"/>
            <w:shd w:val="clear" w:color="auto" w:fill="auto"/>
          </w:tcPr>
          <w:p w:rsidR="0089381C" w:rsidRPr="00A94D15" w:rsidRDefault="0089381C" w:rsidP="00A94D15">
            <w:pPr>
              <w:pStyle w:val="af9"/>
            </w:pPr>
          </w:p>
        </w:tc>
      </w:tr>
      <w:tr w:rsidR="0089381C" w:rsidRPr="00F14CE1" w:rsidTr="00F14CE1">
        <w:trPr>
          <w:jc w:val="center"/>
        </w:trPr>
        <w:tc>
          <w:tcPr>
            <w:tcW w:w="1746" w:type="dxa"/>
            <w:shd w:val="clear" w:color="auto" w:fill="auto"/>
          </w:tcPr>
          <w:p w:rsidR="0089381C" w:rsidRPr="00A94D15" w:rsidRDefault="0089381C" w:rsidP="00A94D15">
            <w:pPr>
              <w:pStyle w:val="af9"/>
            </w:pPr>
            <w:r w:rsidRPr="00A94D15">
              <w:t>Сукцинилхолин</w:t>
            </w:r>
          </w:p>
        </w:tc>
        <w:tc>
          <w:tcPr>
            <w:tcW w:w="914" w:type="dxa"/>
            <w:shd w:val="clear" w:color="auto" w:fill="auto"/>
          </w:tcPr>
          <w:p w:rsidR="0089381C" w:rsidRPr="00A94D15" w:rsidRDefault="0089381C" w:rsidP="00A94D15">
            <w:pPr>
              <w:pStyle w:val="af9"/>
            </w:pPr>
            <w:r w:rsidRPr="00A94D15">
              <w:t>0,3</w:t>
            </w:r>
          </w:p>
        </w:tc>
        <w:tc>
          <w:tcPr>
            <w:tcW w:w="1597" w:type="dxa"/>
            <w:shd w:val="clear" w:color="auto" w:fill="auto"/>
          </w:tcPr>
          <w:p w:rsidR="0089381C" w:rsidRPr="00A94D15" w:rsidRDefault="0089381C" w:rsidP="00A94D15">
            <w:pPr>
              <w:pStyle w:val="af9"/>
            </w:pPr>
            <w:r w:rsidRPr="00A94D15">
              <w:t>1,0</w:t>
            </w:r>
          </w:p>
        </w:tc>
        <w:tc>
          <w:tcPr>
            <w:tcW w:w="3080" w:type="dxa"/>
            <w:shd w:val="clear" w:color="auto" w:fill="auto"/>
          </w:tcPr>
          <w:p w:rsidR="0089381C" w:rsidRPr="00A94D15" w:rsidRDefault="0089381C" w:rsidP="00A94D15">
            <w:pPr>
              <w:pStyle w:val="af9"/>
            </w:pPr>
            <w:r w:rsidRPr="00A94D15">
              <w:t>0,75</w:t>
            </w:r>
          </w:p>
        </w:tc>
        <w:tc>
          <w:tcPr>
            <w:tcW w:w="1539" w:type="dxa"/>
            <w:shd w:val="clear" w:color="auto" w:fill="auto"/>
          </w:tcPr>
          <w:p w:rsidR="0089381C" w:rsidRPr="00A94D15" w:rsidRDefault="0089381C" w:rsidP="00A94D15">
            <w:pPr>
              <w:pStyle w:val="af9"/>
            </w:pPr>
            <w:r w:rsidRPr="00A94D15">
              <w:t>5-10</w:t>
            </w:r>
          </w:p>
        </w:tc>
      </w:tr>
      <w:tr w:rsidR="0089381C" w:rsidRPr="00F14CE1" w:rsidTr="00F14CE1">
        <w:trPr>
          <w:jc w:val="center"/>
        </w:trPr>
        <w:tc>
          <w:tcPr>
            <w:tcW w:w="1746" w:type="dxa"/>
            <w:shd w:val="clear" w:color="auto" w:fill="auto"/>
          </w:tcPr>
          <w:p w:rsidR="0089381C" w:rsidRPr="00A94D15" w:rsidRDefault="0089381C" w:rsidP="00A94D15">
            <w:pPr>
              <w:pStyle w:val="af9"/>
            </w:pPr>
            <w:r w:rsidRPr="00A94D15">
              <w:t>Мивакуриум</w:t>
            </w:r>
          </w:p>
        </w:tc>
        <w:tc>
          <w:tcPr>
            <w:tcW w:w="914" w:type="dxa"/>
            <w:shd w:val="clear" w:color="auto" w:fill="auto"/>
          </w:tcPr>
          <w:p w:rsidR="0089381C" w:rsidRPr="00A94D15" w:rsidRDefault="0089381C" w:rsidP="00A94D15">
            <w:pPr>
              <w:pStyle w:val="af9"/>
            </w:pPr>
            <w:r w:rsidRPr="00A94D15">
              <w:t>0,08</w:t>
            </w:r>
          </w:p>
        </w:tc>
        <w:tc>
          <w:tcPr>
            <w:tcW w:w="1597" w:type="dxa"/>
            <w:shd w:val="clear" w:color="auto" w:fill="auto"/>
          </w:tcPr>
          <w:p w:rsidR="0089381C" w:rsidRPr="00A94D15" w:rsidRDefault="0089381C" w:rsidP="00A94D15">
            <w:pPr>
              <w:pStyle w:val="af9"/>
            </w:pPr>
            <w:r w:rsidRPr="00A94D15">
              <w:t>0,2</w:t>
            </w:r>
          </w:p>
        </w:tc>
        <w:tc>
          <w:tcPr>
            <w:tcW w:w="3080" w:type="dxa"/>
            <w:shd w:val="clear" w:color="auto" w:fill="auto"/>
          </w:tcPr>
          <w:p w:rsidR="0089381C" w:rsidRPr="00A94D15" w:rsidRDefault="0089381C" w:rsidP="00A94D15">
            <w:pPr>
              <w:pStyle w:val="af9"/>
            </w:pPr>
            <w:r w:rsidRPr="00A94D15">
              <w:t>1,0-1,5</w:t>
            </w:r>
          </w:p>
        </w:tc>
        <w:tc>
          <w:tcPr>
            <w:tcW w:w="1539" w:type="dxa"/>
            <w:shd w:val="clear" w:color="auto" w:fill="auto"/>
          </w:tcPr>
          <w:p w:rsidR="0089381C" w:rsidRPr="00A94D15" w:rsidRDefault="0089381C" w:rsidP="00A94D15">
            <w:pPr>
              <w:pStyle w:val="af9"/>
            </w:pPr>
            <w:r w:rsidRPr="00A94D15">
              <w:t>15-20</w:t>
            </w:r>
          </w:p>
        </w:tc>
      </w:tr>
      <w:tr w:rsidR="0089381C" w:rsidRPr="00F14CE1" w:rsidTr="00F14CE1">
        <w:trPr>
          <w:jc w:val="center"/>
        </w:trPr>
        <w:tc>
          <w:tcPr>
            <w:tcW w:w="1746" w:type="dxa"/>
            <w:shd w:val="clear" w:color="auto" w:fill="auto"/>
          </w:tcPr>
          <w:p w:rsidR="0089381C" w:rsidRPr="00A94D15" w:rsidRDefault="0089381C" w:rsidP="00A94D15">
            <w:pPr>
              <w:pStyle w:val="af9"/>
            </w:pPr>
            <w:r w:rsidRPr="00A94D15">
              <w:t>Рокурониум</w:t>
            </w:r>
          </w:p>
        </w:tc>
        <w:tc>
          <w:tcPr>
            <w:tcW w:w="914" w:type="dxa"/>
            <w:shd w:val="clear" w:color="auto" w:fill="auto"/>
          </w:tcPr>
          <w:p w:rsidR="0089381C" w:rsidRPr="00A94D15" w:rsidRDefault="0089381C" w:rsidP="00A94D15">
            <w:pPr>
              <w:pStyle w:val="af9"/>
            </w:pPr>
            <w:r w:rsidRPr="00A94D15">
              <w:t>0,3</w:t>
            </w:r>
          </w:p>
        </w:tc>
        <w:tc>
          <w:tcPr>
            <w:tcW w:w="1597" w:type="dxa"/>
            <w:shd w:val="clear" w:color="auto" w:fill="auto"/>
          </w:tcPr>
          <w:p w:rsidR="0089381C" w:rsidRPr="00A94D15" w:rsidRDefault="0089381C" w:rsidP="00A94D15">
            <w:pPr>
              <w:pStyle w:val="af9"/>
            </w:pPr>
            <w:r w:rsidRPr="00A94D15">
              <w:t>0,6</w:t>
            </w:r>
          </w:p>
        </w:tc>
        <w:tc>
          <w:tcPr>
            <w:tcW w:w="3080" w:type="dxa"/>
            <w:shd w:val="clear" w:color="auto" w:fill="auto"/>
          </w:tcPr>
          <w:p w:rsidR="0089381C" w:rsidRPr="00A94D15" w:rsidRDefault="0089381C" w:rsidP="00A94D15">
            <w:pPr>
              <w:pStyle w:val="af9"/>
            </w:pPr>
            <w:r w:rsidRPr="00A94D15">
              <w:t>2-3</w:t>
            </w:r>
          </w:p>
        </w:tc>
        <w:tc>
          <w:tcPr>
            <w:tcW w:w="1539" w:type="dxa"/>
            <w:shd w:val="clear" w:color="auto" w:fill="auto"/>
          </w:tcPr>
          <w:p w:rsidR="0089381C" w:rsidRPr="00A94D15" w:rsidRDefault="0089381C" w:rsidP="00A94D15">
            <w:pPr>
              <w:pStyle w:val="af9"/>
            </w:pPr>
            <w:r w:rsidRPr="00A94D15">
              <w:t>30</w:t>
            </w:r>
          </w:p>
        </w:tc>
      </w:tr>
      <w:tr w:rsidR="0089381C" w:rsidRPr="00F14CE1" w:rsidTr="00F14CE1">
        <w:trPr>
          <w:jc w:val="center"/>
        </w:trPr>
        <w:tc>
          <w:tcPr>
            <w:tcW w:w="1746" w:type="dxa"/>
            <w:shd w:val="clear" w:color="auto" w:fill="auto"/>
          </w:tcPr>
          <w:p w:rsidR="0089381C" w:rsidRPr="00A94D15" w:rsidRDefault="0089381C" w:rsidP="00A94D15">
            <w:pPr>
              <w:pStyle w:val="af9"/>
            </w:pPr>
            <w:r w:rsidRPr="00A94D15">
              <w:t>Рокурониум</w:t>
            </w:r>
          </w:p>
        </w:tc>
        <w:tc>
          <w:tcPr>
            <w:tcW w:w="914" w:type="dxa"/>
            <w:shd w:val="clear" w:color="auto" w:fill="auto"/>
          </w:tcPr>
          <w:p w:rsidR="0089381C" w:rsidRPr="00A94D15" w:rsidRDefault="0089381C" w:rsidP="00A94D15">
            <w:pPr>
              <w:pStyle w:val="af9"/>
            </w:pPr>
            <w:r w:rsidRPr="00A94D15">
              <w:t>-</w:t>
            </w:r>
          </w:p>
        </w:tc>
        <w:tc>
          <w:tcPr>
            <w:tcW w:w="1597" w:type="dxa"/>
            <w:shd w:val="clear" w:color="auto" w:fill="auto"/>
          </w:tcPr>
          <w:p w:rsidR="0089381C" w:rsidRPr="00A94D15" w:rsidRDefault="0089381C" w:rsidP="00A94D15">
            <w:pPr>
              <w:pStyle w:val="af9"/>
            </w:pPr>
            <w:r w:rsidRPr="00A94D15">
              <w:t>1,2</w:t>
            </w:r>
          </w:p>
        </w:tc>
        <w:tc>
          <w:tcPr>
            <w:tcW w:w="3080" w:type="dxa"/>
            <w:shd w:val="clear" w:color="auto" w:fill="auto"/>
          </w:tcPr>
          <w:p w:rsidR="0089381C" w:rsidRPr="00A94D15" w:rsidRDefault="0089381C" w:rsidP="00A94D15">
            <w:pPr>
              <w:pStyle w:val="af9"/>
            </w:pPr>
            <w:r w:rsidRPr="00A94D15">
              <w:t>1,0</w:t>
            </w:r>
          </w:p>
        </w:tc>
        <w:tc>
          <w:tcPr>
            <w:tcW w:w="1539" w:type="dxa"/>
            <w:shd w:val="clear" w:color="auto" w:fill="auto"/>
          </w:tcPr>
          <w:p w:rsidR="0089381C" w:rsidRPr="00A94D15" w:rsidRDefault="0089381C" w:rsidP="00A94D15">
            <w:pPr>
              <w:pStyle w:val="af9"/>
            </w:pPr>
            <w:r w:rsidRPr="00A94D15">
              <w:t>60</w:t>
            </w:r>
          </w:p>
        </w:tc>
      </w:tr>
      <w:tr w:rsidR="0089381C" w:rsidRPr="00A94D15" w:rsidTr="00F14CE1">
        <w:trPr>
          <w:jc w:val="center"/>
        </w:trPr>
        <w:tc>
          <w:tcPr>
            <w:tcW w:w="1746" w:type="dxa"/>
            <w:shd w:val="clear" w:color="auto" w:fill="auto"/>
          </w:tcPr>
          <w:p w:rsidR="0089381C" w:rsidRPr="00A94D15" w:rsidRDefault="0089381C" w:rsidP="00A94D15">
            <w:pPr>
              <w:pStyle w:val="af9"/>
            </w:pPr>
            <w:r w:rsidRPr="00A94D15">
              <w:t>Средней длительности</w:t>
            </w:r>
          </w:p>
        </w:tc>
        <w:tc>
          <w:tcPr>
            <w:tcW w:w="914" w:type="dxa"/>
            <w:shd w:val="clear" w:color="auto" w:fill="auto"/>
          </w:tcPr>
          <w:p w:rsidR="0089381C" w:rsidRPr="00A94D15" w:rsidRDefault="0089381C" w:rsidP="00A94D15">
            <w:pPr>
              <w:pStyle w:val="af9"/>
            </w:pPr>
          </w:p>
        </w:tc>
        <w:tc>
          <w:tcPr>
            <w:tcW w:w="1597" w:type="dxa"/>
            <w:shd w:val="clear" w:color="auto" w:fill="auto"/>
          </w:tcPr>
          <w:p w:rsidR="0089381C" w:rsidRPr="00A94D15" w:rsidRDefault="0089381C" w:rsidP="00A94D15">
            <w:pPr>
              <w:pStyle w:val="af9"/>
            </w:pPr>
          </w:p>
        </w:tc>
        <w:tc>
          <w:tcPr>
            <w:tcW w:w="3080" w:type="dxa"/>
            <w:shd w:val="clear" w:color="auto" w:fill="auto"/>
          </w:tcPr>
          <w:p w:rsidR="0089381C" w:rsidRPr="00A94D15" w:rsidRDefault="0089381C" w:rsidP="00A94D15">
            <w:pPr>
              <w:pStyle w:val="af9"/>
            </w:pPr>
          </w:p>
        </w:tc>
        <w:tc>
          <w:tcPr>
            <w:tcW w:w="1539" w:type="dxa"/>
            <w:shd w:val="clear" w:color="auto" w:fill="auto"/>
          </w:tcPr>
          <w:p w:rsidR="0089381C" w:rsidRPr="00A94D15" w:rsidRDefault="0089381C" w:rsidP="00A94D15">
            <w:pPr>
              <w:pStyle w:val="af9"/>
            </w:pPr>
          </w:p>
        </w:tc>
      </w:tr>
      <w:tr w:rsidR="0089381C" w:rsidRPr="00A94D15" w:rsidTr="00F14CE1">
        <w:trPr>
          <w:jc w:val="center"/>
        </w:trPr>
        <w:tc>
          <w:tcPr>
            <w:tcW w:w="1746" w:type="dxa"/>
            <w:shd w:val="clear" w:color="auto" w:fill="auto"/>
          </w:tcPr>
          <w:p w:rsidR="0089381C" w:rsidRPr="00A94D15" w:rsidRDefault="0089381C" w:rsidP="00A94D15">
            <w:pPr>
              <w:pStyle w:val="af9"/>
            </w:pPr>
            <w:r w:rsidRPr="00A94D15">
              <w:t>действия</w:t>
            </w:r>
          </w:p>
        </w:tc>
        <w:tc>
          <w:tcPr>
            <w:tcW w:w="914" w:type="dxa"/>
            <w:shd w:val="clear" w:color="auto" w:fill="auto"/>
          </w:tcPr>
          <w:p w:rsidR="0089381C" w:rsidRPr="00A94D15" w:rsidRDefault="0089381C" w:rsidP="00A94D15">
            <w:pPr>
              <w:pStyle w:val="af9"/>
            </w:pPr>
          </w:p>
        </w:tc>
        <w:tc>
          <w:tcPr>
            <w:tcW w:w="1597" w:type="dxa"/>
            <w:shd w:val="clear" w:color="auto" w:fill="auto"/>
          </w:tcPr>
          <w:p w:rsidR="0089381C" w:rsidRPr="00A94D15" w:rsidRDefault="0089381C" w:rsidP="00A94D15">
            <w:pPr>
              <w:pStyle w:val="af9"/>
            </w:pPr>
          </w:p>
        </w:tc>
        <w:tc>
          <w:tcPr>
            <w:tcW w:w="3080" w:type="dxa"/>
            <w:shd w:val="clear" w:color="auto" w:fill="auto"/>
          </w:tcPr>
          <w:p w:rsidR="0089381C" w:rsidRPr="00A94D15" w:rsidRDefault="0089381C" w:rsidP="00A94D15">
            <w:pPr>
              <w:pStyle w:val="af9"/>
            </w:pPr>
          </w:p>
        </w:tc>
        <w:tc>
          <w:tcPr>
            <w:tcW w:w="1539" w:type="dxa"/>
            <w:shd w:val="clear" w:color="auto" w:fill="auto"/>
          </w:tcPr>
          <w:p w:rsidR="0089381C" w:rsidRPr="00A94D15" w:rsidRDefault="0089381C" w:rsidP="00A94D15">
            <w:pPr>
              <w:pStyle w:val="af9"/>
            </w:pPr>
          </w:p>
        </w:tc>
      </w:tr>
      <w:tr w:rsidR="0089381C" w:rsidRPr="00F14CE1" w:rsidTr="00F14CE1">
        <w:trPr>
          <w:jc w:val="center"/>
        </w:trPr>
        <w:tc>
          <w:tcPr>
            <w:tcW w:w="1746" w:type="dxa"/>
            <w:shd w:val="clear" w:color="auto" w:fill="auto"/>
          </w:tcPr>
          <w:p w:rsidR="0089381C" w:rsidRPr="00A94D15" w:rsidRDefault="0089381C" w:rsidP="00A94D15">
            <w:pPr>
              <w:pStyle w:val="af9"/>
            </w:pPr>
            <w:r w:rsidRPr="00A94D15">
              <w:t>Векурониум</w:t>
            </w:r>
          </w:p>
        </w:tc>
        <w:tc>
          <w:tcPr>
            <w:tcW w:w="914" w:type="dxa"/>
            <w:shd w:val="clear" w:color="auto" w:fill="auto"/>
          </w:tcPr>
          <w:p w:rsidR="0089381C" w:rsidRPr="00A94D15" w:rsidRDefault="0089381C" w:rsidP="00A94D15">
            <w:pPr>
              <w:pStyle w:val="af9"/>
            </w:pPr>
            <w:r w:rsidRPr="00A94D15">
              <w:t>0,05</w:t>
            </w:r>
          </w:p>
        </w:tc>
        <w:tc>
          <w:tcPr>
            <w:tcW w:w="1597" w:type="dxa"/>
            <w:shd w:val="clear" w:color="auto" w:fill="auto"/>
          </w:tcPr>
          <w:p w:rsidR="0089381C" w:rsidRPr="00A94D15" w:rsidRDefault="0089381C" w:rsidP="00A94D15">
            <w:pPr>
              <w:pStyle w:val="af9"/>
            </w:pPr>
            <w:r w:rsidRPr="00A94D15">
              <w:t>0,15-0,2</w:t>
            </w:r>
          </w:p>
        </w:tc>
        <w:tc>
          <w:tcPr>
            <w:tcW w:w="3080" w:type="dxa"/>
            <w:shd w:val="clear" w:color="auto" w:fill="auto"/>
          </w:tcPr>
          <w:p w:rsidR="0089381C" w:rsidRPr="00A94D15" w:rsidRDefault="0089381C" w:rsidP="00A94D15">
            <w:pPr>
              <w:pStyle w:val="af9"/>
            </w:pPr>
            <w:r w:rsidRPr="00A94D15">
              <w:t>1,5</w:t>
            </w:r>
          </w:p>
        </w:tc>
        <w:tc>
          <w:tcPr>
            <w:tcW w:w="1539" w:type="dxa"/>
            <w:shd w:val="clear" w:color="auto" w:fill="auto"/>
          </w:tcPr>
          <w:p w:rsidR="0089381C" w:rsidRPr="00A94D15" w:rsidRDefault="0089381C" w:rsidP="00A94D15">
            <w:pPr>
              <w:pStyle w:val="af9"/>
            </w:pPr>
            <w:r w:rsidRPr="00A94D15">
              <w:t>60</w:t>
            </w:r>
          </w:p>
        </w:tc>
      </w:tr>
      <w:tr w:rsidR="0089381C" w:rsidRPr="00F14CE1" w:rsidTr="00F14CE1">
        <w:trPr>
          <w:jc w:val="center"/>
        </w:trPr>
        <w:tc>
          <w:tcPr>
            <w:tcW w:w="1746" w:type="dxa"/>
            <w:shd w:val="clear" w:color="auto" w:fill="auto"/>
          </w:tcPr>
          <w:p w:rsidR="0089381C" w:rsidRPr="00A94D15" w:rsidRDefault="0089381C" w:rsidP="00A94D15">
            <w:pPr>
              <w:pStyle w:val="af9"/>
            </w:pPr>
            <w:r w:rsidRPr="00A94D15">
              <w:t>Векурониум</w:t>
            </w:r>
          </w:p>
        </w:tc>
        <w:tc>
          <w:tcPr>
            <w:tcW w:w="914" w:type="dxa"/>
            <w:shd w:val="clear" w:color="auto" w:fill="auto"/>
          </w:tcPr>
          <w:p w:rsidR="0089381C" w:rsidRPr="00A94D15" w:rsidRDefault="0089381C" w:rsidP="00A94D15">
            <w:pPr>
              <w:pStyle w:val="af9"/>
            </w:pPr>
            <w:r w:rsidRPr="00A94D15">
              <w:t>-</w:t>
            </w:r>
          </w:p>
        </w:tc>
        <w:tc>
          <w:tcPr>
            <w:tcW w:w="1597" w:type="dxa"/>
            <w:shd w:val="clear" w:color="auto" w:fill="auto"/>
          </w:tcPr>
          <w:p w:rsidR="0089381C" w:rsidRPr="00A94D15" w:rsidRDefault="0089381C" w:rsidP="00A94D15">
            <w:pPr>
              <w:pStyle w:val="af9"/>
            </w:pPr>
            <w:r w:rsidRPr="00A94D15">
              <w:t>0,3-0,4</w:t>
            </w:r>
          </w:p>
        </w:tc>
        <w:tc>
          <w:tcPr>
            <w:tcW w:w="3080" w:type="dxa"/>
            <w:shd w:val="clear" w:color="auto" w:fill="auto"/>
          </w:tcPr>
          <w:p w:rsidR="0089381C" w:rsidRPr="00A94D15" w:rsidRDefault="0089381C" w:rsidP="00A94D15">
            <w:pPr>
              <w:pStyle w:val="af9"/>
            </w:pPr>
            <w:r w:rsidRPr="00A94D15">
              <w:t>1,0</w:t>
            </w:r>
          </w:p>
        </w:tc>
        <w:tc>
          <w:tcPr>
            <w:tcW w:w="1539" w:type="dxa"/>
            <w:shd w:val="clear" w:color="auto" w:fill="auto"/>
          </w:tcPr>
          <w:p w:rsidR="0089381C" w:rsidRPr="00A94D15" w:rsidRDefault="0089381C" w:rsidP="00A94D15">
            <w:pPr>
              <w:pStyle w:val="af9"/>
            </w:pPr>
            <w:r w:rsidRPr="00A94D15">
              <w:t>90-120</w:t>
            </w:r>
          </w:p>
        </w:tc>
      </w:tr>
      <w:tr w:rsidR="0089381C" w:rsidRPr="00F14CE1" w:rsidTr="00F14CE1">
        <w:trPr>
          <w:jc w:val="center"/>
        </w:trPr>
        <w:tc>
          <w:tcPr>
            <w:tcW w:w="1746" w:type="dxa"/>
            <w:shd w:val="clear" w:color="auto" w:fill="auto"/>
          </w:tcPr>
          <w:p w:rsidR="0089381C" w:rsidRPr="00A94D15" w:rsidRDefault="0089381C" w:rsidP="00A94D15">
            <w:pPr>
              <w:pStyle w:val="af9"/>
            </w:pPr>
            <w:r w:rsidRPr="00A94D15">
              <w:t>Атракуриум</w:t>
            </w:r>
            <w:r w:rsidR="00A94D15" w:rsidRPr="00A94D15">
              <w:t xml:space="preserve"> (</w:t>
            </w:r>
            <w:r w:rsidRPr="00A94D15">
              <w:t>тракриум</w:t>
            </w:r>
            <w:r w:rsidR="00A94D15" w:rsidRPr="00A94D15">
              <w:t xml:space="preserve">) </w:t>
            </w:r>
          </w:p>
        </w:tc>
        <w:tc>
          <w:tcPr>
            <w:tcW w:w="914" w:type="dxa"/>
            <w:shd w:val="clear" w:color="auto" w:fill="auto"/>
          </w:tcPr>
          <w:p w:rsidR="0089381C" w:rsidRPr="00A94D15" w:rsidRDefault="0089381C" w:rsidP="00A94D15">
            <w:pPr>
              <w:pStyle w:val="af9"/>
            </w:pPr>
            <w:r w:rsidRPr="00A94D15">
              <w:t>0,23</w:t>
            </w:r>
          </w:p>
        </w:tc>
        <w:tc>
          <w:tcPr>
            <w:tcW w:w="1597" w:type="dxa"/>
            <w:shd w:val="clear" w:color="auto" w:fill="auto"/>
          </w:tcPr>
          <w:p w:rsidR="0089381C" w:rsidRPr="00A94D15" w:rsidRDefault="0089381C" w:rsidP="00A94D15">
            <w:pPr>
              <w:pStyle w:val="af9"/>
            </w:pPr>
            <w:r w:rsidRPr="00A94D15">
              <w:t>0,7-0,8</w:t>
            </w:r>
          </w:p>
        </w:tc>
        <w:tc>
          <w:tcPr>
            <w:tcW w:w="3080" w:type="dxa"/>
            <w:shd w:val="clear" w:color="auto" w:fill="auto"/>
          </w:tcPr>
          <w:p w:rsidR="0089381C" w:rsidRPr="00A94D15" w:rsidRDefault="0089381C" w:rsidP="00A94D15">
            <w:pPr>
              <w:pStyle w:val="af9"/>
            </w:pPr>
            <w:r w:rsidRPr="00A94D15">
              <w:t>1,0-1,5</w:t>
            </w:r>
          </w:p>
        </w:tc>
        <w:tc>
          <w:tcPr>
            <w:tcW w:w="1539" w:type="dxa"/>
            <w:shd w:val="clear" w:color="auto" w:fill="auto"/>
          </w:tcPr>
          <w:p w:rsidR="0089381C" w:rsidRPr="00A94D15" w:rsidRDefault="0089381C" w:rsidP="00A94D15">
            <w:pPr>
              <w:pStyle w:val="af9"/>
            </w:pPr>
            <w:r w:rsidRPr="00A94D15">
              <w:t>45-60</w:t>
            </w:r>
          </w:p>
        </w:tc>
      </w:tr>
      <w:tr w:rsidR="0089381C" w:rsidRPr="00F14CE1" w:rsidTr="00F14CE1">
        <w:trPr>
          <w:jc w:val="center"/>
        </w:trPr>
        <w:tc>
          <w:tcPr>
            <w:tcW w:w="1746" w:type="dxa"/>
            <w:shd w:val="clear" w:color="auto" w:fill="auto"/>
          </w:tcPr>
          <w:p w:rsidR="0089381C" w:rsidRPr="00A94D15" w:rsidRDefault="0089381C" w:rsidP="00A94D15">
            <w:pPr>
              <w:pStyle w:val="af9"/>
            </w:pPr>
            <w:r w:rsidRPr="00A94D15">
              <w:t>Цисатракуриум</w:t>
            </w:r>
          </w:p>
        </w:tc>
        <w:tc>
          <w:tcPr>
            <w:tcW w:w="914" w:type="dxa"/>
            <w:shd w:val="clear" w:color="auto" w:fill="auto"/>
          </w:tcPr>
          <w:p w:rsidR="0089381C" w:rsidRPr="00A94D15" w:rsidRDefault="0089381C" w:rsidP="00A94D15">
            <w:pPr>
              <w:pStyle w:val="af9"/>
            </w:pPr>
            <w:r w:rsidRPr="00A94D15">
              <w:t>0,05</w:t>
            </w:r>
          </w:p>
        </w:tc>
        <w:tc>
          <w:tcPr>
            <w:tcW w:w="1597" w:type="dxa"/>
            <w:shd w:val="clear" w:color="auto" w:fill="auto"/>
          </w:tcPr>
          <w:p w:rsidR="0089381C" w:rsidRPr="00A94D15" w:rsidRDefault="0089381C" w:rsidP="00A94D15">
            <w:pPr>
              <w:pStyle w:val="af9"/>
            </w:pPr>
            <w:r w:rsidRPr="00A94D15">
              <w:t>0,2</w:t>
            </w:r>
          </w:p>
        </w:tc>
        <w:tc>
          <w:tcPr>
            <w:tcW w:w="3080" w:type="dxa"/>
            <w:shd w:val="clear" w:color="auto" w:fill="auto"/>
          </w:tcPr>
          <w:p w:rsidR="0089381C" w:rsidRPr="00A94D15" w:rsidRDefault="0089381C" w:rsidP="00A94D15">
            <w:pPr>
              <w:pStyle w:val="af9"/>
            </w:pPr>
            <w:r w:rsidRPr="00A94D15">
              <w:t>2</w:t>
            </w:r>
          </w:p>
        </w:tc>
        <w:tc>
          <w:tcPr>
            <w:tcW w:w="1539" w:type="dxa"/>
            <w:shd w:val="clear" w:color="auto" w:fill="auto"/>
          </w:tcPr>
          <w:p w:rsidR="0089381C" w:rsidRPr="00A94D15" w:rsidRDefault="0089381C" w:rsidP="00A94D15">
            <w:pPr>
              <w:pStyle w:val="af9"/>
            </w:pPr>
            <w:r w:rsidRPr="00A94D15">
              <w:t>60-90</w:t>
            </w:r>
          </w:p>
        </w:tc>
      </w:tr>
      <w:tr w:rsidR="0089381C" w:rsidRPr="00A94D15" w:rsidTr="00F14CE1">
        <w:trPr>
          <w:jc w:val="center"/>
        </w:trPr>
        <w:tc>
          <w:tcPr>
            <w:tcW w:w="1746" w:type="dxa"/>
            <w:shd w:val="clear" w:color="auto" w:fill="auto"/>
          </w:tcPr>
          <w:p w:rsidR="0089381C" w:rsidRPr="00A94D15" w:rsidRDefault="0089381C" w:rsidP="00A94D15">
            <w:pPr>
              <w:pStyle w:val="af9"/>
            </w:pPr>
            <w:r w:rsidRPr="00A94D15">
              <w:t>Длительно действующие</w:t>
            </w:r>
          </w:p>
        </w:tc>
        <w:tc>
          <w:tcPr>
            <w:tcW w:w="914" w:type="dxa"/>
            <w:shd w:val="clear" w:color="auto" w:fill="auto"/>
          </w:tcPr>
          <w:p w:rsidR="0089381C" w:rsidRPr="00A94D15" w:rsidRDefault="0089381C" w:rsidP="00A94D15">
            <w:pPr>
              <w:pStyle w:val="af9"/>
            </w:pPr>
          </w:p>
        </w:tc>
        <w:tc>
          <w:tcPr>
            <w:tcW w:w="1597" w:type="dxa"/>
            <w:shd w:val="clear" w:color="auto" w:fill="auto"/>
          </w:tcPr>
          <w:p w:rsidR="0089381C" w:rsidRPr="00A94D15" w:rsidRDefault="0089381C" w:rsidP="00A94D15">
            <w:pPr>
              <w:pStyle w:val="af9"/>
            </w:pPr>
          </w:p>
        </w:tc>
        <w:tc>
          <w:tcPr>
            <w:tcW w:w="3080" w:type="dxa"/>
            <w:shd w:val="clear" w:color="auto" w:fill="auto"/>
          </w:tcPr>
          <w:p w:rsidR="0089381C" w:rsidRPr="00A94D15" w:rsidRDefault="0089381C" w:rsidP="00A94D15">
            <w:pPr>
              <w:pStyle w:val="af9"/>
            </w:pPr>
          </w:p>
        </w:tc>
        <w:tc>
          <w:tcPr>
            <w:tcW w:w="1539" w:type="dxa"/>
            <w:shd w:val="clear" w:color="auto" w:fill="auto"/>
          </w:tcPr>
          <w:p w:rsidR="0089381C" w:rsidRPr="00A94D15" w:rsidRDefault="0089381C" w:rsidP="00A94D15">
            <w:pPr>
              <w:pStyle w:val="af9"/>
            </w:pPr>
          </w:p>
        </w:tc>
      </w:tr>
      <w:tr w:rsidR="0089381C" w:rsidRPr="00F14CE1" w:rsidTr="00F14CE1">
        <w:trPr>
          <w:jc w:val="center"/>
        </w:trPr>
        <w:tc>
          <w:tcPr>
            <w:tcW w:w="1746" w:type="dxa"/>
            <w:shd w:val="clear" w:color="auto" w:fill="auto"/>
          </w:tcPr>
          <w:p w:rsidR="0089381C" w:rsidRPr="00A94D15" w:rsidRDefault="0089381C" w:rsidP="00A94D15">
            <w:pPr>
              <w:pStyle w:val="af9"/>
            </w:pPr>
            <w:r w:rsidRPr="00A94D15">
              <w:t>Панкурониум</w:t>
            </w:r>
          </w:p>
        </w:tc>
        <w:tc>
          <w:tcPr>
            <w:tcW w:w="914" w:type="dxa"/>
            <w:shd w:val="clear" w:color="auto" w:fill="auto"/>
          </w:tcPr>
          <w:p w:rsidR="0089381C" w:rsidRPr="00A94D15" w:rsidRDefault="0089381C" w:rsidP="00A94D15">
            <w:pPr>
              <w:pStyle w:val="af9"/>
            </w:pPr>
            <w:r w:rsidRPr="00A94D15">
              <w:t>0,07</w:t>
            </w:r>
          </w:p>
        </w:tc>
        <w:tc>
          <w:tcPr>
            <w:tcW w:w="1597" w:type="dxa"/>
            <w:shd w:val="clear" w:color="auto" w:fill="auto"/>
          </w:tcPr>
          <w:p w:rsidR="0089381C" w:rsidRPr="00A94D15" w:rsidRDefault="0089381C" w:rsidP="00A94D15">
            <w:pPr>
              <w:pStyle w:val="af9"/>
            </w:pPr>
            <w:r w:rsidRPr="00A94D15">
              <w:t>0,08-0,12</w:t>
            </w:r>
          </w:p>
        </w:tc>
        <w:tc>
          <w:tcPr>
            <w:tcW w:w="3080" w:type="dxa"/>
            <w:shd w:val="clear" w:color="auto" w:fill="auto"/>
          </w:tcPr>
          <w:p w:rsidR="0089381C" w:rsidRPr="00A94D15" w:rsidRDefault="0089381C" w:rsidP="00A94D15">
            <w:pPr>
              <w:pStyle w:val="af9"/>
            </w:pPr>
            <w:r w:rsidRPr="00A94D15">
              <w:t>4-5</w:t>
            </w:r>
          </w:p>
        </w:tc>
        <w:tc>
          <w:tcPr>
            <w:tcW w:w="1539" w:type="dxa"/>
            <w:shd w:val="clear" w:color="auto" w:fill="auto"/>
          </w:tcPr>
          <w:p w:rsidR="0089381C" w:rsidRPr="00A94D15" w:rsidRDefault="0089381C" w:rsidP="00A94D15">
            <w:pPr>
              <w:pStyle w:val="af9"/>
            </w:pPr>
            <w:r w:rsidRPr="00A94D15">
              <w:t>90</w:t>
            </w:r>
          </w:p>
        </w:tc>
      </w:tr>
      <w:tr w:rsidR="0089381C" w:rsidRPr="00F14CE1" w:rsidTr="00F14CE1">
        <w:trPr>
          <w:jc w:val="center"/>
        </w:trPr>
        <w:tc>
          <w:tcPr>
            <w:tcW w:w="1746" w:type="dxa"/>
            <w:shd w:val="clear" w:color="auto" w:fill="auto"/>
          </w:tcPr>
          <w:p w:rsidR="0089381C" w:rsidRPr="00A94D15" w:rsidRDefault="0089381C" w:rsidP="00A94D15">
            <w:pPr>
              <w:pStyle w:val="af9"/>
            </w:pPr>
            <w:r w:rsidRPr="00A94D15">
              <w:t>Пипекурониум</w:t>
            </w:r>
          </w:p>
        </w:tc>
        <w:tc>
          <w:tcPr>
            <w:tcW w:w="914" w:type="dxa"/>
            <w:shd w:val="clear" w:color="auto" w:fill="auto"/>
          </w:tcPr>
          <w:p w:rsidR="0089381C" w:rsidRPr="00A94D15" w:rsidRDefault="0089381C" w:rsidP="00A94D15">
            <w:pPr>
              <w:pStyle w:val="af9"/>
            </w:pPr>
            <w:r w:rsidRPr="00A94D15">
              <w:t>0,05</w:t>
            </w:r>
          </w:p>
        </w:tc>
        <w:tc>
          <w:tcPr>
            <w:tcW w:w="1597" w:type="dxa"/>
            <w:shd w:val="clear" w:color="auto" w:fill="auto"/>
          </w:tcPr>
          <w:p w:rsidR="0089381C" w:rsidRPr="00A94D15" w:rsidRDefault="0089381C" w:rsidP="00A94D15">
            <w:pPr>
              <w:pStyle w:val="af9"/>
            </w:pPr>
            <w:r w:rsidRPr="00A94D15">
              <w:t>0,07-0,085</w:t>
            </w:r>
          </w:p>
        </w:tc>
        <w:tc>
          <w:tcPr>
            <w:tcW w:w="3080" w:type="dxa"/>
            <w:shd w:val="clear" w:color="auto" w:fill="auto"/>
          </w:tcPr>
          <w:p w:rsidR="0089381C" w:rsidRPr="00A94D15" w:rsidRDefault="0089381C" w:rsidP="00A94D15">
            <w:pPr>
              <w:pStyle w:val="af9"/>
            </w:pPr>
            <w:r w:rsidRPr="00A94D15">
              <w:t>3-5</w:t>
            </w:r>
          </w:p>
        </w:tc>
        <w:tc>
          <w:tcPr>
            <w:tcW w:w="1539" w:type="dxa"/>
            <w:shd w:val="clear" w:color="auto" w:fill="auto"/>
          </w:tcPr>
          <w:p w:rsidR="0089381C" w:rsidRPr="00A94D15" w:rsidRDefault="0089381C" w:rsidP="00A94D15">
            <w:pPr>
              <w:pStyle w:val="af9"/>
            </w:pPr>
            <w:r w:rsidRPr="00A94D15">
              <w:t>80-90</w:t>
            </w:r>
          </w:p>
        </w:tc>
      </w:tr>
      <w:tr w:rsidR="0089381C" w:rsidRPr="00F14CE1" w:rsidTr="00F14CE1">
        <w:trPr>
          <w:jc w:val="center"/>
        </w:trPr>
        <w:tc>
          <w:tcPr>
            <w:tcW w:w="1746" w:type="dxa"/>
            <w:shd w:val="clear" w:color="auto" w:fill="auto"/>
          </w:tcPr>
          <w:p w:rsidR="0089381C" w:rsidRPr="00A94D15" w:rsidRDefault="0089381C" w:rsidP="00A94D15">
            <w:pPr>
              <w:pStyle w:val="af9"/>
            </w:pPr>
            <w:r w:rsidRPr="00A94D15">
              <w:t>Доксакуриум</w:t>
            </w:r>
          </w:p>
        </w:tc>
        <w:tc>
          <w:tcPr>
            <w:tcW w:w="914" w:type="dxa"/>
            <w:shd w:val="clear" w:color="auto" w:fill="auto"/>
          </w:tcPr>
          <w:p w:rsidR="0089381C" w:rsidRPr="00A94D15" w:rsidRDefault="0089381C" w:rsidP="00A94D15">
            <w:pPr>
              <w:pStyle w:val="af9"/>
            </w:pPr>
            <w:r w:rsidRPr="00A94D15">
              <w:t>0,025</w:t>
            </w:r>
          </w:p>
        </w:tc>
        <w:tc>
          <w:tcPr>
            <w:tcW w:w="1597" w:type="dxa"/>
            <w:shd w:val="clear" w:color="auto" w:fill="auto"/>
          </w:tcPr>
          <w:p w:rsidR="0089381C" w:rsidRPr="00A94D15" w:rsidRDefault="0089381C" w:rsidP="00A94D15">
            <w:pPr>
              <w:pStyle w:val="af9"/>
            </w:pPr>
            <w:r w:rsidRPr="00A94D15">
              <w:t>0,05-0,08</w:t>
            </w:r>
          </w:p>
        </w:tc>
        <w:tc>
          <w:tcPr>
            <w:tcW w:w="3080" w:type="dxa"/>
            <w:shd w:val="clear" w:color="auto" w:fill="auto"/>
          </w:tcPr>
          <w:p w:rsidR="0089381C" w:rsidRPr="00A94D15" w:rsidRDefault="0089381C" w:rsidP="00A94D15">
            <w:pPr>
              <w:pStyle w:val="af9"/>
            </w:pPr>
            <w:r w:rsidRPr="00A94D15">
              <w:t>3-5</w:t>
            </w:r>
          </w:p>
        </w:tc>
        <w:tc>
          <w:tcPr>
            <w:tcW w:w="1539" w:type="dxa"/>
            <w:shd w:val="clear" w:color="auto" w:fill="auto"/>
          </w:tcPr>
          <w:p w:rsidR="0089381C" w:rsidRPr="00A94D15" w:rsidRDefault="0089381C" w:rsidP="00A94D15">
            <w:pPr>
              <w:pStyle w:val="af9"/>
            </w:pPr>
            <w:r w:rsidRPr="00A94D15">
              <w:t>90-120</w:t>
            </w:r>
          </w:p>
        </w:tc>
      </w:tr>
    </w:tbl>
    <w:p w:rsidR="00A94D15" w:rsidRDefault="00A94D15" w:rsidP="00A94D15">
      <w:pPr>
        <w:rPr>
          <w:color w:val="000000"/>
        </w:rPr>
      </w:pPr>
    </w:p>
    <w:p w:rsidR="00A94D15" w:rsidRDefault="0089381C" w:rsidP="00A94D15">
      <w:pPr>
        <w:rPr>
          <w:color w:val="000000"/>
        </w:rPr>
      </w:pPr>
      <w:r w:rsidRPr="00A94D15">
        <w:rPr>
          <w:color w:val="000000"/>
        </w:rPr>
        <w:t>* Продолжительность определяется по восстановлению 25% исходного ответа</w:t>
      </w:r>
      <w:r w:rsidR="00A94D15" w:rsidRPr="00A94D15">
        <w:rPr>
          <w:color w:val="000000"/>
        </w:rPr>
        <w:t xml:space="preserve">. </w:t>
      </w:r>
      <w:r w:rsidRPr="00A94D15">
        <w:rPr>
          <w:color w:val="000000"/>
          <w:lang w:val="en-US"/>
        </w:rPr>
        <w:t>ED</w:t>
      </w:r>
      <w:r w:rsidRPr="00A94D15">
        <w:rPr>
          <w:color w:val="000000"/>
          <w:vertAlign w:val="subscript"/>
        </w:rPr>
        <w:t>95</w:t>
      </w:r>
      <w:r w:rsidRPr="00A94D15">
        <w:rPr>
          <w:color w:val="000000"/>
        </w:rPr>
        <w:t xml:space="preserve"> </w:t>
      </w:r>
      <w:r w:rsidR="00A94D15">
        <w:rPr>
          <w:color w:val="000000"/>
        </w:rPr>
        <w:t>-</w:t>
      </w:r>
      <w:r w:rsidRPr="00A94D15">
        <w:rPr>
          <w:color w:val="000000"/>
        </w:rPr>
        <w:t xml:space="preserve"> доза, обеспечивающая угнетение ответа на 95%</w:t>
      </w:r>
      <w:r w:rsidR="00A94D15" w:rsidRPr="00A94D15">
        <w:rPr>
          <w:color w:val="000000"/>
        </w:rPr>
        <w:t>.</w:t>
      </w:r>
    </w:p>
    <w:p w:rsidR="00593F0B" w:rsidRPr="00A94D15" w:rsidRDefault="00593F0B" w:rsidP="00A94D15">
      <w:pPr>
        <w:rPr>
          <w:color w:val="000000"/>
        </w:rPr>
      </w:pPr>
      <w:r w:rsidRPr="00A94D15">
        <w:rPr>
          <w:color w:val="000000"/>
        </w:rPr>
        <w:t>Миорелаксанты</w:t>
      </w:r>
      <w:r w:rsidR="00A94D15" w:rsidRPr="00A94D15">
        <w:rPr>
          <w:color w:val="000000"/>
        </w:rPr>
        <w:t xml:space="preserve">: </w:t>
      </w:r>
      <w:r w:rsidRPr="00A94D15">
        <w:rPr>
          <w:color w:val="000000"/>
        </w:rPr>
        <w:t>дозы, начало действия, длительность действия</w:t>
      </w:r>
      <w:r w:rsidR="00357963">
        <w:rPr>
          <w:color w:val="000000"/>
        </w:rPr>
        <w:t>.</w:t>
      </w:r>
    </w:p>
    <w:p w:rsidR="00357963" w:rsidRDefault="00593F0B" w:rsidP="00A94D15">
      <w:pPr>
        <w:rPr>
          <w:color w:val="000000"/>
        </w:rPr>
      </w:pPr>
      <w:r w:rsidRPr="00A94D15">
        <w:rPr>
          <w:color w:val="000000"/>
        </w:rPr>
        <w:t>Все конкурентные, недеполяризующие миорелаксанты классифицируются по длительности их действия</w:t>
      </w:r>
      <w:r w:rsidR="00A94D15">
        <w:rPr>
          <w:color w:val="000000"/>
        </w:rPr>
        <w:t xml:space="preserve"> (</w:t>
      </w:r>
      <w:r w:rsidRPr="00A94D15">
        <w:rPr>
          <w:color w:val="000000"/>
        </w:rPr>
        <w:t>короткодействующие, средней длительности действия и длительно действующие</w:t>
      </w:r>
      <w:r w:rsidR="00A94D15" w:rsidRPr="00A94D15">
        <w:rPr>
          <w:color w:val="000000"/>
        </w:rPr>
        <w:t>),</w:t>
      </w:r>
      <w:r w:rsidRPr="00A94D15">
        <w:rPr>
          <w:color w:val="000000"/>
        </w:rPr>
        <w:t xml:space="preserve"> как это отмечено в таблице</w:t>
      </w:r>
      <w:r w:rsidR="00A94D15" w:rsidRPr="00A94D15">
        <w:rPr>
          <w:color w:val="000000"/>
        </w:rPr>
        <w:t xml:space="preserve">. </w:t>
      </w:r>
    </w:p>
    <w:p w:rsidR="002C2B22" w:rsidRDefault="00593F0B" w:rsidP="00A94D15">
      <w:pPr>
        <w:rPr>
          <w:color w:val="000000"/>
        </w:rPr>
      </w:pPr>
      <w:r w:rsidRPr="00A94D15">
        <w:rPr>
          <w:color w:val="000000"/>
        </w:rPr>
        <w:t>Время действия указано приблизительно, поскольку выявлены существенные различия между отдельными больными</w:t>
      </w:r>
      <w:r w:rsidR="00A94D15" w:rsidRPr="00A94D15">
        <w:rPr>
          <w:color w:val="000000"/>
        </w:rPr>
        <w:t xml:space="preserve">. </w:t>
      </w:r>
    </w:p>
    <w:p w:rsidR="00A94D15" w:rsidRDefault="00593F0B" w:rsidP="00A94D15">
      <w:pPr>
        <w:rPr>
          <w:color w:val="000000"/>
        </w:rPr>
      </w:pPr>
      <w:r w:rsidRPr="00A94D15">
        <w:rPr>
          <w:color w:val="000000"/>
        </w:rPr>
        <w:t>Лучший способ применения</w:t>
      </w:r>
      <w:r w:rsidR="00A94D15" w:rsidRPr="00A94D15">
        <w:rPr>
          <w:color w:val="000000"/>
        </w:rPr>
        <w:t xml:space="preserve"> - </w:t>
      </w:r>
      <w:r w:rsidRPr="00A94D15">
        <w:rPr>
          <w:color w:val="000000"/>
        </w:rPr>
        <w:t>титрованием, если это возможно</w:t>
      </w:r>
      <w:r w:rsidR="00A94D15" w:rsidRPr="00A94D15">
        <w:rPr>
          <w:color w:val="000000"/>
        </w:rPr>
        <w:t>.</w:t>
      </w:r>
    </w:p>
    <w:p w:rsidR="00357963" w:rsidRDefault="00593F0B" w:rsidP="00A94D15">
      <w:pPr>
        <w:rPr>
          <w:color w:val="000000"/>
        </w:rPr>
      </w:pPr>
      <w:r w:rsidRPr="00A94D15">
        <w:rPr>
          <w:color w:val="000000"/>
        </w:rPr>
        <w:t>Тенденции в разработке новых недеполяризующих миорелаксантов</w:t>
      </w:r>
      <w:r w:rsidR="00A94D15" w:rsidRPr="00A94D15">
        <w:rPr>
          <w:color w:val="000000"/>
        </w:rPr>
        <w:t xml:space="preserve">: </w:t>
      </w:r>
      <w:r w:rsidRPr="00A94D15">
        <w:rPr>
          <w:color w:val="000000"/>
        </w:rPr>
        <w:t>во-первых, получение длительно действующих препаратов, свободных от побочных действий, и, во-вторых, получение быстро и короткодействующих релаксантов, подобных сукцинилхолину, но без присущих ему побочных действий</w:t>
      </w:r>
      <w:r w:rsidR="00A94D15" w:rsidRPr="00A94D15">
        <w:rPr>
          <w:color w:val="000000"/>
        </w:rPr>
        <w:t xml:space="preserve">. </w:t>
      </w:r>
    </w:p>
    <w:p w:rsidR="00357963" w:rsidRDefault="00593F0B" w:rsidP="00A94D15">
      <w:pPr>
        <w:rPr>
          <w:color w:val="000000"/>
        </w:rPr>
      </w:pPr>
      <w:r w:rsidRPr="00A94D15">
        <w:rPr>
          <w:color w:val="000000"/>
        </w:rPr>
        <w:t>Создается впечатление, что рокурониуму свойственно быстрое начало действия</w:t>
      </w:r>
      <w:r w:rsidR="00A94D15">
        <w:rPr>
          <w:color w:val="000000"/>
        </w:rPr>
        <w:t xml:space="preserve"> (</w:t>
      </w:r>
      <w:r w:rsidRPr="00A94D15">
        <w:rPr>
          <w:color w:val="000000"/>
        </w:rPr>
        <w:t>как у сукцинилхолина</w:t>
      </w:r>
      <w:r w:rsidR="00A94D15" w:rsidRPr="00A94D15">
        <w:rPr>
          <w:color w:val="000000"/>
        </w:rPr>
        <w:t>),</w:t>
      </w:r>
      <w:r w:rsidRPr="00A94D15">
        <w:rPr>
          <w:color w:val="000000"/>
        </w:rPr>
        <w:t xml:space="preserve"> однако в дозе 1,2 мг/кг длительность вызванного им паралича соответствует миорелаксантам второй группы</w:t>
      </w:r>
      <w:r w:rsidR="00A94D15" w:rsidRPr="00A94D15">
        <w:rPr>
          <w:color w:val="000000"/>
        </w:rPr>
        <w:t xml:space="preserve"> - </w:t>
      </w:r>
      <w:r w:rsidRPr="00A94D15">
        <w:rPr>
          <w:color w:val="000000"/>
        </w:rPr>
        <w:t>средней длительности действия</w:t>
      </w:r>
      <w:r w:rsidR="00A94D15" w:rsidRPr="00A94D15">
        <w:rPr>
          <w:color w:val="000000"/>
        </w:rPr>
        <w:t xml:space="preserve">. </w:t>
      </w:r>
    </w:p>
    <w:p w:rsidR="00A94D15" w:rsidRDefault="00593F0B" w:rsidP="00A94D15">
      <w:pPr>
        <w:rPr>
          <w:color w:val="000000"/>
        </w:rPr>
      </w:pPr>
      <w:r w:rsidRPr="00A94D15">
        <w:rPr>
          <w:color w:val="000000"/>
        </w:rPr>
        <w:t>Рапа-курониум</w:t>
      </w:r>
      <w:r w:rsidR="00A94D15" w:rsidRPr="00A94D15">
        <w:rPr>
          <w:color w:val="000000"/>
        </w:rPr>
        <w:t xml:space="preserve"> - </w:t>
      </w:r>
      <w:r w:rsidRPr="00A94D15">
        <w:rPr>
          <w:color w:val="000000"/>
        </w:rPr>
        <w:t>новый аминостероидный релаксант, проходящий клиническую проверку</w:t>
      </w:r>
      <w:r w:rsidR="00A94D15" w:rsidRPr="00A94D15">
        <w:rPr>
          <w:color w:val="000000"/>
        </w:rPr>
        <w:t xml:space="preserve"> - </w:t>
      </w:r>
      <w:r w:rsidRPr="00A94D15">
        <w:rPr>
          <w:color w:val="000000"/>
        </w:rPr>
        <w:t>объединяет в себе способность развивать паралич быстро и на короткий промежуток времени</w:t>
      </w:r>
      <w:r w:rsidR="00A94D15" w:rsidRPr="00A94D15">
        <w:rPr>
          <w:color w:val="000000"/>
        </w:rPr>
        <w:t>.</w:t>
      </w:r>
    </w:p>
    <w:p w:rsidR="00357963" w:rsidRDefault="00357963" w:rsidP="00357963">
      <w:pPr>
        <w:pStyle w:val="2"/>
        <w:rPr>
          <w:color w:val="000000"/>
        </w:rPr>
      </w:pPr>
    </w:p>
    <w:p w:rsidR="00A94D15" w:rsidRDefault="00593F0B" w:rsidP="00357963">
      <w:pPr>
        <w:pStyle w:val="2"/>
        <w:rPr>
          <w:color w:val="000000"/>
        </w:rPr>
      </w:pPr>
      <w:r w:rsidRPr="00A94D15">
        <w:rPr>
          <w:color w:val="000000"/>
        </w:rPr>
        <w:t>Как происходит разрушение и элиминация недеполяризующих миорелаксантов</w:t>
      </w:r>
      <w:r w:rsidR="00A94D15" w:rsidRPr="00A94D15">
        <w:rPr>
          <w:color w:val="000000"/>
        </w:rPr>
        <w:t>?</w:t>
      </w:r>
    </w:p>
    <w:p w:rsidR="00357963" w:rsidRDefault="00357963" w:rsidP="00A94D15">
      <w:pPr>
        <w:rPr>
          <w:color w:val="000000"/>
        </w:rPr>
      </w:pPr>
    </w:p>
    <w:p w:rsidR="002C2B22" w:rsidRDefault="00593F0B" w:rsidP="00A94D15">
      <w:pPr>
        <w:rPr>
          <w:color w:val="000000"/>
        </w:rPr>
      </w:pPr>
      <w:r w:rsidRPr="00A94D15">
        <w:rPr>
          <w:color w:val="000000"/>
        </w:rPr>
        <w:t>Атракуриум</w:t>
      </w:r>
      <w:r w:rsidR="00A94D15">
        <w:rPr>
          <w:color w:val="000000"/>
        </w:rPr>
        <w:t xml:space="preserve"> (</w:t>
      </w:r>
      <w:r w:rsidRPr="00A94D15">
        <w:rPr>
          <w:color w:val="000000"/>
        </w:rPr>
        <w:t>тракриум</w:t>
      </w:r>
      <w:r w:rsidR="00A94D15" w:rsidRPr="00A94D15">
        <w:rPr>
          <w:color w:val="000000"/>
        </w:rPr>
        <w:t xml:space="preserve">) </w:t>
      </w:r>
      <w:r w:rsidRPr="00A94D15">
        <w:rPr>
          <w:color w:val="000000"/>
        </w:rPr>
        <w:t>в определенном смысле уникальный препарат, поскольку подвергается спонтанному распаду при нормальной температуре и физиологическом рН</w:t>
      </w:r>
      <w:r w:rsidR="00A94D15">
        <w:rPr>
          <w:color w:val="000000"/>
        </w:rPr>
        <w:t xml:space="preserve"> (</w:t>
      </w:r>
      <w:r w:rsidRPr="00A94D15">
        <w:rPr>
          <w:color w:val="000000"/>
        </w:rPr>
        <w:t>хоффмановская элиминация</w:t>
      </w:r>
      <w:r w:rsidR="00A94D15" w:rsidRPr="00A94D15">
        <w:rPr>
          <w:color w:val="000000"/>
        </w:rPr>
        <w:t>),</w:t>
      </w:r>
      <w:r w:rsidRPr="00A94D15">
        <w:rPr>
          <w:color w:val="000000"/>
        </w:rPr>
        <w:t xml:space="preserve"> подобно гидролизу эфиров</w:t>
      </w:r>
      <w:r w:rsidR="00A94D15" w:rsidRPr="00A94D15">
        <w:rPr>
          <w:color w:val="000000"/>
        </w:rPr>
        <w:t xml:space="preserve">; </w:t>
      </w:r>
      <w:r w:rsidRPr="00A94D15">
        <w:rPr>
          <w:color w:val="000000"/>
        </w:rPr>
        <w:t>это идеальный вариант для больных с нарушенными функциями печени и почек</w:t>
      </w:r>
      <w:r w:rsidR="00A94D15" w:rsidRPr="00A94D15">
        <w:rPr>
          <w:color w:val="000000"/>
        </w:rPr>
        <w:t xml:space="preserve">. </w:t>
      </w:r>
    </w:p>
    <w:p w:rsidR="00A94D15" w:rsidRDefault="00593F0B" w:rsidP="00A94D15">
      <w:pPr>
        <w:rPr>
          <w:color w:val="000000"/>
        </w:rPr>
      </w:pPr>
      <w:r w:rsidRPr="00A94D15">
        <w:rPr>
          <w:color w:val="000000"/>
        </w:rPr>
        <w:t>Мивакуриум, как и сукцинилхолин, разрушается псевдохолинэстеразой</w:t>
      </w:r>
      <w:r w:rsidR="00A94D15" w:rsidRPr="00A94D15">
        <w:rPr>
          <w:color w:val="000000"/>
        </w:rPr>
        <w:t>.</w:t>
      </w:r>
    </w:p>
    <w:p w:rsidR="008A1D35" w:rsidRDefault="00593F0B" w:rsidP="00A94D15">
      <w:pPr>
        <w:rPr>
          <w:color w:val="000000"/>
        </w:rPr>
      </w:pPr>
      <w:r w:rsidRPr="00A94D15">
        <w:rPr>
          <w:color w:val="000000"/>
        </w:rPr>
        <w:t>Аминостероидные релаксанты</w:t>
      </w:r>
      <w:r w:rsidR="00A94D15">
        <w:rPr>
          <w:color w:val="000000"/>
        </w:rPr>
        <w:t xml:space="preserve"> (</w:t>
      </w:r>
      <w:r w:rsidRPr="00A94D15">
        <w:rPr>
          <w:color w:val="000000"/>
        </w:rPr>
        <w:t>панкурониум, векурониум, пипекурониум и рокурониум</w:t>
      </w:r>
      <w:r w:rsidR="00A94D15" w:rsidRPr="00A94D15">
        <w:rPr>
          <w:color w:val="000000"/>
        </w:rPr>
        <w:t xml:space="preserve">) </w:t>
      </w:r>
      <w:r w:rsidRPr="00A94D15">
        <w:rPr>
          <w:color w:val="000000"/>
        </w:rPr>
        <w:t>деацетилируются в печени, их действие может пролонгироваться при печеночной недостаточности</w:t>
      </w:r>
      <w:r w:rsidR="00A94D15" w:rsidRPr="00A94D15">
        <w:rPr>
          <w:color w:val="000000"/>
        </w:rPr>
        <w:t xml:space="preserve">. </w:t>
      </w:r>
    </w:p>
    <w:p w:rsidR="00A94D15" w:rsidRDefault="00593F0B" w:rsidP="00A94D15">
      <w:pPr>
        <w:rPr>
          <w:color w:val="000000"/>
        </w:rPr>
      </w:pPr>
      <w:r w:rsidRPr="00A94D15">
        <w:rPr>
          <w:color w:val="000000"/>
        </w:rPr>
        <w:t>Векурониум и рокурониум выделяются с желчью, поэтому их действие может пролонгироваться при блокаде желчевыводящих путей</w:t>
      </w:r>
      <w:r w:rsidR="00A94D15" w:rsidRPr="00A94D15">
        <w:rPr>
          <w:color w:val="000000"/>
        </w:rPr>
        <w:t>.</w:t>
      </w:r>
    </w:p>
    <w:p w:rsidR="00A94D15" w:rsidRDefault="00593F0B" w:rsidP="00A94D15">
      <w:pPr>
        <w:rPr>
          <w:color w:val="000000"/>
        </w:rPr>
      </w:pPr>
      <w:r w:rsidRPr="00A94D15">
        <w:rPr>
          <w:color w:val="000000"/>
        </w:rPr>
        <w:t>Тубокурарин, метокурин, доксакуриум, панкурониум и пипекурониум выделяются почками</w:t>
      </w:r>
      <w:r w:rsidR="00A94D15" w:rsidRPr="00A94D15">
        <w:rPr>
          <w:color w:val="000000"/>
        </w:rPr>
        <w:t>.</w:t>
      </w:r>
    </w:p>
    <w:p w:rsidR="00593F0B" w:rsidRPr="00A94D15" w:rsidRDefault="00593F0B" w:rsidP="00A94D15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1390"/>
        <w:gridCol w:w="1948"/>
        <w:gridCol w:w="2178"/>
      </w:tblGrid>
      <w:tr w:rsidR="00593F0B" w:rsidRPr="00F14CE1" w:rsidTr="00F14CE1">
        <w:trPr>
          <w:jc w:val="center"/>
        </w:trPr>
        <w:tc>
          <w:tcPr>
            <w:tcW w:w="2088" w:type="dxa"/>
            <w:shd w:val="clear" w:color="auto" w:fill="auto"/>
          </w:tcPr>
          <w:p w:rsidR="00593F0B" w:rsidRPr="00357963" w:rsidRDefault="00357963" w:rsidP="00357963">
            <w:pPr>
              <w:pStyle w:val="af9"/>
            </w:pPr>
            <w:r w:rsidRPr="00357963">
              <w:t>лекарственный</w:t>
            </w:r>
          </w:p>
        </w:tc>
        <w:tc>
          <w:tcPr>
            <w:tcW w:w="1390" w:type="dxa"/>
            <w:shd w:val="clear" w:color="auto" w:fill="auto"/>
          </w:tcPr>
          <w:p w:rsidR="00593F0B" w:rsidRPr="00357963" w:rsidRDefault="00357963" w:rsidP="00357963">
            <w:pPr>
              <w:pStyle w:val="af9"/>
            </w:pPr>
            <w:r w:rsidRPr="00357963">
              <w:t>доза, мг/кг</w:t>
            </w:r>
          </w:p>
        </w:tc>
        <w:tc>
          <w:tcPr>
            <w:tcW w:w="1948" w:type="dxa"/>
            <w:shd w:val="clear" w:color="auto" w:fill="auto"/>
          </w:tcPr>
          <w:p w:rsidR="00593F0B" w:rsidRPr="00357963" w:rsidRDefault="00357963" w:rsidP="00357963">
            <w:pPr>
              <w:pStyle w:val="af9"/>
            </w:pPr>
            <w:r w:rsidRPr="00357963">
              <w:t>начало действия,</w:t>
            </w:r>
          </w:p>
        </w:tc>
        <w:tc>
          <w:tcPr>
            <w:tcW w:w="2178" w:type="dxa"/>
            <w:shd w:val="clear" w:color="auto" w:fill="auto"/>
          </w:tcPr>
          <w:p w:rsidR="00593F0B" w:rsidRPr="00357963" w:rsidRDefault="00357963" w:rsidP="00357963">
            <w:pPr>
              <w:pStyle w:val="af9"/>
            </w:pPr>
            <w:r w:rsidRPr="00357963">
              <w:t>продолжительность</w:t>
            </w:r>
          </w:p>
        </w:tc>
      </w:tr>
      <w:tr w:rsidR="00593F0B" w:rsidRPr="00F14CE1" w:rsidTr="00F14CE1">
        <w:trPr>
          <w:jc w:val="center"/>
        </w:trPr>
        <w:tc>
          <w:tcPr>
            <w:tcW w:w="2088" w:type="dxa"/>
            <w:shd w:val="clear" w:color="auto" w:fill="auto"/>
          </w:tcPr>
          <w:p w:rsidR="00593F0B" w:rsidRPr="00357963" w:rsidRDefault="00593F0B" w:rsidP="00357963">
            <w:pPr>
              <w:pStyle w:val="af9"/>
            </w:pPr>
            <w:r w:rsidRPr="00357963">
              <w:t>ПРЕПАРАТ</w:t>
            </w:r>
          </w:p>
        </w:tc>
        <w:tc>
          <w:tcPr>
            <w:tcW w:w="1390" w:type="dxa"/>
            <w:shd w:val="clear" w:color="auto" w:fill="auto"/>
          </w:tcPr>
          <w:p w:rsidR="00593F0B" w:rsidRPr="00357963" w:rsidRDefault="00593F0B" w:rsidP="00357963">
            <w:pPr>
              <w:pStyle w:val="af9"/>
            </w:pPr>
          </w:p>
        </w:tc>
        <w:tc>
          <w:tcPr>
            <w:tcW w:w="1948" w:type="dxa"/>
            <w:shd w:val="clear" w:color="auto" w:fill="auto"/>
          </w:tcPr>
          <w:p w:rsidR="00593F0B" w:rsidRPr="00357963" w:rsidRDefault="00593F0B" w:rsidP="00357963">
            <w:pPr>
              <w:pStyle w:val="af9"/>
            </w:pPr>
            <w:r w:rsidRPr="00357963">
              <w:t>мин</w:t>
            </w:r>
          </w:p>
        </w:tc>
        <w:tc>
          <w:tcPr>
            <w:tcW w:w="2178" w:type="dxa"/>
            <w:shd w:val="clear" w:color="auto" w:fill="auto"/>
          </w:tcPr>
          <w:p w:rsidR="00593F0B" w:rsidRPr="00357963" w:rsidRDefault="00593F0B" w:rsidP="00357963">
            <w:pPr>
              <w:pStyle w:val="af9"/>
            </w:pPr>
            <w:r w:rsidRPr="00357963">
              <w:t>ДЕЙСТВИЯ, мин</w:t>
            </w:r>
          </w:p>
        </w:tc>
      </w:tr>
      <w:tr w:rsidR="00593F0B" w:rsidRPr="00F14CE1" w:rsidTr="00F14CE1">
        <w:trPr>
          <w:jc w:val="center"/>
        </w:trPr>
        <w:tc>
          <w:tcPr>
            <w:tcW w:w="2088" w:type="dxa"/>
            <w:shd w:val="clear" w:color="auto" w:fill="auto"/>
          </w:tcPr>
          <w:p w:rsidR="00593F0B" w:rsidRPr="00357963" w:rsidRDefault="00593F0B" w:rsidP="00357963">
            <w:pPr>
              <w:pStyle w:val="af9"/>
            </w:pPr>
            <w:r w:rsidRPr="00357963">
              <w:t>Эдрофоииум</w:t>
            </w:r>
          </w:p>
        </w:tc>
        <w:tc>
          <w:tcPr>
            <w:tcW w:w="1390" w:type="dxa"/>
            <w:shd w:val="clear" w:color="auto" w:fill="auto"/>
          </w:tcPr>
          <w:p w:rsidR="00593F0B" w:rsidRPr="00357963" w:rsidRDefault="00593F0B" w:rsidP="00357963">
            <w:pPr>
              <w:pStyle w:val="af9"/>
            </w:pPr>
            <w:r w:rsidRPr="00357963">
              <w:t>0,5-1,0</w:t>
            </w:r>
          </w:p>
        </w:tc>
        <w:tc>
          <w:tcPr>
            <w:tcW w:w="1948" w:type="dxa"/>
            <w:shd w:val="clear" w:color="auto" w:fill="auto"/>
          </w:tcPr>
          <w:p w:rsidR="00593F0B" w:rsidRPr="00357963" w:rsidRDefault="00593F0B" w:rsidP="00357963">
            <w:pPr>
              <w:pStyle w:val="af9"/>
            </w:pPr>
            <w:r w:rsidRPr="00357963">
              <w:t>2</w:t>
            </w:r>
          </w:p>
        </w:tc>
        <w:tc>
          <w:tcPr>
            <w:tcW w:w="2178" w:type="dxa"/>
            <w:shd w:val="clear" w:color="auto" w:fill="auto"/>
          </w:tcPr>
          <w:p w:rsidR="00593F0B" w:rsidRPr="00357963" w:rsidRDefault="00593F0B" w:rsidP="00357963">
            <w:pPr>
              <w:pStyle w:val="af9"/>
            </w:pPr>
            <w:r w:rsidRPr="00357963">
              <w:t>45-60</w:t>
            </w:r>
          </w:p>
        </w:tc>
      </w:tr>
      <w:tr w:rsidR="00593F0B" w:rsidRPr="00F14CE1" w:rsidTr="00F14CE1">
        <w:trPr>
          <w:jc w:val="center"/>
        </w:trPr>
        <w:tc>
          <w:tcPr>
            <w:tcW w:w="2088" w:type="dxa"/>
            <w:shd w:val="clear" w:color="auto" w:fill="auto"/>
          </w:tcPr>
          <w:p w:rsidR="00593F0B" w:rsidRPr="00357963" w:rsidRDefault="00593F0B" w:rsidP="00357963">
            <w:pPr>
              <w:pStyle w:val="af9"/>
            </w:pPr>
            <w:r w:rsidRPr="00357963">
              <w:t>Неостигмин</w:t>
            </w:r>
            <w:r w:rsidR="00A94D15" w:rsidRPr="00357963">
              <w:t xml:space="preserve"> (</w:t>
            </w:r>
            <w:r w:rsidRPr="00357963">
              <w:t>прозсрин</w:t>
            </w:r>
            <w:r w:rsidR="00A94D15" w:rsidRPr="00357963">
              <w:t xml:space="preserve">) </w:t>
            </w:r>
          </w:p>
        </w:tc>
        <w:tc>
          <w:tcPr>
            <w:tcW w:w="1390" w:type="dxa"/>
            <w:shd w:val="clear" w:color="auto" w:fill="auto"/>
          </w:tcPr>
          <w:p w:rsidR="00593F0B" w:rsidRPr="00357963" w:rsidRDefault="00593F0B" w:rsidP="00357963">
            <w:pPr>
              <w:pStyle w:val="af9"/>
            </w:pPr>
            <w:r w:rsidRPr="00357963">
              <w:t>0,035-0,07</w:t>
            </w:r>
          </w:p>
        </w:tc>
        <w:tc>
          <w:tcPr>
            <w:tcW w:w="1948" w:type="dxa"/>
            <w:shd w:val="clear" w:color="auto" w:fill="auto"/>
          </w:tcPr>
          <w:p w:rsidR="00593F0B" w:rsidRPr="00357963" w:rsidRDefault="00593F0B" w:rsidP="00357963">
            <w:pPr>
              <w:pStyle w:val="af9"/>
            </w:pPr>
            <w:r w:rsidRPr="00357963">
              <w:t>7</w:t>
            </w:r>
          </w:p>
        </w:tc>
        <w:tc>
          <w:tcPr>
            <w:tcW w:w="2178" w:type="dxa"/>
            <w:shd w:val="clear" w:color="auto" w:fill="auto"/>
          </w:tcPr>
          <w:p w:rsidR="00593F0B" w:rsidRPr="00357963" w:rsidRDefault="00593F0B" w:rsidP="00357963">
            <w:pPr>
              <w:pStyle w:val="af9"/>
            </w:pPr>
            <w:r w:rsidRPr="00357963">
              <w:t>60-90</w:t>
            </w:r>
          </w:p>
        </w:tc>
      </w:tr>
      <w:tr w:rsidR="00593F0B" w:rsidRPr="00F14CE1" w:rsidTr="00F14CE1">
        <w:trPr>
          <w:jc w:val="center"/>
        </w:trPr>
        <w:tc>
          <w:tcPr>
            <w:tcW w:w="2088" w:type="dxa"/>
            <w:shd w:val="clear" w:color="auto" w:fill="auto"/>
          </w:tcPr>
          <w:p w:rsidR="00593F0B" w:rsidRPr="00357963" w:rsidRDefault="00593F0B" w:rsidP="00357963">
            <w:pPr>
              <w:pStyle w:val="af9"/>
            </w:pPr>
            <w:r w:rsidRPr="00357963">
              <w:t>Пиридостигмии</w:t>
            </w:r>
          </w:p>
        </w:tc>
        <w:tc>
          <w:tcPr>
            <w:tcW w:w="1390" w:type="dxa"/>
            <w:shd w:val="clear" w:color="auto" w:fill="auto"/>
          </w:tcPr>
          <w:p w:rsidR="00593F0B" w:rsidRPr="00357963" w:rsidRDefault="00593F0B" w:rsidP="00357963">
            <w:pPr>
              <w:pStyle w:val="af9"/>
            </w:pPr>
            <w:r w:rsidRPr="00357963">
              <w:t>0,15-0,25</w:t>
            </w:r>
          </w:p>
        </w:tc>
        <w:tc>
          <w:tcPr>
            <w:tcW w:w="1948" w:type="dxa"/>
            <w:shd w:val="clear" w:color="auto" w:fill="auto"/>
          </w:tcPr>
          <w:p w:rsidR="00593F0B" w:rsidRPr="00357963" w:rsidRDefault="00593F0B" w:rsidP="00357963">
            <w:pPr>
              <w:pStyle w:val="af9"/>
            </w:pPr>
            <w:r w:rsidRPr="00357963">
              <w:t>11</w:t>
            </w:r>
          </w:p>
        </w:tc>
        <w:tc>
          <w:tcPr>
            <w:tcW w:w="2178" w:type="dxa"/>
            <w:shd w:val="clear" w:color="auto" w:fill="auto"/>
          </w:tcPr>
          <w:p w:rsidR="00593F0B" w:rsidRPr="00357963" w:rsidRDefault="00593F0B" w:rsidP="00357963">
            <w:pPr>
              <w:pStyle w:val="af9"/>
            </w:pPr>
            <w:r w:rsidRPr="00357963">
              <w:t>60-120</w:t>
            </w:r>
          </w:p>
        </w:tc>
      </w:tr>
    </w:tbl>
    <w:p w:rsidR="00357963" w:rsidRDefault="00357963" w:rsidP="00A94D15">
      <w:pPr>
        <w:rPr>
          <w:color w:val="000000"/>
        </w:rPr>
      </w:pPr>
    </w:p>
    <w:p w:rsidR="002C2B22" w:rsidRDefault="00357963" w:rsidP="00A94D15">
      <w:pPr>
        <w:rPr>
          <w:color w:val="000000"/>
        </w:rPr>
      </w:pPr>
      <w:r w:rsidRPr="00A94D15">
        <w:rPr>
          <w:color w:val="000000"/>
        </w:rPr>
        <w:t xml:space="preserve">Холинэстеразы </w:t>
      </w:r>
      <w:r w:rsidR="00A94D15" w:rsidRPr="00A94D15">
        <w:rPr>
          <w:color w:val="000000"/>
        </w:rPr>
        <w:t xml:space="preserve">- </w:t>
      </w:r>
      <w:r w:rsidR="00593F0B" w:rsidRPr="00A94D15">
        <w:rPr>
          <w:color w:val="000000"/>
        </w:rPr>
        <w:t>проходит через гематоэнцефалический барьер, и поэтому для ликвидации нервно-мышечного блока не применяется</w:t>
      </w:r>
      <w:r w:rsidR="00A94D15" w:rsidRPr="00A94D15">
        <w:rPr>
          <w:color w:val="000000"/>
        </w:rPr>
        <w:t xml:space="preserve">. </w:t>
      </w:r>
      <w:r w:rsidR="00593F0B" w:rsidRPr="00A94D15">
        <w:rPr>
          <w:color w:val="000000"/>
        </w:rPr>
        <w:t>Пиридостигмин применяется в лечении больных миастенией</w:t>
      </w:r>
      <w:r w:rsidR="00A94D15" w:rsidRPr="00A94D15">
        <w:rPr>
          <w:color w:val="000000"/>
        </w:rPr>
        <w:t xml:space="preserve">. </w:t>
      </w:r>
    </w:p>
    <w:p w:rsidR="00A94D15" w:rsidRDefault="00593F0B" w:rsidP="00A94D15">
      <w:pPr>
        <w:rPr>
          <w:color w:val="000000"/>
        </w:rPr>
      </w:pPr>
      <w:r w:rsidRPr="00A94D15">
        <w:rPr>
          <w:color w:val="000000"/>
        </w:rPr>
        <w:t>Ингибиторы холинэстеразы содержат положительно заряженные четвертичные аммониевые группы, растворяются в воде и выводятся почками</w:t>
      </w:r>
      <w:r w:rsidR="00A94D15" w:rsidRPr="00A94D15">
        <w:rPr>
          <w:color w:val="000000"/>
        </w:rPr>
        <w:t>.</w:t>
      </w:r>
    </w:p>
    <w:p w:rsidR="00357963" w:rsidRDefault="00357963" w:rsidP="00A94D15">
      <w:pPr>
        <w:rPr>
          <w:color w:val="000000"/>
        </w:rPr>
      </w:pPr>
    </w:p>
    <w:p w:rsidR="00A94D15" w:rsidRDefault="00593F0B" w:rsidP="00357963">
      <w:pPr>
        <w:pStyle w:val="2"/>
        <w:rPr>
          <w:color w:val="000000"/>
        </w:rPr>
      </w:pPr>
      <w:r w:rsidRPr="00A94D15">
        <w:rPr>
          <w:color w:val="000000"/>
        </w:rPr>
        <w:t>Препараты, восстанавливающие нервно-мышечную прово</w:t>
      </w:r>
      <w:r w:rsidR="002164C0">
        <w:rPr>
          <w:color w:val="000000"/>
        </w:rPr>
        <w:t>димость, усиливают действие аце</w:t>
      </w:r>
      <w:r w:rsidRPr="00A94D15">
        <w:rPr>
          <w:color w:val="000000"/>
        </w:rPr>
        <w:t>тилхолина</w:t>
      </w:r>
      <w:r w:rsidR="00A94D15" w:rsidRPr="00A94D15">
        <w:rPr>
          <w:color w:val="000000"/>
        </w:rPr>
        <w:t xml:space="preserve">. </w:t>
      </w:r>
      <w:r w:rsidRPr="00A94D15">
        <w:rPr>
          <w:color w:val="000000"/>
        </w:rPr>
        <w:t>Безопасно ли это</w:t>
      </w:r>
      <w:r w:rsidR="00A94D15" w:rsidRPr="00A94D15">
        <w:rPr>
          <w:color w:val="000000"/>
        </w:rPr>
        <w:t>?</w:t>
      </w:r>
    </w:p>
    <w:p w:rsidR="00357963" w:rsidRDefault="00357963" w:rsidP="00A94D15">
      <w:pPr>
        <w:rPr>
          <w:color w:val="000000"/>
        </w:rPr>
      </w:pPr>
    </w:p>
    <w:p w:rsidR="002C2B22" w:rsidRDefault="00593F0B" w:rsidP="00A94D15">
      <w:pPr>
        <w:rPr>
          <w:color w:val="000000"/>
        </w:rPr>
      </w:pPr>
      <w:r w:rsidRPr="00A94D15">
        <w:rPr>
          <w:color w:val="000000"/>
        </w:rPr>
        <w:t>Необходимо помнить, что М-холинергическое действие этих веществ на миокард надо блокировать атропином или гликопирролатом*</w:t>
      </w:r>
      <w:r w:rsidR="00A94D15" w:rsidRPr="00A94D15">
        <w:rPr>
          <w:color w:val="000000"/>
        </w:rPr>
        <w:t xml:space="preserve"> - </w:t>
      </w:r>
      <w:r w:rsidRPr="00A94D15">
        <w:rPr>
          <w:color w:val="000000"/>
        </w:rPr>
        <w:t>для предотвращения брадикардии, которая может трансформироваться в асистолию</w:t>
      </w:r>
      <w:r w:rsidR="00A94D15" w:rsidRPr="00A94D15">
        <w:rPr>
          <w:color w:val="000000"/>
        </w:rPr>
        <w:t xml:space="preserve">. </w:t>
      </w:r>
    </w:p>
    <w:p w:rsidR="00A94D15" w:rsidRDefault="00593F0B" w:rsidP="00A94D15">
      <w:pPr>
        <w:rPr>
          <w:color w:val="000000"/>
        </w:rPr>
      </w:pPr>
      <w:r w:rsidRPr="00A94D15">
        <w:rPr>
          <w:color w:val="000000"/>
        </w:rPr>
        <w:t>Доза атропина</w:t>
      </w:r>
      <w:r w:rsidR="00A94D15" w:rsidRPr="00A94D15">
        <w:rPr>
          <w:color w:val="000000"/>
        </w:rPr>
        <w:t xml:space="preserve"> - </w:t>
      </w:r>
      <w:r w:rsidRPr="00A94D15">
        <w:rPr>
          <w:color w:val="000000"/>
        </w:rPr>
        <w:t>0,01 мг/кг, гликопирролата</w:t>
      </w:r>
      <w:r w:rsidR="00A94D15" w:rsidRPr="00A94D15">
        <w:rPr>
          <w:color w:val="000000"/>
        </w:rPr>
        <w:t xml:space="preserve"> - </w:t>
      </w:r>
      <w:r w:rsidRPr="00A94D15">
        <w:rPr>
          <w:color w:val="000000"/>
        </w:rPr>
        <w:t>0,005-0,015 мг/кг</w:t>
      </w:r>
      <w:r w:rsidR="00A94D15" w:rsidRPr="00A94D15">
        <w:rPr>
          <w:color w:val="000000"/>
        </w:rPr>
        <w:t>.</w:t>
      </w:r>
    </w:p>
    <w:p w:rsidR="002C2B22" w:rsidRDefault="00593F0B" w:rsidP="00A94D15">
      <w:pPr>
        <w:rPr>
          <w:color w:val="000000"/>
        </w:rPr>
      </w:pPr>
      <w:r w:rsidRPr="00A94D15">
        <w:rPr>
          <w:color w:val="000000"/>
        </w:rPr>
        <w:t>Назначая эти препараты, необходимо учитывать начало их действия и действия антихолинэстеразных средств</w:t>
      </w:r>
      <w:r w:rsidR="00A94D15" w:rsidRPr="00A94D15">
        <w:rPr>
          <w:color w:val="000000"/>
        </w:rPr>
        <w:t xml:space="preserve">. </w:t>
      </w:r>
    </w:p>
    <w:p w:rsidR="00A94D15" w:rsidRDefault="00593F0B" w:rsidP="00A94D15">
      <w:pPr>
        <w:rPr>
          <w:color w:val="000000"/>
        </w:rPr>
      </w:pPr>
      <w:r w:rsidRPr="00A94D15">
        <w:rPr>
          <w:color w:val="000000"/>
        </w:rPr>
        <w:t>Атропин вводят с эдрофониумом, гликопирролат</w:t>
      </w:r>
      <w:r w:rsidR="00A94D15" w:rsidRPr="00A94D15">
        <w:rPr>
          <w:color w:val="000000"/>
        </w:rPr>
        <w:t xml:space="preserve"> - </w:t>
      </w:r>
      <w:r w:rsidRPr="00A94D15">
        <w:rPr>
          <w:color w:val="000000"/>
        </w:rPr>
        <w:t>с неостигмином</w:t>
      </w:r>
      <w:r w:rsidR="00A94D15" w:rsidRPr="00A94D15">
        <w:rPr>
          <w:color w:val="000000"/>
        </w:rPr>
        <w:t>.</w:t>
      </w:r>
    </w:p>
    <w:p w:rsidR="003D05CC" w:rsidRDefault="003D05CC" w:rsidP="00A94D15">
      <w:pPr>
        <w:rPr>
          <w:color w:val="000000"/>
        </w:rPr>
      </w:pPr>
    </w:p>
    <w:p w:rsidR="00A94D15" w:rsidRDefault="00593F0B" w:rsidP="003D05CC">
      <w:pPr>
        <w:pStyle w:val="2"/>
        <w:rPr>
          <w:color w:val="000000"/>
        </w:rPr>
      </w:pPr>
      <w:r w:rsidRPr="00A94D15">
        <w:rPr>
          <w:color w:val="000000"/>
        </w:rPr>
        <w:t>Снижают ли миорелаксанты сократительную способность миокарда</w:t>
      </w:r>
      <w:r w:rsidR="00A94D15" w:rsidRPr="00A94D15">
        <w:rPr>
          <w:color w:val="000000"/>
        </w:rPr>
        <w:t>?</w:t>
      </w:r>
    </w:p>
    <w:p w:rsidR="003D05CC" w:rsidRDefault="003D05CC" w:rsidP="00A94D15">
      <w:pPr>
        <w:rPr>
          <w:color w:val="000000"/>
        </w:rPr>
      </w:pPr>
    </w:p>
    <w:p w:rsidR="008A1D35" w:rsidRDefault="00593F0B" w:rsidP="008A1D35">
      <w:pPr>
        <w:rPr>
          <w:color w:val="000000"/>
        </w:rPr>
      </w:pPr>
      <w:r w:rsidRPr="00A94D15">
        <w:rPr>
          <w:color w:val="000000"/>
        </w:rPr>
        <w:t>Миорелаксанты взаимодействуют с Н-холинергическими рецепторами</w:t>
      </w:r>
      <w:r w:rsidR="00A94D15" w:rsidRPr="00A94D15">
        <w:rPr>
          <w:color w:val="000000"/>
        </w:rPr>
        <w:t xml:space="preserve">. </w:t>
      </w:r>
      <w:r w:rsidRPr="00A94D15">
        <w:rPr>
          <w:color w:val="000000"/>
        </w:rPr>
        <w:t>Миокард</w:t>
      </w:r>
      <w:r w:rsidR="00A94D15" w:rsidRPr="00A94D15">
        <w:rPr>
          <w:color w:val="000000"/>
        </w:rPr>
        <w:t xml:space="preserve"> - </w:t>
      </w:r>
      <w:r w:rsidRPr="00A94D15">
        <w:rPr>
          <w:color w:val="000000"/>
        </w:rPr>
        <w:t>мышца с адренергической иннервацией, где медиатором является норадреналин</w:t>
      </w:r>
      <w:r w:rsidR="00A94D15" w:rsidRPr="00A94D15">
        <w:rPr>
          <w:color w:val="000000"/>
        </w:rPr>
        <w:t xml:space="preserve">. </w:t>
      </w:r>
    </w:p>
    <w:p w:rsidR="00A94D15" w:rsidRDefault="00593F0B" w:rsidP="008A1D35">
      <w:pPr>
        <w:rPr>
          <w:color w:val="000000"/>
        </w:rPr>
      </w:pPr>
      <w:r w:rsidRPr="00A94D15">
        <w:rPr>
          <w:color w:val="000000"/>
        </w:rPr>
        <w:t>Поэтому миорелаксанты не влияют на сократительную способность миокарда</w:t>
      </w:r>
      <w:r w:rsidR="00A94D15" w:rsidRPr="00A94D15">
        <w:rPr>
          <w:color w:val="000000"/>
        </w:rPr>
        <w:t xml:space="preserve">. </w:t>
      </w:r>
      <w:r w:rsidRPr="00A94D15">
        <w:rPr>
          <w:color w:val="000000"/>
        </w:rPr>
        <w:t>Не влияют они и на гладкую мускулатуру</w:t>
      </w:r>
      <w:r w:rsidR="00A94D15" w:rsidRPr="00A94D15">
        <w:rPr>
          <w:color w:val="000000"/>
        </w:rPr>
        <w:t>.</w:t>
      </w:r>
    </w:p>
    <w:p w:rsidR="003D05CC" w:rsidRDefault="003D05CC" w:rsidP="00A94D15">
      <w:pPr>
        <w:rPr>
          <w:color w:val="000000"/>
        </w:rPr>
      </w:pPr>
    </w:p>
    <w:p w:rsidR="00A94D15" w:rsidRDefault="00593F0B" w:rsidP="003D05CC">
      <w:pPr>
        <w:pStyle w:val="2"/>
        <w:rPr>
          <w:color w:val="000000"/>
        </w:rPr>
      </w:pPr>
      <w:r w:rsidRPr="00A94D15">
        <w:rPr>
          <w:color w:val="000000"/>
        </w:rPr>
        <w:t>Как можно заставить миорелаксанты действовать быстрее, если необходимо быстрее защитить дыхательные пути</w:t>
      </w:r>
      <w:r w:rsidR="00A94D15" w:rsidRPr="00A94D15">
        <w:rPr>
          <w:color w:val="000000"/>
        </w:rPr>
        <w:t>?</w:t>
      </w:r>
    </w:p>
    <w:p w:rsidR="003D05CC" w:rsidRDefault="003D05CC" w:rsidP="00A94D15">
      <w:pPr>
        <w:rPr>
          <w:color w:val="000000"/>
        </w:rPr>
      </w:pPr>
    </w:p>
    <w:p w:rsidR="008A1D35" w:rsidRDefault="00593F0B" w:rsidP="00A94D15">
      <w:pPr>
        <w:rPr>
          <w:color w:val="000000"/>
        </w:rPr>
      </w:pPr>
      <w:r w:rsidRPr="00A94D15">
        <w:rPr>
          <w:color w:val="000000"/>
        </w:rPr>
        <w:t>Бесчисленное количество зон действия</w:t>
      </w:r>
      <w:r w:rsidR="00A94D15">
        <w:rPr>
          <w:color w:val="000000"/>
        </w:rPr>
        <w:t xml:space="preserve"> (</w:t>
      </w:r>
      <w:r w:rsidRPr="00A94D15">
        <w:rPr>
          <w:color w:val="000000"/>
        </w:rPr>
        <w:t>рецепторов нервно-мышечных синапсов</w:t>
      </w:r>
      <w:r w:rsidR="00A94D15" w:rsidRPr="00A94D15">
        <w:rPr>
          <w:color w:val="000000"/>
        </w:rPr>
        <w:t xml:space="preserve">) </w:t>
      </w:r>
      <w:r w:rsidRPr="00A94D15">
        <w:rPr>
          <w:color w:val="000000"/>
        </w:rPr>
        <w:t>подвергаются конкурентному действию препаратов, блокиру</w:t>
      </w:r>
      <w:r w:rsidR="008A1D35">
        <w:rPr>
          <w:color w:val="000000"/>
        </w:rPr>
        <w:t>ющих их от воздействия ацетилхо</w:t>
      </w:r>
      <w:r w:rsidRPr="00A94D15">
        <w:rPr>
          <w:color w:val="000000"/>
        </w:rPr>
        <w:t>лина</w:t>
      </w:r>
      <w:r w:rsidR="00A94D15" w:rsidRPr="00A94D15">
        <w:rPr>
          <w:color w:val="000000"/>
        </w:rPr>
        <w:t xml:space="preserve">. </w:t>
      </w:r>
    </w:p>
    <w:p w:rsidR="002C2B22" w:rsidRDefault="00593F0B" w:rsidP="00A94D15">
      <w:pPr>
        <w:rPr>
          <w:color w:val="000000"/>
        </w:rPr>
      </w:pPr>
      <w:r w:rsidRPr="00A94D15">
        <w:rPr>
          <w:color w:val="000000"/>
        </w:rPr>
        <w:t>Это то, что мы делаем, вводя стандартную интубационную дозу недеполяризующего релаксанта</w:t>
      </w:r>
      <w:r w:rsidR="00A94D15" w:rsidRPr="00A94D15">
        <w:rPr>
          <w:color w:val="000000"/>
        </w:rPr>
        <w:t xml:space="preserve">. </w:t>
      </w:r>
      <w:r w:rsidRPr="00A94D15">
        <w:rPr>
          <w:color w:val="000000"/>
        </w:rPr>
        <w:t>Обычная интубационная доза</w:t>
      </w:r>
      <w:r w:rsidR="00A94D15">
        <w:rPr>
          <w:color w:val="000000"/>
        </w:rPr>
        <w:t xml:space="preserve"> (</w:t>
      </w:r>
      <w:r w:rsidRPr="00A94D15">
        <w:rPr>
          <w:color w:val="000000"/>
        </w:rPr>
        <w:t>см</w:t>
      </w:r>
      <w:r w:rsidR="00A94D15" w:rsidRPr="00A94D15">
        <w:rPr>
          <w:color w:val="000000"/>
        </w:rPr>
        <w:t xml:space="preserve">. </w:t>
      </w:r>
      <w:r w:rsidRPr="00A94D15">
        <w:rPr>
          <w:color w:val="000000"/>
        </w:rPr>
        <w:t>вопрос 11</w:t>
      </w:r>
      <w:r w:rsidR="00A94D15" w:rsidRPr="00A94D15">
        <w:rPr>
          <w:color w:val="000000"/>
        </w:rPr>
        <w:t xml:space="preserve">) </w:t>
      </w:r>
      <w:r w:rsidRPr="00A94D15">
        <w:rPr>
          <w:color w:val="000000"/>
        </w:rPr>
        <w:t xml:space="preserve">примерно в 3 раза выше </w:t>
      </w:r>
      <w:r w:rsidRPr="00A94D15">
        <w:rPr>
          <w:color w:val="000000"/>
          <w:lang w:val="en-US"/>
        </w:rPr>
        <w:t>ED</w:t>
      </w:r>
      <w:r w:rsidRPr="00A94D15">
        <w:rPr>
          <w:color w:val="000000"/>
          <w:vertAlign w:val="subscript"/>
        </w:rPr>
        <w:t>95</w:t>
      </w:r>
      <w:r w:rsidR="00A94D15">
        <w:rPr>
          <w:color w:val="000000"/>
        </w:rPr>
        <w:t xml:space="preserve"> (</w:t>
      </w:r>
      <w:r w:rsidRPr="00A94D15">
        <w:rPr>
          <w:color w:val="000000"/>
        </w:rPr>
        <w:t>доза на 95% уменьшающая ответ мышцы на электростимуляцию</w:t>
      </w:r>
      <w:r w:rsidR="00A94D15" w:rsidRPr="00A94D15">
        <w:rPr>
          <w:color w:val="000000"/>
        </w:rPr>
        <w:t xml:space="preserve">). </w:t>
      </w:r>
    </w:p>
    <w:p w:rsidR="008A1D35" w:rsidRDefault="00593F0B" w:rsidP="00A94D15">
      <w:pPr>
        <w:rPr>
          <w:color w:val="000000"/>
        </w:rPr>
      </w:pPr>
      <w:r w:rsidRPr="00A94D15">
        <w:rPr>
          <w:color w:val="000000"/>
        </w:rPr>
        <w:t>При стабильном кровообращении дальнейшее увеличение первоначальной дозы может несколько сократить начало действия препарата без побочного действия</w:t>
      </w:r>
      <w:r w:rsidR="00A94D15" w:rsidRPr="00A94D15">
        <w:rPr>
          <w:color w:val="000000"/>
        </w:rPr>
        <w:t xml:space="preserve">. </w:t>
      </w:r>
    </w:p>
    <w:p w:rsidR="00A94D15" w:rsidRDefault="00593F0B" w:rsidP="00A94D15">
      <w:pPr>
        <w:rPr>
          <w:color w:val="000000"/>
        </w:rPr>
      </w:pPr>
      <w:r w:rsidRPr="00A94D15">
        <w:rPr>
          <w:color w:val="000000"/>
        </w:rPr>
        <w:t>Однако очень трудно сократить этот промежуток времени до сукцинилхолинового стандарта для недеполяризующих релаксантов, за исключением рокурониума и, возможно, нового препарата рапакурониума</w:t>
      </w:r>
      <w:r w:rsidR="00A94D15" w:rsidRPr="00A94D15">
        <w:rPr>
          <w:color w:val="000000"/>
        </w:rPr>
        <w:t xml:space="preserve">. </w:t>
      </w:r>
      <w:r w:rsidRPr="00A94D15">
        <w:rPr>
          <w:color w:val="000000"/>
        </w:rPr>
        <w:t>Для препаратов, обладающих гистаминолиберирующим эффектом, увеличение дозы означает дозозависимое усиление побочного действия</w:t>
      </w:r>
      <w:r w:rsidR="00A94D15" w:rsidRPr="00A94D15">
        <w:rPr>
          <w:color w:val="000000"/>
        </w:rPr>
        <w:t>.</w:t>
      </w:r>
    </w:p>
    <w:p w:rsidR="008A1D35" w:rsidRDefault="00593F0B" w:rsidP="00A94D15">
      <w:pPr>
        <w:rPr>
          <w:color w:val="000000"/>
        </w:rPr>
      </w:pPr>
      <w:r w:rsidRPr="00A94D15">
        <w:rPr>
          <w:color w:val="000000"/>
        </w:rPr>
        <w:t>Другой метод ускорения паралича</w:t>
      </w:r>
      <w:r w:rsidR="00A94D15" w:rsidRPr="00A94D15">
        <w:rPr>
          <w:color w:val="000000"/>
        </w:rPr>
        <w:t xml:space="preserve"> - </w:t>
      </w:r>
      <w:r w:rsidRPr="00A94D15">
        <w:rPr>
          <w:color w:val="000000"/>
        </w:rPr>
        <w:t>техника прекураризации</w:t>
      </w:r>
      <w:r w:rsidR="00A94D15" w:rsidRPr="00A94D15">
        <w:rPr>
          <w:color w:val="000000"/>
        </w:rPr>
        <w:t xml:space="preserve">. </w:t>
      </w:r>
      <w:r w:rsidRPr="00A94D15">
        <w:rPr>
          <w:color w:val="000000"/>
        </w:rPr>
        <w:t xml:space="preserve">Если ввести 1/3 </w:t>
      </w:r>
      <w:r w:rsidRPr="00A94D15">
        <w:rPr>
          <w:color w:val="000000"/>
          <w:lang w:val="en-US"/>
        </w:rPr>
        <w:t>ED</w:t>
      </w:r>
      <w:r w:rsidRPr="00A94D15">
        <w:rPr>
          <w:color w:val="000000"/>
          <w:vertAlign w:val="subscript"/>
        </w:rPr>
        <w:t>95</w:t>
      </w:r>
      <w:r w:rsidRPr="00A94D15">
        <w:rPr>
          <w:color w:val="000000"/>
        </w:rPr>
        <w:t xml:space="preserve"> за 3 мин до введения интубационной дозы, время начала действия можно сократить до 1 мин</w:t>
      </w:r>
      <w:r w:rsidR="00A94D15" w:rsidRPr="00A94D15">
        <w:rPr>
          <w:color w:val="000000"/>
        </w:rPr>
        <w:t xml:space="preserve">. </w:t>
      </w:r>
    </w:p>
    <w:p w:rsidR="008A1D35" w:rsidRDefault="00593F0B" w:rsidP="00A94D15">
      <w:pPr>
        <w:rPr>
          <w:color w:val="000000"/>
        </w:rPr>
      </w:pPr>
      <w:r w:rsidRPr="00A94D15">
        <w:rPr>
          <w:color w:val="000000"/>
        </w:rPr>
        <w:t>Однако чувствительность больных к парализующему действию этих релаксантов варьирует в довольно широких пределах, у некоторых прекураризирующая доза вызывает полный паралич</w:t>
      </w:r>
      <w:r w:rsidR="00A94D15" w:rsidRPr="00A94D15">
        <w:rPr>
          <w:color w:val="000000"/>
        </w:rPr>
        <w:t xml:space="preserve">. </w:t>
      </w:r>
    </w:p>
    <w:p w:rsidR="008A1D35" w:rsidRDefault="00593F0B" w:rsidP="00A94D15">
      <w:pPr>
        <w:rPr>
          <w:color w:val="000000"/>
        </w:rPr>
      </w:pPr>
      <w:r w:rsidRPr="00A94D15">
        <w:rPr>
          <w:color w:val="000000"/>
        </w:rPr>
        <w:t>Некоторые пациенты отмечают появляющуюся диплопию, дисфагию или неспособность сделать глубокий вдох</w:t>
      </w:r>
      <w:r w:rsidR="00A94D15" w:rsidRPr="00A94D15">
        <w:rPr>
          <w:color w:val="000000"/>
        </w:rPr>
        <w:t xml:space="preserve">. </w:t>
      </w:r>
      <w:r w:rsidRPr="00A94D15">
        <w:rPr>
          <w:color w:val="000000"/>
        </w:rPr>
        <w:t>По этой причине многие анестезиоло</w:t>
      </w:r>
      <w:r w:rsidR="008A1D35">
        <w:rPr>
          <w:color w:val="000000"/>
        </w:rPr>
        <w:t>ги не рекомендуют применять пре</w:t>
      </w:r>
      <w:r w:rsidRPr="00A94D15">
        <w:rPr>
          <w:color w:val="000000"/>
        </w:rPr>
        <w:t>кураризирующие дозы релаксантов</w:t>
      </w:r>
      <w:r w:rsidR="00A94D15" w:rsidRPr="00A94D15">
        <w:rPr>
          <w:color w:val="000000"/>
        </w:rPr>
        <w:t xml:space="preserve">. </w:t>
      </w:r>
    </w:p>
    <w:p w:rsidR="00A94D15" w:rsidRDefault="00593F0B" w:rsidP="00A94D15">
      <w:pPr>
        <w:rPr>
          <w:color w:val="000000"/>
        </w:rPr>
      </w:pPr>
      <w:r w:rsidRPr="00A94D15">
        <w:rPr>
          <w:color w:val="000000"/>
        </w:rPr>
        <w:t>При введении любой дозы миорелаксанта необходимо быть готовым к проведению респираторной поддержки</w:t>
      </w:r>
      <w:r w:rsidR="00A94D15" w:rsidRPr="00A94D15">
        <w:rPr>
          <w:color w:val="000000"/>
        </w:rPr>
        <w:t>.</w:t>
      </w:r>
    </w:p>
    <w:p w:rsidR="00B71187" w:rsidRPr="00A94D15" w:rsidRDefault="00B71187" w:rsidP="00A94D15">
      <w:pPr>
        <w:rPr>
          <w:color w:val="000000"/>
        </w:rPr>
      </w:pPr>
      <w:bookmarkStart w:id="0" w:name="_GoBack"/>
      <w:bookmarkEnd w:id="0"/>
    </w:p>
    <w:sectPr w:rsidR="00B71187" w:rsidRPr="00A94D15" w:rsidSect="00A94D15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5" w:h="16837"/>
      <w:pgMar w:top="1134" w:right="850" w:bottom="1134" w:left="1701" w:header="680" w:footer="567" w:gutter="0"/>
      <w:pgNumType w:start="1"/>
      <w:cols w:space="6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4CE1" w:rsidRDefault="00F14CE1">
      <w:r>
        <w:separator/>
      </w:r>
    </w:p>
  </w:endnote>
  <w:endnote w:type="continuationSeparator" w:id="0">
    <w:p w:rsidR="00F14CE1" w:rsidRDefault="00F14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7963" w:rsidRDefault="00357963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7963" w:rsidRDefault="00357963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4CE1" w:rsidRDefault="00F14CE1">
      <w:r>
        <w:separator/>
      </w:r>
    </w:p>
  </w:footnote>
  <w:footnote w:type="continuationSeparator" w:id="0">
    <w:p w:rsidR="00F14CE1" w:rsidRDefault="00F14C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7963" w:rsidRDefault="000D5897" w:rsidP="00A94D15">
    <w:pPr>
      <w:pStyle w:val="a6"/>
      <w:framePr w:wrap="auto" w:vAnchor="text" w:hAnchor="margin" w:xAlign="right" w:y="1"/>
      <w:rPr>
        <w:rStyle w:val="af4"/>
      </w:rPr>
    </w:pPr>
    <w:r>
      <w:rPr>
        <w:rStyle w:val="af4"/>
      </w:rPr>
      <w:t>2</w:t>
    </w:r>
  </w:p>
  <w:p w:rsidR="00357963" w:rsidRDefault="00357963" w:rsidP="00A94D15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7963" w:rsidRDefault="0035796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BC6AF2"/>
    <w:multiLevelType w:val="singleLevel"/>
    <w:tmpl w:val="241CCDB8"/>
    <w:lvl w:ilvl="0">
      <w:start w:val="9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2">
    <w:nsid w:val="15CD0032"/>
    <w:multiLevelType w:val="singleLevel"/>
    <w:tmpl w:val="34B6930A"/>
    <w:lvl w:ilvl="0">
      <w:start w:val="6"/>
      <w:numFmt w:val="decimal"/>
      <w:lvlText w:val="%1."/>
      <w:legacy w:legacy="1" w:legacySpace="0" w:legacyIndent="292"/>
      <w:lvlJc w:val="left"/>
      <w:rPr>
        <w:rFonts w:ascii="Times New Roman" w:hAnsi="Times New Roman" w:cs="Times New Roman" w:hint="default"/>
      </w:rPr>
    </w:lvl>
  </w:abstractNum>
  <w:abstractNum w:abstractNumId="3">
    <w:nsid w:val="27437721"/>
    <w:multiLevelType w:val="singleLevel"/>
    <w:tmpl w:val="E5349210"/>
    <w:lvl w:ilvl="0">
      <w:start w:val="4"/>
      <w:numFmt w:val="decimal"/>
      <w:lvlText w:val="%1."/>
      <w:legacy w:legacy="1" w:legacySpace="0" w:legacyIndent="292"/>
      <w:lvlJc w:val="left"/>
      <w:rPr>
        <w:rFonts w:ascii="Times New Roman" w:hAnsi="Times New Roman" w:cs="Times New Roman" w:hint="default"/>
      </w:rPr>
    </w:lvl>
  </w:abstractNum>
  <w:abstractNum w:abstractNumId="4">
    <w:nsid w:val="2B395968"/>
    <w:multiLevelType w:val="singleLevel"/>
    <w:tmpl w:val="5AFAC5E6"/>
    <w:lvl w:ilvl="0">
      <w:start w:val="2"/>
      <w:numFmt w:val="decimal"/>
      <w:lvlText w:val="%1."/>
      <w:legacy w:legacy="1" w:legacySpace="0" w:legacyIndent="292"/>
      <w:lvlJc w:val="left"/>
      <w:rPr>
        <w:rFonts w:ascii="Times New Roman" w:hAnsi="Times New Roman" w:cs="Times New Roman" w:hint="default"/>
      </w:rPr>
    </w:lvl>
  </w:abstractNum>
  <w:abstractNum w:abstractNumId="5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3EB6CCA"/>
    <w:multiLevelType w:val="singleLevel"/>
    <w:tmpl w:val="9B0C84D0"/>
    <w:lvl w:ilvl="0">
      <w:start w:val="1"/>
      <w:numFmt w:val="decimal"/>
      <w:lvlText w:val="%1."/>
      <w:legacy w:legacy="1" w:legacySpace="0" w:legacyIndent="173"/>
      <w:lvlJc w:val="left"/>
      <w:rPr>
        <w:rFonts w:ascii="Times New Roman" w:hAnsi="Times New Roman" w:cs="Times New Roman" w:hint="default"/>
      </w:rPr>
    </w:lvl>
  </w:abstractNum>
  <w:abstractNum w:abstractNumId="7">
    <w:nsid w:val="42EE5FC1"/>
    <w:multiLevelType w:val="singleLevel"/>
    <w:tmpl w:val="8ECA4A74"/>
    <w:lvl w:ilvl="0">
      <w:start w:val="11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8">
    <w:nsid w:val="4A1C5F95"/>
    <w:multiLevelType w:val="singleLevel"/>
    <w:tmpl w:val="5F84BC26"/>
    <w:lvl w:ilvl="0">
      <w:start w:val="10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9">
    <w:nsid w:val="4EF674CB"/>
    <w:multiLevelType w:val="singleLevel"/>
    <w:tmpl w:val="A9EE9EC0"/>
    <w:lvl w:ilvl="0">
      <w:start w:val="3"/>
      <w:numFmt w:val="decimal"/>
      <w:lvlText w:val="%1."/>
      <w:legacy w:legacy="1" w:legacySpace="0" w:legacyIndent="292"/>
      <w:lvlJc w:val="left"/>
      <w:rPr>
        <w:rFonts w:ascii="Times New Roman" w:hAnsi="Times New Roman" w:cs="Times New Roman" w:hint="default"/>
      </w:rPr>
    </w:lvl>
  </w:abstractNum>
  <w:abstractNum w:abstractNumId="10">
    <w:nsid w:val="5108628C"/>
    <w:multiLevelType w:val="singleLevel"/>
    <w:tmpl w:val="CF3478A0"/>
    <w:lvl w:ilvl="0">
      <w:start w:val="8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1">
    <w:nsid w:val="5AC2057A"/>
    <w:multiLevelType w:val="singleLevel"/>
    <w:tmpl w:val="A5A429CA"/>
    <w:lvl w:ilvl="0">
      <w:start w:val="1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12">
    <w:nsid w:val="60636E5B"/>
    <w:multiLevelType w:val="singleLevel"/>
    <w:tmpl w:val="CDD62A68"/>
    <w:lvl w:ilvl="0">
      <w:start w:val="1"/>
      <w:numFmt w:val="decimal"/>
      <w:lvlText w:val="%1."/>
      <w:legacy w:legacy="1" w:legacySpace="0" w:legacyIndent="172"/>
      <w:lvlJc w:val="left"/>
      <w:rPr>
        <w:rFonts w:ascii="Times New Roman" w:hAnsi="Times New Roman" w:cs="Times New Roman" w:hint="default"/>
      </w:rPr>
    </w:lvl>
  </w:abstractNum>
  <w:abstractNum w:abstractNumId="13">
    <w:nsid w:val="6C49025F"/>
    <w:multiLevelType w:val="singleLevel"/>
    <w:tmpl w:val="6A12D2F0"/>
    <w:lvl w:ilvl="0">
      <w:start w:val="16"/>
      <w:numFmt w:val="decimal"/>
      <w:lvlText w:val="%1."/>
      <w:legacy w:legacy="1" w:legacySpace="0" w:legacyIndent="299"/>
      <w:lvlJc w:val="left"/>
      <w:rPr>
        <w:rFonts w:ascii="Times New Roman" w:hAnsi="Times New Roman" w:cs="Times New Roman" w:hint="default"/>
      </w:rPr>
    </w:lvl>
  </w:abstractNum>
  <w:abstractNum w:abstractNumId="14">
    <w:nsid w:val="715778D8"/>
    <w:multiLevelType w:val="singleLevel"/>
    <w:tmpl w:val="B4083B54"/>
    <w:lvl w:ilvl="0">
      <w:start w:val="18"/>
      <w:numFmt w:val="decimal"/>
      <w:lvlText w:val="%1."/>
      <w:legacy w:legacy="1" w:legacySpace="0" w:legacyIndent="299"/>
      <w:lvlJc w:val="left"/>
      <w:rPr>
        <w:rFonts w:ascii="Times New Roman" w:hAnsi="Times New Roman" w:cs="Times New Roman" w:hint="default"/>
      </w:rPr>
    </w:lvl>
  </w:abstractNum>
  <w:abstractNum w:abstractNumId="15">
    <w:nsid w:val="74C62590"/>
    <w:multiLevelType w:val="singleLevel"/>
    <w:tmpl w:val="69D224E0"/>
    <w:lvl w:ilvl="0">
      <w:start w:val="5"/>
      <w:numFmt w:val="decimal"/>
      <w:lvlText w:val="%1."/>
      <w:legacy w:legacy="1" w:legacySpace="0" w:legacyIndent="292"/>
      <w:lvlJc w:val="left"/>
      <w:rPr>
        <w:rFonts w:ascii="Times New Roman" w:hAnsi="Times New Roman" w:cs="Times New Roman" w:hint="default"/>
      </w:rPr>
    </w:lvl>
  </w:abstractNum>
  <w:abstractNum w:abstractNumId="16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abstractNum w:abstractNumId="17">
    <w:nsid w:val="7EE31FA0"/>
    <w:multiLevelType w:val="singleLevel"/>
    <w:tmpl w:val="CA70A386"/>
    <w:lvl w:ilvl="0">
      <w:start w:val="17"/>
      <w:numFmt w:val="decimal"/>
      <w:lvlText w:val="%1."/>
      <w:legacy w:legacy="1" w:legacySpace="0" w:legacyIndent="299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9"/>
  </w:num>
  <w:num w:numId="3">
    <w:abstractNumId w:val="12"/>
  </w:num>
  <w:num w:numId="4">
    <w:abstractNumId w:val="3"/>
  </w:num>
  <w:num w:numId="5">
    <w:abstractNumId w:val="15"/>
  </w:num>
  <w:num w:numId="6">
    <w:abstractNumId w:val="2"/>
  </w:num>
  <w:num w:numId="7">
    <w:abstractNumId w:val="6"/>
  </w:num>
  <w:num w:numId="8">
    <w:abstractNumId w:val="11"/>
  </w:num>
  <w:num w:numId="9">
    <w:abstractNumId w:val="10"/>
  </w:num>
  <w:num w:numId="10">
    <w:abstractNumId w:val="1"/>
  </w:num>
  <w:num w:numId="11">
    <w:abstractNumId w:val="8"/>
  </w:num>
  <w:num w:numId="12">
    <w:abstractNumId w:val="7"/>
  </w:num>
  <w:num w:numId="13">
    <w:abstractNumId w:val="13"/>
  </w:num>
  <w:num w:numId="14">
    <w:abstractNumId w:val="17"/>
  </w:num>
  <w:num w:numId="15">
    <w:abstractNumId w:val="14"/>
  </w:num>
  <w:num w:numId="16">
    <w:abstractNumId w:val="5"/>
  </w:num>
  <w:num w:numId="17">
    <w:abstractNumId w:val="0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oNotHyphenateCaps/>
  <w:drawingGridHorizontalSpacing w:val="14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alignTablesRowByRow/>
    <w:forgetLastTabAlignment/>
    <w:doNotUseHTMLParagraphAutoSpacing/>
    <w:layoutRawTableWidth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71187"/>
    <w:rsid w:val="000D5897"/>
    <w:rsid w:val="000E7D9D"/>
    <w:rsid w:val="002164C0"/>
    <w:rsid w:val="002C2B22"/>
    <w:rsid w:val="00357963"/>
    <w:rsid w:val="003D05CC"/>
    <w:rsid w:val="005670AA"/>
    <w:rsid w:val="00593F0B"/>
    <w:rsid w:val="006100E2"/>
    <w:rsid w:val="006F03E9"/>
    <w:rsid w:val="006F1640"/>
    <w:rsid w:val="007E15EB"/>
    <w:rsid w:val="0089381C"/>
    <w:rsid w:val="008A1D35"/>
    <w:rsid w:val="00A94D15"/>
    <w:rsid w:val="00B71187"/>
    <w:rsid w:val="00DD5AE0"/>
    <w:rsid w:val="00F14CE1"/>
    <w:rsid w:val="00FF2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B3CF4CF-91BA-45AA-9B5D-F90D24887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3D05CC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A94D15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A94D15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A94D15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A94D15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A94D15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A94D15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A94D15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A94D15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table" w:styleId="-1">
    <w:name w:val="Table Web 1"/>
    <w:basedOn w:val="a4"/>
    <w:uiPriority w:val="99"/>
    <w:rsid w:val="00A94D15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6">
    <w:name w:val="header"/>
    <w:basedOn w:val="a2"/>
    <w:next w:val="a7"/>
    <w:link w:val="11"/>
    <w:uiPriority w:val="99"/>
    <w:rsid w:val="00A94D15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customStyle="1" w:styleId="a8">
    <w:name w:val="Верхний колонтитул Знак"/>
    <w:uiPriority w:val="99"/>
    <w:rsid w:val="00A94D15"/>
    <w:rPr>
      <w:rFonts w:cs="Times New Roman"/>
      <w:kern w:val="16"/>
      <w:sz w:val="24"/>
      <w:szCs w:val="24"/>
    </w:rPr>
  </w:style>
  <w:style w:type="paragraph" w:styleId="a7">
    <w:name w:val="Body Text"/>
    <w:basedOn w:val="a2"/>
    <w:link w:val="a9"/>
    <w:uiPriority w:val="99"/>
    <w:rsid w:val="00A94D15"/>
    <w:pPr>
      <w:ind w:firstLine="0"/>
    </w:pPr>
  </w:style>
  <w:style w:type="character" w:customStyle="1" w:styleId="a9">
    <w:name w:val="Основной текст Знак"/>
    <w:link w:val="a7"/>
    <w:uiPriority w:val="99"/>
    <w:semiHidden/>
    <w:rPr>
      <w:sz w:val="28"/>
      <w:szCs w:val="28"/>
    </w:rPr>
  </w:style>
  <w:style w:type="character" w:customStyle="1" w:styleId="11">
    <w:name w:val="Верхний колонтитул Знак1"/>
    <w:link w:val="a6"/>
    <w:uiPriority w:val="99"/>
    <w:semiHidden/>
    <w:locked/>
    <w:rsid w:val="00A94D15"/>
    <w:rPr>
      <w:rFonts w:cs="Times New Roman"/>
      <w:noProof/>
      <w:kern w:val="16"/>
      <w:sz w:val="28"/>
      <w:szCs w:val="28"/>
      <w:lang w:val="ru-RU" w:eastAsia="ru-RU"/>
    </w:rPr>
  </w:style>
  <w:style w:type="paragraph" w:customStyle="1" w:styleId="aa">
    <w:name w:val="выделение"/>
    <w:uiPriority w:val="99"/>
    <w:rsid w:val="00A94D15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b">
    <w:name w:val="Hyperlink"/>
    <w:uiPriority w:val="99"/>
    <w:rsid w:val="00A94D15"/>
    <w:rPr>
      <w:rFonts w:cs="Times New Roman"/>
      <w:color w:val="0000FF"/>
      <w:u w:val="single"/>
    </w:rPr>
  </w:style>
  <w:style w:type="paragraph" w:customStyle="1" w:styleId="21">
    <w:name w:val="Заголовок 2 дипл"/>
    <w:basedOn w:val="a2"/>
    <w:next w:val="ac"/>
    <w:uiPriority w:val="99"/>
    <w:rsid w:val="00A94D15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c">
    <w:name w:val="Body Text Indent"/>
    <w:basedOn w:val="a2"/>
    <w:link w:val="ad"/>
    <w:uiPriority w:val="99"/>
    <w:rsid w:val="00A94D15"/>
    <w:pPr>
      <w:shd w:val="clear" w:color="auto" w:fill="FFFFFF"/>
      <w:spacing w:before="192"/>
      <w:ind w:right="-5" w:firstLine="360"/>
    </w:pPr>
  </w:style>
  <w:style w:type="character" w:customStyle="1" w:styleId="ad">
    <w:name w:val="Основной текст с отступом Знак"/>
    <w:link w:val="ac"/>
    <w:uiPriority w:val="99"/>
    <w:semiHidden/>
    <w:rPr>
      <w:sz w:val="28"/>
      <w:szCs w:val="28"/>
    </w:rPr>
  </w:style>
  <w:style w:type="character" w:customStyle="1" w:styleId="12">
    <w:name w:val="Текст Знак1"/>
    <w:link w:val="ae"/>
    <w:uiPriority w:val="99"/>
    <w:locked/>
    <w:rsid w:val="00A94D15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e">
    <w:name w:val="Plain Text"/>
    <w:basedOn w:val="a2"/>
    <w:link w:val="12"/>
    <w:uiPriority w:val="99"/>
    <w:rsid w:val="00A94D15"/>
    <w:rPr>
      <w:rFonts w:ascii="Consolas" w:hAnsi="Consolas" w:cs="Consolas"/>
      <w:sz w:val="21"/>
      <w:szCs w:val="21"/>
      <w:lang w:val="uk-UA" w:eastAsia="en-US"/>
    </w:rPr>
  </w:style>
  <w:style w:type="character" w:customStyle="1" w:styleId="af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3">
    <w:name w:val="Нижний колонтитул Знак1"/>
    <w:link w:val="af0"/>
    <w:uiPriority w:val="99"/>
    <w:semiHidden/>
    <w:locked/>
    <w:rsid w:val="00A94D15"/>
    <w:rPr>
      <w:rFonts w:cs="Times New Roman"/>
      <w:sz w:val="28"/>
      <w:szCs w:val="28"/>
      <w:lang w:val="ru-RU" w:eastAsia="ru-RU"/>
    </w:rPr>
  </w:style>
  <w:style w:type="paragraph" w:styleId="af0">
    <w:name w:val="footer"/>
    <w:basedOn w:val="a2"/>
    <w:link w:val="13"/>
    <w:uiPriority w:val="99"/>
    <w:semiHidden/>
    <w:rsid w:val="00A94D15"/>
    <w:pPr>
      <w:tabs>
        <w:tab w:val="center" w:pos="4819"/>
        <w:tab w:val="right" w:pos="9639"/>
      </w:tabs>
    </w:pPr>
  </w:style>
  <w:style w:type="character" w:customStyle="1" w:styleId="af1">
    <w:name w:val="Нижний колонтитул Знак"/>
    <w:uiPriority w:val="99"/>
    <w:semiHidden/>
    <w:rPr>
      <w:sz w:val="28"/>
      <w:szCs w:val="28"/>
    </w:rPr>
  </w:style>
  <w:style w:type="character" w:styleId="af2">
    <w:name w:val="endnote reference"/>
    <w:uiPriority w:val="99"/>
    <w:semiHidden/>
    <w:rsid w:val="00A94D15"/>
    <w:rPr>
      <w:rFonts w:cs="Times New Roman"/>
      <w:vertAlign w:val="superscript"/>
    </w:rPr>
  </w:style>
  <w:style w:type="character" w:styleId="af3">
    <w:name w:val="footnote reference"/>
    <w:uiPriority w:val="99"/>
    <w:semiHidden/>
    <w:rsid w:val="00A94D15"/>
    <w:rPr>
      <w:rFonts w:cs="Times New Roman"/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A94D15"/>
    <w:pPr>
      <w:numPr>
        <w:numId w:val="16"/>
      </w:numPr>
      <w:spacing w:line="360" w:lineRule="auto"/>
      <w:jc w:val="both"/>
    </w:pPr>
    <w:rPr>
      <w:sz w:val="28"/>
      <w:szCs w:val="28"/>
    </w:rPr>
  </w:style>
  <w:style w:type="character" w:styleId="af4">
    <w:name w:val="page number"/>
    <w:uiPriority w:val="99"/>
    <w:rsid w:val="00A94D15"/>
    <w:rPr>
      <w:rFonts w:cs="Times New Roman"/>
    </w:rPr>
  </w:style>
  <w:style w:type="character" w:customStyle="1" w:styleId="af5">
    <w:name w:val="номер страницы"/>
    <w:uiPriority w:val="99"/>
    <w:rsid w:val="00A94D15"/>
    <w:rPr>
      <w:rFonts w:cs="Times New Roman"/>
      <w:sz w:val="28"/>
      <w:szCs w:val="28"/>
    </w:rPr>
  </w:style>
  <w:style w:type="paragraph" w:styleId="af6">
    <w:name w:val="Normal (Web)"/>
    <w:basedOn w:val="a2"/>
    <w:uiPriority w:val="99"/>
    <w:rsid w:val="00A94D15"/>
    <w:pPr>
      <w:spacing w:before="100" w:beforeAutospacing="1" w:after="100" w:afterAutospacing="1"/>
    </w:pPr>
    <w:rPr>
      <w:lang w:val="uk-UA" w:eastAsia="uk-UA"/>
    </w:rPr>
  </w:style>
  <w:style w:type="paragraph" w:styleId="14">
    <w:name w:val="toc 1"/>
    <w:basedOn w:val="a2"/>
    <w:next w:val="a2"/>
    <w:autoRedefine/>
    <w:uiPriority w:val="99"/>
    <w:semiHidden/>
    <w:rsid w:val="00A94D15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A94D15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A94D15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A94D15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A94D15"/>
    <w:pPr>
      <w:ind w:left="958"/>
    </w:pPr>
  </w:style>
  <w:style w:type="paragraph" w:styleId="23">
    <w:name w:val="Body Text Indent 2"/>
    <w:basedOn w:val="a2"/>
    <w:link w:val="24"/>
    <w:uiPriority w:val="99"/>
    <w:rsid w:val="00A94D15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A94D15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7">
    <w:name w:val="Table Grid"/>
    <w:basedOn w:val="a4"/>
    <w:uiPriority w:val="99"/>
    <w:rsid w:val="00A94D15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8">
    <w:name w:val="содержание"/>
    <w:uiPriority w:val="99"/>
    <w:rsid w:val="00A94D15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A94D15"/>
    <w:pPr>
      <w:numPr>
        <w:numId w:val="17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A94D15"/>
    <w:pPr>
      <w:numPr>
        <w:numId w:val="18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4"/>
    <w:autoRedefine/>
    <w:uiPriority w:val="99"/>
    <w:rsid w:val="00A94D15"/>
    <w:rPr>
      <w:b/>
      <w:bCs/>
    </w:rPr>
  </w:style>
  <w:style w:type="paragraph" w:customStyle="1" w:styleId="101">
    <w:name w:val="Стиль Оглавление 1 + Первая строка:  0 см1"/>
    <w:basedOn w:val="14"/>
    <w:autoRedefine/>
    <w:uiPriority w:val="99"/>
    <w:rsid w:val="00A94D15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A94D15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A94D15"/>
    <w:rPr>
      <w:i/>
      <w:iCs/>
    </w:rPr>
  </w:style>
  <w:style w:type="paragraph" w:customStyle="1" w:styleId="af9">
    <w:name w:val="ТАБЛИЦА"/>
    <w:next w:val="a2"/>
    <w:autoRedefine/>
    <w:uiPriority w:val="99"/>
    <w:rsid w:val="00A94D15"/>
    <w:pPr>
      <w:spacing w:line="360" w:lineRule="auto"/>
    </w:pPr>
    <w:rPr>
      <w:color w:val="000000"/>
    </w:rPr>
  </w:style>
  <w:style w:type="paragraph" w:customStyle="1" w:styleId="afa">
    <w:name w:val="Стиль ТАБЛИЦА + Междустр.интервал:  полуторный"/>
    <w:basedOn w:val="af9"/>
    <w:uiPriority w:val="99"/>
    <w:rsid w:val="00A94D15"/>
  </w:style>
  <w:style w:type="paragraph" w:customStyle="1" w:styleId="15">
    <w:name w:val="Стиль ТАБЛИЦА + Междустр.интервал:  полуторный1"/>
    <w:basedOn w:val="af9"/>
    <w:autoRedefine/>
    <w:uiPriority w:val="99"/>
    <w:rsid w:val="00A94D15"/>
  </w:style>
  <w:style w:type="table" w:customStyle="1" w:styleId="16">
    <w:name w:val="Стиль таблицы1"/>
    <w:uiPriority w:val="99"/>
    <w:rsid w:val="00A94D15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хема"/>
    <w:basedOn w:val="a2"/>
    <w:autoRedefine/>
    <w:uiPriority w:val="99"/>
    <w:rsid w:val="00A94D15"/>
    <w:pPr>
      <w:spacing w:line="240" w:lineRule="auto"/>
      <w:ind w:firstLine="0"/>
      <w:jc w:val="center"/>
    </w:pPr>
    <w:rPr>
      <w:sz w:val="20"/>
      <w:szCs w:val="20"/>
    </w:rPr>
  </w:style>
  <w:style w:type="paragraph" w:styleId="afc">
    <w:name w:val="endnote text"/>
    <w:basedOn w:val="a2"/>
    <w:link w:val="afd"/>
    <w:uiPriority w:val="99"/>
    <w:semiHidden/>
    <w:rsid w:val="00A94D15"/>
    <w:rPr>
      <w:sz w:val="20"/>
      <w:szCs w:val="20"/>
    </w:rPr>
  </w:style>
  <w:style w:type="character" w:customStyle="1" w:styleId="afd">
    <w:name w:val="Текст концевой сноски Знак"/>
    <w:link w:val="afc"/>
    <w:uiPriority w:val="99"/>
    <w:semiHidden/>
    <w:rPr>
      <w:sz w:val="20"/>
      <w:szCs w:val="20"/>
    </w:rPr>
  </w:style>
  <w:style w:type="paragraph" w:styleId="afe">
    <w:name w:val="footnote text"/>
    <w:basedOn w:val="a2"/>
    <w:link w:val="aff"/>
    <w:autoRedefine/>
    <w:uiPriority w:val="99"/>
    <w:semiHidden/>
    <w:rsid w:val="00A94D15"/>
    <w:rPr>
      <w:sz w:val="20"/>
      <w:szCs w:val="20"/>
    </w:rPr>
  </w:style>
  <w:style w:type="character" w:customStyle="1" w:styleId="aff">
    <w:name w:val="Текст сноски Знак"/>
    <w:link w:val="afe"/>
    <w:uiPriority w:val="99"/>
    <w:semiHidden/>
    <w:rPr>
      <w:sz w:val="20"/>
      <w:szCs w:val="20"/>
    </w:rPr>
  </w:style>
  <w:style w:type="paragraph" w:customStyle="1" w:styleId="aff0">
    <w:name w:val="титут"/>
    <w:autoRedefine/>
    <w:uiPriority w:val="99"/>
    <w:rsid w:val="00A94D15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2119</Words>
  <Characters>12079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Контрольная работа</vt:lpstr>
    </vt:vector>
  </TitlesOfParts>
  <Company>Diapsalmata</Company>
  <LinksUpToDate>false</LinksUpToDate>
  <CharactersWithSpaces>14170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Контрольная работа</dc:title>
  <dc:subject/>
  <dc:creator>Diapsalmata</dc:creator>
  <cp:keywords/>
  <dc:description/>
  <cp:lastModifiedBy>admin</cp:lastModifiedBy>
  <cp:revision>2</cp:revision>
  <dcterms:created xsi:type="dcterms:W3CDTF">2014-02-25T07:40:00Z</dcterms:created>
  <dcterms:modified xsi:type="dcterms:W3CDTF">2014-02-25T07:40:00Z</dcterms:modified>
</cp:coreProperties>
</file>