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50" w:rsidRDefault="00385950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86360B" w:rsidRPr="004F54F8" w:rsidRDefault="0086360B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i/>
          <w:iCs/>
          <w:color w:val="000000"/>
          <w:sz w:val="28"/>
        </w:rPr>
      </w:pPr>
    </w:p>
    <w:p w:rsidR="00385950" w:rsidRPr="0086360B" w:rsidRDefault="00385950" w:rsidP="0086360B">
      <w:pPr>
        <w:pStyle w:val="1"/>
        <w:keepNext w:val="0"/>
        <w:suppressAutoHyphens w:val="0"/>
        <w:spacing w:line="360" w:lineRule="auto"/>
        <w:ind w:firstLine="0"/>
        <w:jc w:val="center"/>
        <w:rPr>
          <w:rFonts w:ascii="Times New Roman" w:hAnsi="Times New Roman"/>
          <w:i w:val="0"/>
          <w:color w:val="000000"/>
          <w:sz w:val="28"/>
          <w:szCs w:val="36"/>
          <w:lang w:val="ru-RU"/>
        </w:rPr>
      </w:pPr>
      <w:r w:rsidRPr="0086360B">
        <w:rPr>
          <w:rFonts w:ascii="Times New Roman" w:hAnsi="Times New Roman"/>
          <w:i w:val="0"/>
          <w:color w:val="000000"/>
          <w:sz w:val="28"/>
          <w:szCs w:val="36"/>
          <w:lang w:val="ru-RU"/>
        </w:rPr>
        <w:t>Контрольная работа</w:t>
      </w:r>
    </w:p>
    <w:p w:rsidR="00385950" w:rsidRPr="0086360B" w:rsidRDefault="00385950" w:rsidP="0086360B">
      <w:pPr>
        <w:suppressAutoHyphens w:val="0"/>
        <w:spacing w:line="360" w:lineRule="auto"/>
        <w:ind w:firstLine="0"/>
        <w:jc w:val="center"/>
        <w:rPr>
          <w:b/>
          <w:bCs/>
          <w:iCs/>
          <w:color w:val="000000"/>
          <w:sz w:val="28"/>
          <w:szCs w:val="56"/>
          <w:lang w:val="en-US"/>
        </w:rPr>
      </w:pPr>
    </w:p>
    <w:p w:rsidR="00385950" w:rsidRPr="0086360B" w:rsidRDefault="0086360B" w:rsidP="0086360B">
      <w:pPr>
        <w:suppressAutoHyphens w:val="0"/>
        <w:spacing w:line="360" w:lineRule="auto"/>
        <w:ind w:firstLine="0"/>
        <w:jc w:val="center"/>
        <w:rPr>
          <w:b/>
          <w:bCs/>
          <w:iCs/>
          <w:color w:val="000000"/>
          <w:sz w:val="28"/>
          <w:szCs w:val="56"/>
        </w:rPr>
      </w:pPr>
      <w:r w:rsidRPr="0086360B">
        <w:rPr>
          <w:b/>
          <w:bCs/>
          <w:iCs/>
          <w:color w:val="000000"/>
          <w:sz w:val="28"/>
          <w:szCs w:val="56"/>
        </w:rPr>
        <w:t>"</w:t>
      </w:r>
      <w:r w:rsidR="00385950" w:rsidRPr="0086360B">
        <w:rPr>
          <w:b/>
          <w:bCs/>
          <w:iCs/>
          <w:color w:val="000000"/>
          <w:sz w:val="28"/>
          <w:szCs w:val="56"/>
        </w:rPr>
        <w:t>Принцип свободного передвижения работников в рамках</w:t>
      </w:r>
      <w:r w:rsidRPr="0086360B">
        <w:rPr>
          <w:b/>
          <w:bCs/>
          <w:iCs/>
          <w:color w:val="000000"/>
          <w:sz w:val="28"/>
          <w:szCs w:val="56"/>
        </w:rPr>
        <w:t xml:space="preserve"> </w:t>
      </w:r>
      <w:r w:rsidR="00385950" w:rsidRPr="0086360B">
        <w:rPr>
          <w:b/>
          <w:bCs/>
          <w:iCs/>
          <w:color w:val="000000"/>
          <w:sz w:val="28"/>
          <w:szCs w:val="56"/>
        </w:rPr>
        <w:t>Европейского Союза</w:t>
      </w:r>
      <w:r w:rsidRPr="0086360B">
        <w:rPr>
          <w:b/>
          <w:bCs/>
          <w:iCs/>
          <w:color w:val="000000"/>
          <w:sz w:val="28"/>
          <w:szCs w:val="56"/>
        </w:rPr>
        <w:t>"</w:t>
      </w:r>
    </w:p>
    <w:p w:rsidR="004F54F8" w:rsidRDefault="004F54F8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  <w:szCs w:val="56"/>
        </w:rPr>
      </w:pP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</w:p>
    <w:p w:rsidR="00385950" w:rsidRPr="004F54F8" w:rsidRDefault="0086360B" w:rsidP="0086360B">
      <w:pPr>
        <w:suppressAutoHyphens w:val="0"/>
        <w:spacing w:line="360" w:lineRule="auto"/>
        <w:ind w:firstLine="709"/>
      </w:pPr>
      <w:r>
        <w:br w:type="page"/>
      </w:r>
      <w:r w:rsidR="00385950" w:rsidRPr="0086360B">
        <w:rPr>
          <w:b/>
          <w:sz w:val="28"/>
          <w:szCs w:val="28"/>
        </w:rPr>
        <w:t>Введение</w:t>
      </w:r>
    </w:p>
    <w:p w:rsidR="00991056" w:rsidRPr="004F54F8" w:rsidRDefault="00991056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 xml:space="preserve">Одним из принципов, на которых основывается любой экономический союз является принцип свободы передвижения рабочих (так, например, в </w:t>
      </w:r>
      <w:r w:rsidR="004F54F8" w:rsidRPr="004F54F8">
        <w:rPr>
          <w:color w:val="000000"/>
          <w:sz w:val="28"/>
        </w:rPr>
        <w:t>ст.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1</w:t>
      </w:r>
      <w:r w:rsidRPr="004F54F8">
        <w:rPr>
          <w:color w:val="000000"/>
          <w:sz w:val="28"/>
        </w:rPr>
        <w:t xml:space="preserve">. Хартии социальных прав и гарантий граждан независимых государств провозглашено, что «государства создают единый рынок труда с безвизовым перемещением граждан на их территории»). В праве ЕС данная свобода впервые была закреплена в Римском договоре </w:t>
      </w:r>
      <w:r w:rsidR="004F54F8" w:rsidRPr="004F54F8">
        <w:rPr>
          <w:color w:val="000000"/>
          <w:sz w:val="28"/>
        </w:rPr>
        <w:t>1957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г</w:t>
      </w:r>
      <w:r w:rsidRPr="004F54F8">
        <w:rPr>
          <w:color w:val="000000"/>
          <w:sz w:val="28"/>
        </w:rPr>
        <w:t>.</w:t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Соответственно из этого принципа возникает несколько важных вопросов: во-первых, кто в праве Европейского Союза считается работником-мигрантом</w:t>
      </w:r>
      <w:r w:rsidRPr="004F54F8">
        <w:rPr>
          <w:rStyle w:val="ac"/>
          <w:color w:val="000000"/>
          <w:sz w:val="28"/>
        </w:rPr>
        <w:footnoteReference w:id="1"/>
      </w:r>
      <w:r w:rsidRPr="004F54F8">
        <w:rPr>
          <w:color w:val="000000"/>
          <w:sz w:val="28"/>
        </w:rPr>
        <w:t>; а во-вторых, какими правами они обладают и какие существуют законные ограничения этих прав.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Эти и некоторые другие вопросы</w:t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будут рассмотрены мною в данной работе.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Для исследования данных вопросов</w:t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мною выбраны и использованы документы, указанные в конце работы в разделе «Список литературы».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  <w:r w:rsidRPr="004F54F8">
        <w:rPr>
          <w:color w:val="000000"/>
          <w:sz w:val="28"/>
        </w:rPr>
        <w:t>С целью небольшого сравнения некоторых положения в законодательстве двух экономических сообществ: Европейского сообщества и Содружества Независимых Государств, я использовала Хартию социальных прав и гарантий граждан независимых государств (утв. Межпарламентской Ассамблеей государств-участников Содружества Независимых Государств 29.10.</w:t>
      </w:r>
      <w:r w:rsidR="004F54F8" w:rsidRPr="004F54F8">
        <w:rPr>
          <w:color w:val="000000"/>
          <w:sz w:val="28"/>
        </w:rPr>
        <w:t>1994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г.</w:t>
      </w:r>
      <w:r w:rsidRPr="004F54F8">
        <w:rPr>
          <w:color w:val="000000"/>
          <w:sz w:val="28"/>
        </w:rPr>
        <w:t>), т</w:t>
      </w:r>
      <w:r w:rsidR="004F54F8">
        <w:rPr>
          <w:color w:val="000000"/>
          <w:sz w:val="28"/>
        </w:rPr>
        <w:t>. </w:t>
      </w:r>
      <w:r w:rsidR="004F54F8" w:rsidRPr="004F54F8">
        <w:rPr>
          <w:color w:val="000000"/>
          <w:sz w:val="28"/>
        </w:rPr>
        <w:t>к</w:t>
      </w:r>
      <w:r w:rsidRPr="004F54F8">
        <w:rPr>
          <w:color w:val="000000"/>
          <w:sz w:val="28"/>
        </w:rPr>
        <w:t>. в ней, на мой взгляд, довольно подробно и ясно освещены права и гарантии трудящихся-мигрантов – граждан государств, являющихся членами СНГ.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86360B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 xml:space="preserve">1. </w:t>
      </w:r>
      <w:r w:rsidR="00385950" w:rsidRPr="004F54F8">
        <w:rPr>
          <w:b/>
          <w:bCs/>
          <w:color w:val="000000"/>
          <w:sz w:val="28"/>
        </w:rPr>
        <w:t>Понятие «работник-мигрант» в праве ЕС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 xml:space="preserve">Конкретное понятие работника в источниках права Европейского Союза не дано. Оно вытекает из смысла </w:t>
      </w:r>
      <w:r w:rsidR="004F54F8" w:rsidRPr="004F54F8">
        <w:rPr>
          <w:color w:val="000000"/>
          <w:sz w:val="28"/>
        </w:rPr>
        <w:t>ст.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1</w:t>
      </w:r>
      <w:r w:rsidRPr="004F54F8">
        <w:rPr>
          <w:color w:val="000000"/>
          <w:sz w:val="28"/>
        </w:rPr>
        <w:t xml:space="preserve"> Регламента 1612/68 и дополняется в ряде решений Европейского Суда (прецедентное право).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 xml:space="preserve">Исходя из смысла </w:t>
      </w:r>
      <w:r w:rsidR="004F54F8" w:rsidRPr="004F54F8">
        <w:rPr>
          <w:color w:val="000000"/>
          <w:sz w:val="28"/>
        </w:rPr>
        <w:t>ст.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1</w:t>
      </w:r>
      <w:r w:rsidRPr="004F54F8">
        <w:rPr>
          <w:color w:val="000000"/>
          <w:sz w:val="28"/>
        </w:rPr>
        <w:t xml:space="preserve"> Регламента 1612/68, работником-мигрантом признается лицо, работающее по найму и имеющее гражданство другого государства-члена. Таким образом, обязательными признаками работника-мигранта в праве ЕС являются: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а) наличие гражданства государства-члена ЕС;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б) осуществление работы по найму в другом государстве-члене.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 xml:space="preserve">Данное понятие не может истолковываться ограничительно, поскольку относится к одной из фундаментальных свобод, гарантированных Римским договором </w:t>
      </w:r>
      <w:r w:rsidR="004F54F8" w:rsidRPr="004F54F8">
        <w:rPr>
          <w:color w:val="000000"/>
          <w:sz w:val="28"/>
        </w:rPr>
        <w:t>1957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г</w:t>
      </w:r>
      <w:r w:rsidRPr="004F54F8">
        <w:rPr>
          <w:color w:val="000000"/>
          <w:sz w:val="28"/>
        </w:rPr>
        <w:t>. Следует отметить, что толкование определения работника является исключительной прерогативой права ЕС, а не национального законодательства государств-членов, так как это необходимо для одинакового применения свободы передвижения работников во всех государствах-членах. Европейским Судом в процессе толкования норм первичного и вторичного права ЕС было определено, что под понятие работника-мигранта (как субъекта права на свободное передвижение в пределах всеобщего рынка ЕС) подпадают так же лица, которые: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а) должны в течение определенного времени осуществлять работу, за которую предполагается прямое или косвенное вознаграждение;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б) должны осуществлять реальную и эффективную деятельность, независимо от условий заработной платы или рабочего времени (в случаях занятости неполное рабочее время и получения заработной платы ниже гарантированного минимума);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в) ищущие работу в другом государстве-члене впервые;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 xml:space="preserve">г) прекратили трудовую деятельность и оставшиеся на территории государства-члена с целью поиска новой работы, </w:t>
      </w:r>
      <w:r w:rsidR="004F54F8">
        <w:rPr>
          <w:color w:val="000000"/>
          <w:sz w:val="28"/>
        </w:rPr>
        <w:t>т.е.</w:t>
      </w:r>
      <w:r w:rsidRPr="004F54F8">
        <w:rPr>
          <w:color w:val="000000"/>
          <w:sz w:val="28"/>
        </w:rPr>
        <w:t xml:space="preserve"> получившие статус безработного.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Необходимо также упомянуть о тех, кто в праве ЕС работниками не считаются, и соответственно на них положения нормативно-правовых актов, касающиеся права на свободу передвижения трудящихся не распространяются.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Во-первых, как видится из вышесказанного (п. «б»), не являются работниками те лица, работа которых столь незначительна, что может рассматриваться только как вспомогательная и несущественная.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Во-вторых, это лица, прибывшие в государство-член с целью получения образования.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И, в-третьих, лица, осуществляющие предпринимательскую деятельность (на них распространяются нормы, закрепляющие принцип свободного предоставления услуг).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86360B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2.</w:t>
      </w:r>
      <w:r w:rsidR="00385950" w:rsidRPr="004F54F8">
        <w:rPr>
          <w:b/>
          <w:bCs/>
          <w:color w:val="000000"/>
          <w:sz w:val="28"/>
        </w:rPr>
        <w:t xml:space="preserve"> Понятие «член семьи работника </w:t>
      </w:r>
      <w:r w:rsidR="004F54F8">
        <w:rPr>
          <w:b/>
          <w:bCs/>
          <w:color w:val="000000"/>
          <w:sz w:val="28"/>
        </w:rPr>
        <w:t xml:space="preserve">– </w:t>
      </w:r>
      <w:r w:rsidR="004F54F8" w:rsidRPr="004F54F8">
        <w:rPr>
          <w:b/>
          <w:bCs/>
          <w:color w:val="000000"/>
          <w:sz w:val="28"/>
        </w:rPr>
        <w:t>м</w:t>
      </w:r>
      <w:r w:rsidR="00385950" w:rsidRPr="004F54F8">
        <w:rPr>
          <w:b/>
          <w:bCs/>
          <w:color w:val="000000"/>
          <w:sz w:val="28"/>
        </w:rPr>
        <w:t>игранта» в праве ЕС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В ходе работы представляется необходимым также определить, кто входит в понятие «член семьи работника-мигранта».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До недавнего времени круг лиц, являющихся членами семьи работника-мигранта был очерчен</w:t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в Регламенте 1612/68/ЕЭС. К ним относились</w:t>
      </w:r>
      <w:r w:rsidRPr="004F54F8">
        <w:rPr>
          <w:color w:val="000000"/>
          <w:sz w:val="28"/>
        </w:rPr>
        <w:footnoteReference w:id="2"/>
      </w:r>
      <w:r w:rsidRPr="004F54F8">
        <w:rPr>
          <w:color w:val="000000"/>
          <w:sz w:val="28"/>
        </w:rPr>
        <w:t>: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а) супруг(а) работника и их потомки, не достигшие 21 года или являющиеся иждивенцами;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б) родственники по восходящей линии, находящиеся на иждивении работника и его супруга(и);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В части права на поселение совместно с работником-мигрантом указывается также любой член семьи, «если он является иждивенцем работника и проживает с ним под одной крышей на территории, откуда он прибыл</w:t>
      </w:r>
      <w:r w:rsidRPr="004F54F8">
        <w:rPr>
          <w:color w:val="000000"/>
          <w:sz w:val="28"/>
        </w:rPr>
        <w:footnoteReference w:id="3"/>
      </w:r>
      <w:r w:rsidRPr="004F54F8">
        <w:rPr>
          <w:color w:val="000000"/>
          <w:sz w:val="28"/>
        </w:rPr>
        <w:t>».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В настоящий момент данная статья утратила силу и сегодня перечень этих лиц содержится в Директиве 2004/38/ЕС от 29.04.</w:t>
      </w:r>
      <w:r w:rsidR="004F54F8" w:rsidRPr="004F54F8">
        <w:rPr>
          <w:color w:val="000000"/>
          <w:sz w:val="28"/>
        </w:rPr>
        <w:t>2004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г</w:t>
      </w:r>
      <w:r w:rsidRPr="004F54F8">
        <w:rPr>
          <w:color w:val="000000"/>
          <w:sz w:val="28"/>
        </w:rPr>
        <w:t>. «О праве граждан Союза и членов их семей на свободное проживание и выбор места жительства на территории государств-членов», которая своими положениями изменяет Регламент 1612/68 и вводит в круг членов семьи</w:t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работника-мигранта</w:t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понятие «зарегистрированный партнер работника». В соответствии с нормами Директивы 2004/38/ЕС членами семьи работника-гражданина Союза являются: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а) супруг(а);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б) партнер, имеющий с работником-гражданином Союза зарегистрированное партнерство в соответствии с законодательством государства-члена, если принимающее государство член признает зарегистрированное партнерство в качестве эквивалента браку и на условиях, предусмотренных законодательством принимающего государства-члена</w:t>
      </w:r>
      <w:r w:rsidRPr="004F54F8">
        <w:rPr>
          <w:color w:val="000000"/>
          <w:sz w:val="28"/>
        </w:rPr>
        <w:footnoteReference w:id="4"/>
      </w:r>
      <w:r w:rsidRPr="004F54F8">
        <w:rPr>
          <w:color w:val="000000"/>
          <w:sz w:val="28"/>
        </w:rPr>
        <w:t>;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в) потомки работника и его супруга(и) или партнера, не достигшие 21 года или являющиеся иждивенцами;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г) родственники по восходящей линии, находящиеся на иждивении работника и его супруга(и) или партнера.</w:t>
      </w:r>
    </w:p>
    <w:p w:rsid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Под супругом работника понимается только лицо, состоящее с ним в законном браке. Сожитель не является супругом в праве Европейского Союза. Это и стало одной из причин введения в законодательство ЕС понятия партнера.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86360B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3.</w:t>
      </w:r>
      <w:r w:rsidR="00385950" w:rsidRPr="004F54F8">
        <w:rPr>
          <w:b/>
          <w:bCs/>
          <w:color w:val="000000"/>
          <w:sz w:val="28"/>
        </w:rPr>
        <w:t xml:space="preserve"> Права и гарантии работников-мигрантов и членов их семей</w:t>
      </w: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iCs/>
          <w:color w:val="000000"/>
          <w:sz w:val="28"/>
        </w:rPr>
      </w:pPr>
    </w:p>
    <w:p w:rsidR="00385950" w:rsidRPr="0086360B" w:rsidRDefault="0086360B" w:rsidP="004F54F8">
      <w:pPr>
        <w:suppressAutoHyphens w:val="0"/>
        <w:spacing w:line="360" w:lineRule="auto"/>
        <w:ind w:firstLine="709"/>
        <w:rPr>
          <w:b/>
          <w:bCs/>
          <w:iCs/>
          <w:color w:val="000000"/>
          <w:sz w:val="28"/>
        </w:rPr>
      </w:pPr>
      <w:r w:rsidRPr="0086360B">
        <w:rPr>
          <w:b/>
          <w:bCs/>
          <w:iCs/>
          <w:color w:val="000000"/>
          <w:sz w:val="28"/>
        </w:rPr>
        <w:t>3.</w:t>
      </w:r>
      <w:r>
        <w:rPr>
          <w:b/>
          <w:bCs/>
          <w:iCs/>
          <w:color w:val="000000"/>
          <w:sz w:val="28"/>
        </w:rPr>
        <w:t>1</w:t>
      </w:r>
      <w:r w:rsidR="00385950" w:rsidRPr="0086360B">
        <w:rPr>
          <w:b/>
          <w:bCs/>
          <w:iCs/>
          <w:color w:val="000000"/>
          <w:sz w:val="28"/>
        </w:rPr>
        <w:t xml:space="preserve"> Права и гарантии работников-мигрантов</w:t>
      </w:r>
    </w:p>
    <w:p w:rsidR="0086360B" w:rsidRDefault="0086360B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 xml:space="preserve">Правам и гарантиям работников посвящена Глава 1 Раздела III Договора об учреждении Европейского Сообщества. В </w:t>
      </w:r>
      <w:r w:rsidR="004F54F8" w:rsidRPr="004F54F8">
        <w:rPr>
          <w:color w:val="000000"/>
          <w:sz w:val="28"/>
        </w:rPr>
        <w:t>ст.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3</w:t>
      </w:r>
      <w:r w:rsidRPr="004F54F8">
        <w:rPr>
          <w:color w:val="000000"/>
          <w:sz w:val="28"/>
        </w:rPr>
        <w:t>9 данного Договора перечисляются ключевые права работника-мигранта: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а) принимать реально предлагаемую работу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b) свободно передвигаться в этих целях по территории государств-членов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c) находиться в одном из государств-членов, занимаясь трудовой деятельностью в соответствии с законодательными, распорядительными и административными положениями, регулирующими занятость граждан данного государства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d) оставаться на территории одного из государств-членов после завершения трудовой деятельности в этом государстве на условиях, которые будут определены регламентом.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Из положений данной статьи вытекает, что свобода движения трудящихся наделяет граждан правом свободного передвижения внутри ЕС с целью получения только реально предлагаемой работы. Однако Европейский Суд распространил это право также на лиц, направляющихся в другие страны-участницы ЕС с целью поиска работы</w:t>
      </w:r>
      <w:r w:rsidRPr="004F54F8">
        <w:rPr>
          <w:color w:val="000000"/>
          <w:sz w:val="28"/>
        </w:rPr>
        <w:footnoteReference w:id="5"/>
      </w:r>
      <w:r w:rsidRPr="004F54F8">
        <w:rPr>
          <w:color w:val="000000"/>
          <w:sz w:val="28"/>
        </w:rPr>
        <w:t>. Так же Европейский Суд указал, что если по истечении 6 месяцев лицо, ищущее работу, сможет доказать, что оно продолжает ее искать и имеет реальную возможность быть нанятым, национальные власти не вправе заставить его покинуть страну.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Государства-члены в ст.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4</w:t>
      </w:r>
      <w:r w:rsidRPr="004F54F8">
        <w:rPr>
          <w:color w:val="000000"/>
          <w:sz w:val="28"/>
        </w:rPr>
        <w:t>0 Договора о ЕС обязуются «обеспечивать тесное сотрудничество между национальными службами занятости». В Хартии социальных прав и гарантий граждан СНГ есть схожее положение: «в целях реализации прав граждан на профессиональную деятельность за границей государства создают национальные службы по делам трудящихся-мигрантов и налаживают постоянный контакт между ними»</w:t>
      </w:r>
      <w:r w:rsidRPr="004F54F8">
        <w:rPr>
          <w:color w:val="000000"/>
          <w:sz w:val="28"/>
        </w:rPr>
        <w:footnoteReference w:id="6"/>
      </w:r>
      <w:r w:rsidRPr="004F54F8">
        <w:rPr>
          <w:color w:val="000000"/>
          <w:sz w:val="28"/>
        </w:rPr>
        <w:t>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Право оставаться на территории одного из государств-членов после завершения трудовой деятельности в этом государстве подробно урегулировано в Регламенте Комиссии 1251/70/ЕЭС «О праве работников оставаться на территории государства-члена после прекращения трудовой деятельности в данном государстве». Согласно Регламенту работник имеет право остаться проживать на территории государства, где он работал, после выхода на пенсию, если он достиг возраста выхода на пенсию по старости в соответствии с законодательством страны, где он работал, и при этом проработал в этой стране не менее 12 месяцев и проживал там более трех лет</w:t>
      </w:r>
      <w:r w:rsidRPr="004F54F8">
        <w:rPr>
          <w:color w:val="000000"/>
          <w:sz w:val="28"/>
        </w:rPr>
        <w:footnoteReference w:id="7"/>
      </w:r>
      <w:r w:rsidRPr="004F54F8">
        <w:rPr>
          <w:color w:val="000000"/>
          <w:sz w:val="28"/>
        </w:rPr>
        <w:t>. Работник, оставивший работу в связи с нетрудоспособностью, получает право оставаться проживать в государстве, где он работал, если до этого момента он проживал там не менее двух лет. Если нетрудоспособность возникла в результате несчастного случая на производстве или профессионального заболевания, работник сохраняет право на проживание независимо от того, сколько времени он жил на территории данного государства</w:t>
      </w:r>
      <w:r w:rsidRPr="004F54F8">
        <w:rPr>
          <w:color w:val="000000"/>
          <w:sz w:val="28"/>
        </w:rPr>
        <w:footnoteReference w:id="8"/>
      </w:r>
      <w:r w:rsidRPr="004F54F8">
        <w:rPr>
          <w:color w:val="000000"/>
          <w:sz w:val="28"/>
        </w:rPr>
        <w:t>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Главной гарантией осуществления вышеуказанных прав является отмена любой дискриминации по национальному признаку в отношении трудящихся государств-членов в том, что касается найма, вознаграждения и других условий труда и занятости</w:t>
      </w:r>
      <w:r w:rsidRPr="004F54F8">
        <w:rPr>
          <w:color w:val="000000"/>
          <w:sz w:val="28"/>
        </w:rPr>
        <w:footnoteReference w:id="9"/>
      </w:r>
      <w:r w:rsidRPr="004F54F8">
        <w:rPr>
          <w:color w:val="000000"/>
          <w:sz w:val="28"/>
        </w:rPr>
        <w:t>. То есть работники из других государств-членов и местные работодатели вправе обмениваться предложениями о работе, принимать эти предложения и заключать контракты в соответствии с действующим законодательством страны, где работник получает работу. Положения национального законодательства государств-членов ЕС, ограничивающие права работников-мигрантов, противоречат праву ЕС и не подлежат применению. Запрещено так же установление процентных квот на принятие иностранных работников на работу</w:t>
      </w:r>
      <w:r w:rsidRPr="004F54F8">
        <w:rPr>
          <w:color w:val="000000"/>
          <w:sz w:val="28"/>
        </w:rPr>
        <w:footnoteReference w:id="10"/>
      </w:r>
      <w:r w:rsidRPr="004F54F8">
        <w:rPr>
          <w:color w:val="000000"/>
          <w:sz w:val="28"/>
        </w:rPr>
        <w:t>. Если искать схожие гарантии в праве СНГ, то в ст.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4</w:t>
      </w:r>
      <w:r w:rsidRPr="004F54F8">
        <w:rPr>
          <w:color w:val="000000"/>
          <w:sz w:val="28"/>
        </w:rPr>
        <w:t xml:space="preserve"> Хартии</w:t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социальных прав и гарантий граждан независимых государств содержится положение о том, что «государства обязуются соблюдать принцип свободы миграции трудящихся и населения между ними и разрабатывают международные документы, гарантирующие максимальное равноправие мигрантов в социально-трудовой области с гражданами государств, принимающих мигрантов». Работники-мигранты имеют право быть членами профсоюзов на территории других государств-членов, где они получают работу, могут также избирать и быть избранными в профсоюзные органы.</w:t>
      </w:r>
    </w:p>
    <w:p w:rsid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Гарантии в области социального обеспечения</w:t>
      </w:r>
      <w:r w:rsidRPr="004F54F8">
        <w:rPr>
          <w:color w:val="000000"/>
          <w:sz w:val="28"/>
        </w:rPr>
        <w:footnoteReference w:id="11"/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выражаются в: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а) суммировании всех периодов работы, учитываемых законодательством отдельных стран, для получения права на пособие, а также для исчисления размера пособия;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b) выплате пособий лицам, проживающим на территории государства-члена.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Для сравнения: Хартия социальных прав и гарантий граждан независимых государств также содержит положения о трудовых гарантиях, связанных с длительностью трудового стажа, которые обеспечиваются работникам на основании документов, полученных в суверенных государствах, без дополнительного подтверждения.</w:t>
      </w:r>
    </w:p>
    <w:p w:rsidR="00385950" w:rsidRPr="004F54F8" w:rsidRDefault="00385950" w:rsidP="004F54F8">
      <w:pPr>
        <w:pStyle w:val="21"/>
        <w:suppressAutoHyphens w:val="0"/>
        <w:ind w:firstLine="709"/>
        <w:jc w:val="both"/>
        <w:rPr>
          <w:color w:val="000000"/>
        </w:rPr>
      </w:pPr>
    </w:p>
    <w:p w:rsidR="00385950" w:rsidRPr="0086360B" w:rsidRDefault="0086360B" w:rsidP="004F54F8">
      <w:pPr>
        <w:suppressAutoHyphens w:val="0"/>
        <w:spacing w:line="360" w:lineRule="auto"/>
        <w:ind w:firstLine="709"/>
        <w:rPr>
          <w:b/>
          <w:bCs/>
          <w:iCs/>
          <w:color w:val="000000"/>
          <w:sz w:val="28"/>
        </w:rPr>
      </w:pPr>
      <w:r w:rsidRPr="0086360B">
        <w:rPr>
          <w:b/>
          <w:bCs/>
          <w:iCs/>
          <w:color w:val="000000"/>
          <w:sz w:val="28"/>
        </w:rPr>
        <w:t>3.</w:t>
      </w:r>
      <w:r w:rsidR="00385950" w:rsidRPr="0086360B">
        <w:rPr>
          <w:b/>
          <w:bCs/>
          <w:iCs/>
          <w:color w:val="000000"/>
          <w:sz w:val="28"/>
        </w:rPr>
        <w:t>2 Права и гарантии членов семей работников</w:t>
      </w:r>
      <w:r w:rsidR="004F54F8" w:rsidRPr="0086360B">
        <w:rPr>
          <w:b/>
          <w:bCs/>
          <w:iCs/>
          <w:color w:val="000000"/>
          <w:sz w:val="28"/>
        </w:rPr>
        <w:t xml:space="preserve"> – ми</w:t>
      </w:r>
      <w:r w:rsidR="00385950" w:rsidRPr="0086360B">
        <w:rPr>
          <w:b/>
          <w:bCs/>
          <w:iCs/>
          <w:color w:val="000000"/>
          <w:sz w:val="28"/>
        </w:rPr>
        <w:t>грантов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Отдельным вопросом, который надо рассмотреть в рамках принципа свободы передвижения работников, является вопрос о правовом положении членов их семей.</w:t>
      </w:r>
    </w:p>
    <w:p w:rsid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Исходя из норм, закрепленных в Разделе III Регламента 1612/68/ЕЭС члены семьи работника-мигранта «независимо от гражданства, имеют право поселения совместно с работником, являющимся гражданином государства-члена и работающим по найму на территории другого государства-члена»</w:t>
      </w:r>
      <w:r w:rsidRPr="004F54F8">
        <w:rPr>
          <w:color w:val="000000"/>
          <w:sz w:val="28"/>
        </w:rPr>
        <w:footnoteReference w:id="12"/>
      </w:r>
      <w:r w:rsidRPr="004F54F8">
        <w:rPr>
          <w:color w:val="000000"/>
          <w:sz w:val="28"/>
        </w:rPr>
        <w:t>. Другие члены семьи работника, которые находились на его иждивении и проживали с ним совместно в стране, из которой он прибыл, не имеют безусловного права на переезд вместе с ним. Однако государства-члены должны облегчить их допуск на свою территорию с целью предоставления им возможности проживать вместе с работником</w:t>
      </w:r>
      <w:r w:rsidRPr="004F54F8">
        <w:rPr>
          <w:color w:val="000000"/>
          <w:sz w:val="28"/>
        </w:rPr>
        <w:footnoteReference w:id="13"/>
      </w:r>
      <w:r w:rsidRPr="004F54F8">
        <w:rPr>
          <w:color w:val="000000"/>
          <w:sz w:val="28"/>
        </w:rPr>
        <w:t>. Так же</w:t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члены семьи работника-мигранта имеют право наниматься на любую работу на всей территории того же государства</w:t>
      </w:r>
      <w:r w:rsidRPr="004F54F8">
        <w:rPr>
          <w:color w:val="000000"/>
          <w:sz w:val="28"/>
        </w:rPr>
        <w:footnoteReference w:id="14"/>
      </w:r>
      <w:r w:rsidRPr="004F54F8">
        <w:rPr>
          <w:color w:val="000000"/>
          <w:sz w:val="28"/>
        </w:rPr>
        <w:t>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Дети работников-мигрантов тоже обладают определенным комплексом прав в соответствии с положениями Регламента 1612/68. Статья 12 гарантирует им право на образование. Директива Совета 77/468/ЕЭС от 25.07.</w:t>
      </w:r>
      <w:r w:rsidR="004F54F8" w:rsidRPr="004F54F8">
        <w:rPr>
          <w:color w:val="000000"/>
          <w:sz w:val="28"/>
        </w:rPr>
        <w:t>1977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г</w:t>
      </w:r>
      <w:r w:rsidRPr="004F54F8">
        <w:rPr>
          <w:color w:val="000000"/>
          <w:sz w:val="28"/>
        </w:rPr>
        <w:t>. «Об образовании детей работников-мигрантов» подтвердила и подробно урегулировала это право. Согласно данной Директиве дети работников-мигрантов должны получать образование на тех же условиях, что существуют для детей – граждан государства. Примечательно, что Директива обратила особое внимание на необходимость обеспечить усвоение детьми работников-мигрантов официального языка государства, в котором они обучаются. При этом с нормами национальной системы образования им</w:t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должен быть обеспечен доступ к изучению родного языка и культуры</w:t>
      </w:r>
      <w:r w:rsidRPr="004F54F8">
        <w:rPr>
          <w:color w:val="000000"/>
          <w:sz w:val="28"/>
        </w:rPr>
        <w:footnoteReference w:id="15"/>
      </w:r>
      <w:r w:rsidRPr="004F54F8">
        <w:rPr>
          <w:color w:val="000000"/>
          <w:sz w:val="28"/>
        </w:rPr>
        <w:t>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  <w:r w:rsidRPr="004F54F8">
        <w:rPr>
          <w:color w:val="000000"/>
          <w:sz w:val="28"/>
        </w:rPr>
        <w:t>Исходя из анализа нормативно-правовых актов законодательства ЕС (включая прецедентное право), следует вывод о том, что члены семьи работника-мигранта являются правопреемниками прав самого работника-мигранта. Так, если работник после выхода на пенсию или наступления нетрудоспособности приобрел право на постоянное проживание в стране, где работал, лены его семьи, которые имели право на переезд вместе с ним, также получают право постоянно проживать в этой стране. Если работник</w:t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умер во время, когда он работал в другом государстве-члене ЕС, члены его семьи имеют право оставаться на территории страны, где они проживали вместе с ним, если работник проживал на территории этой страны не менее двух лет. Если смерть работника наступила в результате несчастного случая на производстве или профессионального заболевания, члены его семьи имеют право на постоянное проживание в государстве, где он работал, независимо от того, сколько времени работник проживал на его территории. Члены семьи умершего работника имеют право на те же социальные права и налоговые льготы, которыми пользуются граждане данного государства.</w:t>
      </w: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86360B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  <w:t>4.</w:t>
      </w:r>
      <w:r w:rsidR="00385950" w:rsidRPr="004F54F8">
        <w:rPr>
          <w:b/>
          <w:bCs/>
          <w:color w:val="000000"/>
          <w:sz w:val="28"/>
        </w:rPr>
        <w:t xml:space="preserve"> Ограничения прав работников-мигрантов в праве ЕС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385950" w:rsidP="004F54F8">
      <w:pPr>
        <w:pStyle w:val="21"/>
        <w:suppressAutoHyphens w:val="0"/>
        <w:ind w:firstLine="709"/>
        <w:jc w:val="both"/>
        <w:rPr>
          <w:color w:val="000000"/>
        </w:rPr>
      </w:pPr>
      <w:r w:rsidRPr="004F54F8">
        <w:rPr>
          <w:color w:val="000000"/>
        </w:rPr>
        <w:t>Статья 39 Договора о Европейском Союзе содержит два исключения из принципа свободного передвижения лиц.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Во-первых, право работников-мигрантов на свободное передвижение внутри Сообщества может быть ограничено по соображениям общественного порядка, общественной безопасности и здравоохранения. Согласно ст.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2</w:t>
      </w:r>
      <w:r w:rsidRPr="004F54F8">
        <w:rPr>
          <w:color w:val="000000"/>
          <w:sz w:val="28"/>
        </w:rPr>
        <w:t>7</w:t>
      </w:r>
      <w:r w:rsidR="004F54F8">
        <w:rPr>
          <w:color w:val="000000"/>
          <w:sz w:val="28"/>
        </w:rPr>
        <w:t xml:space="preserve"> </w:t>
      </w:r>
      <w:r w:rsidRPr="004F54F8">
        <w:rPr>
          <w:color w:val="000000"/>
          <w:sz w:val="28"/>
        </w:rPr>
        <w:t>Директивы 2004/38/ЕС меры, принимаемые по соображениям общественного порядка, общественной безопасности, должны основываться исключительно на личном поведении конкретного лица. Факт прежней судимости не является основанием для выдворения. Для того, чтобы гражданин Союза был выдворен с территории принимающего государства-члена, его поведение должно представлять «искреннее, реальное и достаточно серьезное посягательство на один из основных интересов общества». Нужно заметить, что по мотивам общественного порядка не могут быть выдворены: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а) лица, проживающие в принимающем государстве-члене последние 10 лет;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 xml:space="preserve">б) несовершеннолетние, за исключением случаев, когда выдворение соответствует их интересам согласно Конвенции ООН о правах ребенка </w:t>
      </w:r>
      <w:r w:rsidR="004F54F8" w:rsidRPr="004F54F8">
        <w:rPr>
          <w:color w:val="000000"/>
          <w:sz w:val="28"/>
        </w:rPr>
        <w:t>1989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г</w:t>
      </w:r>
      <w:r w:rsidRPr="004F54F8">
        <w:rPr>
          <w:color w:val="000000"/>
          <w:sz w:val="28"/>
        </w:rPr>
        <w:t>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>Что касается мер, применяемых по соображениям общественного здравоохранения, то в Директиве 2004/38 указывается, что только заболевания, способные в соответствии с перечнем Всемирной организации здравоохранения привести к эпидемии, или иные инфекционные либо связанные с распространением паразитов заболевания, защита от которых предусмотрена в принимающем государстве-члене, могут быть основанием для выдворения</w:t>
      </w:r>
      <w:r w:rsidRPr="004F54F8">
        <w:rPr>
          <w:color w:val="000000"/>
          <w:sz w:val="28"/>
        </w:rPr>
        <w:footnoteReference w:id="16"/>
      </w:r>
      <w:r w:rsidRPr="004F54F8">
        <w:rPr>
          <w:color w:val="000000"/>
          <w:sz w:val="28"/>
        </w:rPr>
        <w:t>. Однако лицо, заболевшее такой болезнью по истечении трех месяце с момента начала пребывания в понимающем государстве-члене, не может быть выдворено по данному основанию</w:t>
      </w:r>
      <w:r w:rsidRPr="004F54F8">
        <w:rPr>
          <w:color w:val="000000"/>
          <w:sz w:val="28"/>
        </w:rPr>
        <w:footnoteReference w:id="17"/>
      </w:r>
      <w:r w:rsidRPr="004F54F8">
        <w:rPr>
          <w:color w:val="000000"/>
          <w:sz w:val="28"/>
        </w:rPr>
        <w:t>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color w:val="000000"/>
          <w:sz w:val="28"/>
        </w:rPr>
      </w:pPr>
      <w:r w:rsidRPr="004F54F8">
        <w:rPr>
          <w:color w:val="000000"/>
          <w:sz w:val="28"/>
        </w:rPr>
        <w:t xml:space="preserve">Во-вторых, исходя из смысла </w:t>
      </w:r>
      <w:r w:rsidR="004F54F8" w:rsidRPr="004F54F8">
        <w:rPr>
          <w:color w:val="000000"/>
          <w:sz w:val="28"/>
        </w:rPr>
        <w:t>п.</w:t>
      </w:r>
      <w:r w:rsidR="004F54F8">
        <w:rPr>
          <w:color w:val="000000"/>
          <w:sz w:val="28"/>
        </w:rPr>
        <w:t> </w:t>
      </w:r>
      <w:r w:rsidR="004F54F8" w:rsidRPr="004F54F8">
        <w:rPr>
          <w:color w:val="000000"/>
          <w:sz w:val="28"/>
        </w:rPr>
        <w:t>4</w:t>
      </w:r>
      <w:r w:rsidRPr="004F54F8">
        <w:rPr>
          <w:color w:val="000000"/>
          <w:sz w:val="28"/>
        </w:rPr>
        <w:t xml:space="preserve"> ст</w:t>
      </w:r>
      <w:r w:rsidR="0086360B">
        <w:rPr>
          <w:color w:val="000000"/>
          <w:sz w:val="28"/>
        </w:rPr>
        <w:t xml:space="preserve">. </w:t>
      </w:r>
      <w:r w:rsidRPr="004F54F8">
        <w:rPr>
          <w:color w:val="000000"/>
          <w:sz w:val="28"/>
        </w:rPr>
        <w:t>39 Договора о ЕС, свобода передвижения работников-мигрантов не распространяется на публичную (государственную) службу. Под государственной службой понимаются посты связанные прямо или косвенно с участием в осуществлении власти, предоставляемой публичным правом, и обязанностей, направленных на защиту общих интересов государства или других органов государственной власти. Такие посты, по сути, предполагают со стороны занимающих их лиц существование особых отношений преданности государству и взаимности прав и обязанностей, которые формируют основу уз гражданства.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86360B" w:rsidRDefault="0086360B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86360B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385950" w:rsidRPr="004F54F8">
        <w:rPr>
          <w:b/>
          <w:bCs/>
          <w:color w:val="000000"/>
          <w:sz w:val="28"/>
        </w:rPr>
        <w:t>Заключение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385950" w:rsidP="004F54F8">
      <w:pPr>
        <w:pStyle w:val="21"/>
        <w:suppressAutoHyphens w:val="0"/>
        <w:ind w:firstLine="709"/>
        <w:jc w:val="both"/>
        <w:rPr>
          <w:color w:val="000000"/>
        </w:rPr>
      </w:pPr>
      <w:r w:rsidRPr="004F54F8">
        <w:rPr>
          <w:color w:val="000000"/>
        </w:rPr>
        <w:t>В завершении работы можно сделать выводы о том, что принцип свободного движения работников получил достаточно широкое развитие в многочисленных</w:t>
      </w:r>
      <w:r w:rsidR="004F54F8">
        <w:rPr>
          <w:color w:val="000000"/>
        </w:rPr>
        <w:t xml:space="preserve"> </w:t>
      </w:r>
      <w:r w:rsidRPr="004F54F8">
        <w:rPr>
          <w:color w:val="000000"/>
        </w:rPr>
        <w:t>регламентах и директивах ЕС, а также в решениях Европейского Суда. Результатом практического осуществления данной свободы является создание в ЕС единого рынка рабочей силы, в котором работники из любого государства-члена обладают возможностью работать по найму на территории других государств-членов. При этом не допускается дискриминация иностранных рабочих и членов их семей по национальному признаку; последним гарантируется обеспечение трудовых прав в полном объеме, а также прав на социальное обеспечение (включая пособие по безработице).</w:t>
      </w:r>
    </w:p>
    <w:p w:rsidR="00385950" w:rsidRPr="004F54F8" w:rsidRDefault="00385950" w:rsidP="004F54F8">
      <w:pPr>
        <w:pStyle w:val="21"/>
        <w:suppressAutoHyphens w:val="0"/>
        <w:ind w:firstLine="709"/>
        <w:jc w:val="both"/>
        <w:rPr>
          <w:color w:val="000000"/>
        </w:rPr>
      </w:pPr>
      <w:r w:rsidRPr="004F54F8">
        <w:rPr>
          <w:color w:val="000000"/>
        </w:rPr>
        <w:t>Таким образом, нормативные акты Сообщества предоставляют работникам, являющимся гражданами ЕС, все возможности для трудоустройства в других государствах-членах</w:t>
      </w:r>
      <w:r w:rsidR="004F54F8">
        <w:rPr>
          <w:color w:val="000000"/>
        </w:rPr>
        <w:t xml:space="preserve"> </w:t>
      </w:r>
      <w:r w:rsidRPr="004F54F8">
        <w:rPr>
          <w:color w:val="000000"/>
        </w:rPr>
        <w:t>и приравнивают их во всех правах и обязанностях к работникам этих государств-членов.</w:t>
      </w:r>
    </w:p>
    <w:p w:rsidR="00385950" w:rsidRPr="004F54F8" w:rsidRDefault="00385950" w:rsidP="004F54F8">
      <w:pPr>
        <w:pStyle w:val="21"/>
        <w:suppressAutoHyphens w:val="0"/>
        <w:ind w:firstLine="709"/>
        <w:jc w:val="both"/>
        <w:rPr>
          <w:color w:val="000000"/>
        </w:rPr>
      </w:pPr>
      <w:r w:rsidRPr="004F54F8">
        <w:rPr>
          <w:color w:val="000000"/>
        </w:rPr>
        <w:t>Присутствие же схожих положений в нормативно-правовых актах двух разных экономических сообществ, говорит о тенденции к сближению в нормотворчестве, о развитии принципов и норм международного права и их интеграции в законодательство все большего количества государств, что должно облегчить их толкование и применение.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86360B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385950" w:rsidRPr="004F54F8">
        <w:rPr>
          <w:b/>
          <w:bCs/>
          <w:color w:val="000000"/>
          <w:sz w:val="28"/>
        </w:rPr>
        <w:t>Список литературы</w:t>
      </w:r>
    </w:p>
    <w:p w:rsidR="00385950" w:rsidRPr="004F54F8" w:rsidRDefault="00385950" w:rsidP="004F54F8">
      <w:pPr>
        <w:suppressAutoHyphens w:val="0"/>
        <w:spacing w:line="360" w:lineRule="auto"/>
        <w:ind w:firstLine="709"/>
        <w:rPr>
          <w:b/>
          <w:bCs/>
          <w:color w:val="000000"/>
          <w:sz w:val="28"/>
        </w:rPr>
      </w:pPr>
    </w:p>
    <w:p w:rsidR="00385950" w:rsidRPr="004F54F8" w:rsidRDefault="00385950" w:rsidP="0086360B">
      <w:pPr>
        <w:pStyle w:val="21"/>
        <w:suppressAutoHyphens w:val="0"/>
        <w:ind w:firstLine="0"/>
        <w:jc w:val="both"/>
        <w:rPr>
          <w:color w:val="000000"/>
        </w:rPr>
      </w:pPr>
      <w:r w:rsidRPr="004F54F8">
        <w:rPr>
          <w:color w:val="000000"/>
        </w:rPr>
        <w:t>1. Договор об учреждении Европейского Сообществ</w:t>
      </w:r>
      <w:r w:rsidR="004F54F8" w:rsidRPr="004F54F8">
        <w:rPr>
          <w:color w:val="000000"/>
        </w:rPr>
        <w:t>а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//</w:t>
      </w:r>
      <w:r w:rsidRPr="004F54F8">
        <w:rPr>
          <w:color w:val="000000"/>
        </w:rPr>
        <w:t xml:space="preserve"> Право Европейского Союза: Документы и комментарии/ Под ред. </w:t>
      </w:r>
      <w:r w:rsidR="004F54F8" w:rsidRPr="004F54F8">
        <w:rPr>
          <w:color w:val="000000"/>
        </w:rPr>
        <w:t>Кашкина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С.Ю.</w:t>
      </w:r>
      <w:r w:rsidRPr="004F54F8">
        <w:rPr>
          <w:color w:val="000000"/>
        </w:rPr>
        <w:t xml:space="preserve"> – М.: ТЕРРА, </w:t>
      </w:r>
      <w:r w:rsidR="004F54F8" w:rsidRPr="004F54F8">
        <w:rPr>
          <w:color w:val="000000"/>
        </w:rPr>
        <w:t>1999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г.</w:t>
      </w:r>
      <w:r w:rsidRPr="004F54F8">
        <w:rPr>
          <w:color w:val="000000"/>
        </w:rPr>
        <w:t>;</w:t>
      </w:r>
    </w:p>
    <w:p w:rsidR="00385950" w:rsidRPr="004F54F8" w:rsidRDefault="00385950" w:rsidP="0086360B">
      <w:pPr>
        <w:pStyle w:val="21"/>
        <w:suppressAutoHyphens w:val="0"/>
        <w:ind w:firstLine="0"/>
        <w:jc w:val="both"/>
        <w:rPr>
          <w:color w:val="000000"/>
        </w:rPr>
      </w:pPr>
      <w:r w:rsidRPr="004F54F8">
        <w:rPr>
          <w:color w:val="000000"/>
        </w:rPr>
        <w:t>2. Регламент Совета 1612/68/ЕЭС от 15.10.</w:t>
      </w:r>
      <w:r w:rsidR="004F54F8" w:rsidRPr="004F54F8">
        <w:rPr>
          <w:color w:val="000000"/>
        </w:rPr>
        <w:t>1968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г</w:t>
      </w:r>
      <w:r w:rsidRPr="004F54F8">
        <w:rPr>
          <w:color w:val="000000"/>
        </w:rPr>
        <w:t>. «О свободе передвижения работников в сообществе</w:t>
      </w:r>
      <w:r w:rsidR="004F54F8" w:rsidRPr="004F54F8">
        <w:rPr>
          <w:color w:val="000000"/>
        </w:rPr>
        <w:t>»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//</w:t>
      </w:r>
      <w:r w:rsidRPr="004F54F8">
        <w:rPr>
          <w:color w:val="000000"/>
        </w:rPr>
        <w:t xml:space="preserve"> Право Европейского Союза: Документы и комментарии/ Под ред. </w:t>
      </w:r>
      <w:r w:rsidR="004F54F8" w:rsidRPr="004F54F8">
        <w:rPr>
          <w:color w:val="000000"/>
        </w:rPr>
        <w:t>Кашкина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С.Ю.</w:t>
      </w:r>
      <w:r w:rsidRPr="004F54F8">
        <w:rPr>
          <w:color w:val="000000"/>
        </w:rPr>
        <w:t xml:space="preserve"> – М.: ТЕРРА, </w:t>
      </w:r>
      <w:r w:rsidR="004F54F8" w:rsidRPr="004F54F8">
        <w:rPr>
          <w:color w:val="000000"/>
        </w:rPr>
        <w:t>1999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г.</w:t>
      </w:r>
      <w:r w:rsidRPr="004F54F8">
        <w:rPr>
          <w:color w:val="000000"/>
        </w:rPr>
        <w:t>;</w:t>
      </w:r>
    </w:p>
    <w:p w:rsidR="00385950" w:rsidRPr="004F54F8" w:rsidRDefault="00385950" w:rsidP="0086360B">
      <w:pPr>
        <w:pStyle w:val="21"/>
        <w:suppressAutoHyphens w:val="0"/>
        <w:ind w:firstLine="0"/>
        <w:jc w:val="both"/>
        <w:rPr>
          <w:color w:val="000000"/>
        </w:rPr>
      </w:pPr>
      <w:r w:rsidRPr="004F54F8">
        <w:rPr>
          <w:color w:val="000000"/>
        </w:rPr>
        <w:t>3. Регламент Комиссии 1251/70/ЕЭС от 29.06.</w:t>
      </w:r>
      <w:r w:rsidR="004F54F8" w:rsidRPr="004F54F8">
        <w:rPr>
          <w:color w:val="000000"/>
        </w:rPr>
        <w:t>1970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г</w:t>
      </w:r>
      <w:r w:rsidRPr="004F54F8">
        <w:rPr>
          <w:color w:val="000000"/>
        </w:rPr>
        <w:t>. «О праве работников оставаться на территории государства-члена после прекращения трудовой деятельности в данном государстве»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//</w:t>
      </w:r>
      <w:r w:rsidRPr="004F54F8">
        <w:rPr>
          <w:color w:val="000000"/>
        </w:rPr>
        <w:t xml:space="preserve"> Право Европейского Союза: Документы и комментарии/ Под ред. </w:t>
      </w:r>
      <w:r w:rsidR="004F54F8" w:rsidRPr="004F54F8">
        <w:rPr>
          <w:color w:val="000000"/>
        </w:rPr>
        <w:t>Кашкина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С.Ю.</w:t>
      </w:r>
      <w:r w:rsidRPr="004F54F8">
        <w:rPr>
          <w:color w:val="000000"/>
        </w:rPr>
        <w:t xml:space="preserve"> – М.: ТЕРРА, </w:t>
      </w:r>
      <w:r w:rsidR="004F54F8" w:rsidRPr="004F54F8">
        <w:rPr>
          <w:color w:val="000000"/>
        </w:rPr>
        <w:t>1999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г.</w:t>
      </w:r>
      <w:r w:rsidRPr="004F54F8">
        <w:rPr>
          <w:color w:val="000000"/>
        </w:rPr>
        <w:t>;</w:t>
      </w:r>
    </w:p>
    <w:p w:rsidR="00385950" w:rsidRPr="004F54F8" w:rsidRDefault="00385950" w:rsidP="0086360B">
      <w:pPr>
        <w:pStyle w:val="21"/>
        <w:suppressAutoHyphens w:val="0"/>
        <w:ind w:firstLine="0"/>
        <w:jc w:val="both"/>
        <w:rPr>
          <w:color w:val="000000"/>
        </w:rPr>
      </w:pPr>
      <w:r w:rsidRPr="004F54F8">
        <w:rPr>
          <w:color w:val="000000"/>
        </w:rPr>
        <w:t>4. Директива Европейского Парламента и Совета</w:t>
      </w:r>
      <w:r w:rsidR="004F54F8">
        <w:rPr>
          <w:color w:val="000000"/>
        </w:rPr>
        <w:t xml:space="preserve"> </w:t>
      </w:r>
      <w:r w:rsidRPr="004F54F8">
        <w:rPr>
          <w:color w:val="000000"/>
        </w:rPr>
        <w:t>2004/38/ЕС от 29.04.</w:t>
      </w:r>
      <w:r w:rsidR="004F54F8" w:rsidRPr="004F54F8">
        <w:rPr>
          <w:color w:val="000000"/>
        </w:rPr>
        <w:t>2004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г</w:t>
      </w:r>
      <w:r w:rsidRPr="004F54F8">
        <w:rPr>
          <w:color w:val="000000"/>
        </w:rPr>
        <w:t>. «О праве граждан Союза и членов их семей на свободное проживание и выбор места жительства на территории государств-членов»;</w:t>
      </w:r>
    </w:p>
    <w:p w:rsidR="00385950" w:rsidRPr="004F54F8" w:rsidRDefault="00385950" w:rsidP="0086360B">
      <w:pPr>
        <w:pStyle w:val="21"/>
        <w:suppressAutoHyphens w:val="0"/>
        <w:ind w:firstLine="0"/>
        <w:jc w:val="both"/>
        <w:rPr>
          <w:color w:val="000000"/>
        </w:rPr>
      </w:pPr>
      <w:r w:rsidRPr="004F54F8">
        <w:rPr>
          <w:color w:val="000000"/>
        </w:rPr>
        <w:t>5. Директива Совета 77/486/ЕЭС от 25 июля 1977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г</w:t>
      </w:r>
      <w:r w:rsidRPr="004F54F8">
        <w:rPr>
          <w:color w:val="000000"/>
        </w:rPr>
        <w:t>. «Об образовании детей работников-мигрантов»;</w:t>
      </w:r>
    </w:p>
    <w:p w:rsidR="00385950" w:rsidRPr="004F54F8" w:rsidRDefault="00385950" w:rsidP="0086360B">
      <w:pPr>
        <w:pStyle w:val="21"/>
        <w:suppressAutoHyphens w:val="0"/>
        <w:ind w:firstLine="0"/>
        <w:jc w:val="both"/>
        <w:rPr>
          <w:color w:val="000000"/>
        </w:rPr>
      </w:pPr>
      <w:r w:rsidRPr="004F54F8">
        <w:rPr>
          <w:color w:val="000000"/>
        </w:rPr>
        <w:t>6. Хартия социальных прав и гарантий граждан независимых государств (утв. Межпарламентской Ассамблеей государств-участников Содружества Независимых Государств 29.10.</w:t>
      </w:r>
      <w:r w:rsidR="004F54F8" w:rsidRPr="004F54F8">
        <w:rPr>
          <w:color w:val="000000"/>
        </w:rPr>
        <w:t>1994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г.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//</w:t>
      </w:r>
      <w:r w:rsidRPr="004F54F8">
        <w:rPr>
          <w:color w:val="000000"/>
        </w:rPr>
        <w:t xml:space="preserve"> Правовая система «Гарант»;</w:t>
      </w:r>
    </w:p>
    <w:p w:rsidR="00385950" w:rsidRPr="004F54F8" w:rsidRDefault="00385950" w:rsidP="0086360B">
      <w:pPr>
        <w:pStyle w:val="21"/>
        <w:suppressAutoHyphens w:val="0"/>
        <w:ind w:firstLine="0"/>
        <w:jc w:val="both"/>
        <w:rPr>
          <w:color w:val="000000"/>
        </w:rPr>
      </w:pPr>
      <w:r w:rsidRPr="004F54F8">
        <w:rPr>
          <w:color w:val="000000"/>
        </w:rPr>
        <w:t xml:space="preserve">7. Введение в право Европейского Союза: Учебное пособие/ Под ред. </w:t>
      </w:r>
      <w:r w:rsidR="004F54F8" w:rsidRPr="004F54F8">
        <w:rPr>
          <w:color w:val="000000"/>
        </w:rPr>
        <w:t>Кашкина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С.Ю.</w:t>
      </w:r>
      <w:r w:rsidR="00991056" w:rsidRPr="004F54F8">
        <w:rPr>
          <w:color w:val="000000"/>
        </w:rPr>
        <w:t xml:space="preserve"> – М.: Изд-во ЭКСМО, </w:t>
      </w:r>
      <w:r w:rsidR="004F54F8" w:rsidRPr="004F54F8">
        <w:rPr>
          <w:color w:val="000000"/>
        </w:rPr>
        <w:t>2006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г.</w:t>
      </w:r>
      <w:r w:rsidRPr="004F54F8">
        <w:rPr>
          <w:color w:val="000000"/>
        </w:rPr>
        <w:t>;</w:t>
      </w:r>
    </w:p>
    <w:p w:rsidR="00385950" w:rsidRPr="004F54F8" w:rsidRDefault="00385950" w:rsidP="0086360B">
      <w:pPr>
        <w:pStyle w:val="21"/>
        <w:suppressAutoHyphens w:val="0"/>
        <w:ind w:firstLine="0"/>
        <w:jc w:val="both"/>
        <w:rPr>
          <w:color w:val="000000"/>
        </w:rPr>
      </w:pPr>
      <w:r w:rsidRPr="004F54F8">
        <w:rPr>
          <w:color w:val="000000"/>
        </w:rPr>
        <w:t xml:space="preserve">8. Основы права Европейского Союза: Учебное пособие/ Под ред. </w:t>
      </w:r>
      <w:r w:rsidR="004F54F8" w:rsidRPr="004F54F8">
        <w:rPr>
          <w:color w:val="000000"/>
        </w:rPr>
        <w:t>Кашкина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С.Ю.</w:t>
      </w:r>
      <w:r w:rsidRPr="004F54F8">
        <w:rPr>
          <w:color w:val="000000"/>
        </w:rPr>
        <w:t xml:space="preserve"> – М.: Белые Альвы, </w:t>
      </w:r>
      <w:r w:rsidR="004F54F8" w:rsidRPr="004F54F8">
        <w:rPr>
          <w:color w:val="000000"/>
        </w:rPr>
        <w:t>1997</w:t>
      </w:r>
      <w:r w:rsidR="004F54F8">
        <w:rPr>
          <w:color w:val="000000"/>
        </w:rPr>
        <w:t> </w:t>
      </w:r>
      <w:r w:rsidR="004F54F8" w:rsidRPr="004F54F8">
        <w:rPr>
          <w:color w:val="000000"/>
        </w:rPr>
        <w:t>г.</w:t>
      </w:r>
      <w:r w:rsidRPr="004F54F8">
        <w:rPr>
          <w:color w:val="000000"/>
        </w:rPr>
        <w:t>;</w:t>
      </w:r>
      <w:bookmarkStart w:id="0" w:name="_GoBack"/>
      <w:bookmarkEnd w:id="0"/>
    </w:p>
    <w:sectPr w:rsidR="00385950" w:rsidRPr="004F54F8" w:rsidSect="004F54F8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98" w:rsidRDefault="00B64698">
      <w:r>
        <w:separator/>
      </w:r>
    </w:p>
  </w:endnote>
  <w:endnote w:type="continuationSeparator" w:id="0">
    <w:p w:rsidR="00B64698" w:rsidRDefault="00B6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50" w:rsidRDefault="00385950">
    <w:pPr>
      <w:pStyle w:val="a5"/>
      <w:framePr w:wrap="around" w:vAnchor="text" w:hAnchor="margin" w:xAlign="center" w:y="1"/>
      <w:rPr>
        <w:rStyle w:val="a7"/>
      </w:rPr>
    </w:pPr>
  </w:p>
  <w:p w:rsidR="00385950" w:rsidRDefault="003859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50" w:rsidRDefault="00B01AEC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385950" w:rsidRDefault="00385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98" w:rsidRDefault="00B64698">
      <w:r>
        <w:separator/>
      </w:r>
    </w:p>
  </w:footnote>
  <w:footnote w:type="continuationSeparator" w:id="0">
    <w:p w:rsidR="00B64698" w:rsidRDefault="00B64698">
      <w:r>
        <w:continuationSeparator/>
      </w:r>
    </w:p>
  </w:footnote>
  <w:footnote w:id="1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Исходя из названия темы, я считаю более целесообразным  рассматривать в данной работе именно понятие «работник-мигрант», нежели просто «работник»</w:t>
      </w:r>
    </w:p>
  </w:footnote>
  <w:footnote w:id="2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Ст.10 (1) Регламента 1612/68/ЕЭС от 15.10.1968г.</w:t>
      </w:r>
    </w:p>
  </w:footnote>
  <w:footnote w:id="3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Ст.10 (2) Регламента 1612/68/ЕЭС от 15.10.1968г.</w:t>
      </w:r>
    </w:p>
  </w:footnote>
  <w:footnote w:id="4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Ст.2 (</w:t>
      </w:r>
      <w:r>
        <w:rPr>
          <w:lang w:val="en-US"/>
        </w:rPr>
        <w:t>b</w:t>
      </w:r>
      <w:r>
        <w:t>)  Директивы 2004/38/ЕС  от 29.04.04г.</w:t>
      </w:r>
    </w:p>
  </w:footnote>
  <w:footnote w:id="5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Основы права Европейского Союза: Учебное пособие/ Под ред. Кашкина С.Ю. – М.: Белые Альвы, 1997г., стр. 186</w:t>
      </w:r>
    </w:p>
  </w:footnote>
  <w:footnote w:id="6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 6 Хартии основах прав и гарантий граждан независимых государств.</w:t>
      </w:r>
    </w:p>
  </w:footnote>
  <w:footnote w:id="7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Ст.2 (а) Регламента Комиссии 1251/70/ЕС от 29.06.1970г.</w:t>
      </w:r>
    </w:p>
  </w:footnote>
  <w:footnote w:id="8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Ст.2 (</w:t>
      </w:r>
      <w:r>
        <w:rPr>
          <w:lang w:val="en-US"/>
        </w:rPr>
        <w:t>b</w:t>
      </w:r>
      <w:r>
        <w:t>) Регламента Комиссии 1251/70/ЕС от 29.06.1970г.</w:t>
      </w:r>
    </w:p>
  </w:footnote>
  <w:footnote w:id="9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Ст.39 (2) Договора об учреждении Европейского Сообщества</w:t>
      </w:r>
    </w:p>
  </w:footnote>
  <w:footnote w:id="10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 4 Регламента 1612 /68/ЕЭС</w:t>
      </w:r>
    </w:p>
  </w:footnote>
  <w:footnote w:id="11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 42 Договора о ЕС</w:t>
      </w:r>
    </w:p>
  </w:footnote>
  <w:footnote w:id="12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Ст.10 (1) Регламента 1612/68/ЕЭС от15.10.1968г.</w:t>
      </w:r>
    </w:p>
  </w:footnote>
  <w:footnote w:id="13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Ст.10 (2) Регламента 1612/68/ЕЭС от15.10.1968г</w:t>
      </w:r>
    </w:p>
  </w:footnote>
  <w:footnote w:id="14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Ст.11 Регламента 1612/68/ЕЭС от 15.10.1968г.</w:t>
      </w:r>
    </w:p>
  </w:footnote>
  <w:footnote w:id="15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Ст.3 Директивы Совета 77/468/ЕЭС от 25.07.1977г.</w:t>
      </w:r>
    </w:p>
  </w:footnote>
  <w:footnote w:id="16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 29 (1) Директивы 2004/38/ЕС от 29.04.04г.</w:t>
      </w:r>
    </w:p>
  </w:footnote>
  <w:footnote w:id="17">
    <w:p w:rsidR="00B64698" w:rsidRDefault="00385950" w:rsidP="0086360B">
      <w:pPr>
        <w:pStyle w:val="aa"/>
        <w:ind w:firstLine="0"/>
      </w:pPr>
      <w:r>
        <w:rPr>
          <w:rStyle w:val="ac"/>
        </w:rPr>
        <w:footnoteRef/>
      </w:r>
      <w:r>
        <w:t xml:space="preserve"> Ст. 29 (2) Директивы 2004/38/ЕС от 29.04.04г.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76AE9"/>
    <w:multiLevelType w:val="hybridMultilevel"/>
    <w:tmpl w:val="7CC6206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456D3AFD"/>
    <w:multiLevelType w:val="hybridMultilevel"/>
    <w:tmpl w:val="C3B23918"/>
    <w:lvl w:ilvl="0" w:tplc="8604B7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DDB"/>
    <w:rsid w:val="00385950"/>
    <w:rsid w:val="004F54F8"/>
    <w:rsid w:val="0086360B"/>
    <w:rsid w:val="00991056"/>
    <w:rsid w:val="00A75756"/>
    <w:rsid w:val="00B01AEC"/>
    <w:rsid w:val="00B64698"/>
    <w:rsid w:val="00E20A78"/>
    <w:rsid w:val="00FC5DDB"/>
    <w:rsid w:val="00FD6DD5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D74B6E-5780-49C8-9F9B-83B02EE5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851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/>
      <w:b/>
      <w:i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left"/>
      <w:outlineLvl w:val="1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Title"/>
    <w:basedOn w:val="a"/>
    <w:link w:val="a4"/>
    <w:uiPriority w:val="99"/>
    <w:qFormat/>
    <w:pPr>
      <w:suppressAutoHyphens w:val="0"/>
      <w:ind w:firstLine="0"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  <w:lang w:val="x-none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jc w:val="left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0"/>
      <w:szCs w:val="20"/>
      <w:lang w:val="x-none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sz w:val="20"/>
      <w:szCs w:val="20"/>
      <w:lang w:val="x-none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900"/>
      <w:jc w:val="left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  <w:lang w:val="x-none"/>
    </w:rPr>
  </w:style>
  <w:style w:type="paragraph" w:customStyle="1" w:styleId="ad">
    <w:name w:val="Таблицы (моноширинный)"/>
    <w:basedOn w:val="a"/>
    <w:next w:val="a"/>
    <w:uiPriority w:val="99"/>
    <w:pPr>
      <w:suppressAutoHyphens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 юридическая академия</vt:lpstr>
    </vt:vector>
  </TitlesOfParts>
  <Company>Home</Company>
  <LinksUpToDate>false</LinksUpToDate>
  <CharactersWithSpaces>18133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 юридическая академия</dc:title>
  <dc:subject/>
  <dc:creator>Николай</dc:creator>
  <cp:keywords/>
  <dc:description/>
  <cp:lastModifiedBy>admin</cp:lastModifiedBy>
  <cp:revision>2</cp:revision>
  <cp:lastPrinted>2006-08-25T08:12:00Z</cp:lastPrinted>
  <dcterms:created xsi:type="dcterms:W3CDTF">2014-02-28T04:55:00Z</dcterms:created>
  <dcterms:modified xsi:type="dcterms:W3CDTF">2014-02-28T04:55:00Z</dcterms:modified>
</cp:coreProperties>
</file>