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504A40" w:rsidRDefault="00504A40" w:rsidP="00504A40">
      <w:pPr>
        <w:pStyle w:val="a4"/>
        <w:jc w:val="center"/>
      </w:pPr>
    </w:p>
    <w:p w:rsidR="008F53DA" w:rsidRPr="00504A40" w:rsidRDefault="00FA59D5" w:rsidP="00504A40">
      <w:pPr>
        <w:pStyle w:val="a4"/>
        <w:jc w:val="center"/>
      </w:pPr>
      <w:r w:rsidRPr="00504A40">
        <w:t>Контрольная работа по дисциплине «Конституционное право»</w:t>
      </w:r>
    </w:p>
    <w:p w:rsidR="00FA59D5" w:rsidRPr="00504A40" w:rsidRDefault="00FA59D5" w:rsidP="00504A40">
      <w:pPr>
        <w:pStyle w:val="a4"/>
        <w:jc w:val="center"/>
      </w:pPr>
      <w:r w:rsidRPr="00504A40">
        <w:t>Вариант – 5</w:t>
      </w:r>
    </w:p>
    <w:p w:rsidR="00504A40" w:rsidRDefault="00504A40" w:rsidP="00504A40">
      <w:pPr>
        <w:pStyle w:val="a4"/>
        <w:jc w:val="center"/>
      </w:pPr>
      <w:r>
        <w:t xml:space="preserve">Принципы </w:t>
      </w:r>
      <w:r w:rsidRPr="00504A40">
        <w:t>разграничения предметов ведения и полномочий</w:t>
      </w:r>
      <w:r>
        <w:t xml:space="preserve"> в РФ</w:t>
      </w:r>
    </w:p>
    <w:p w:rsidR="00504A40" w:rsidRDefault="00504A40" w:rsidP="00504A40">
      <w:pPr>
        <w:pStyle w:val="a4"/>
        <w:jc w:val="center"/>
      </w:pPr>
    </w:p>
    <w:p w:rsidR="00504A40" w:rsidRDefault="00504A40">
      <w:pPr>
        <w:rPr>
          <w:rFonts w:ascii="Times New Roman" w:hAnsi="Times New Roman"/>
          <w:sz w:val="28"/>
          <w:szCs w:val="24"/>
        </w:rPr>
      </w:pPr>
      <w:r>
        <w:br w:type="page"/>
      </w:r>
    </w:p>
    <w:p w:rsidR="00FA59D5" w:rsidRDefault="00FA59D5" w:rsidP="00504A40">
      <w:pPr>
        <w:pStyle w:val="a4"/>
      </w:pPr>
      <w:r w:rsidRPr="00504A40">
        <w:t>Правовой анализ принципа разграничения предметов ведения РФ и субъектов РФ и полномочий органов власти РФ и ее субъектов</w:t>
      </w:r>
    </w:p>
    <w:p w:rsidR="00504A40" w:rsidRPr="00504A40" w:rsidRDefault="00504A40" w:rsidP="00504A40">
      <w:pPr>
        <w:pStyle w:val="a4"/>
      </w:pPr>
    </w:p>
    <w:p w:rsidR="00FA59D5" w:rsidRPr="00504A40" w:rsidRDefault="00FA59D5" w:rsidP="00504A40">
      <w:pPr>
        <w:pStyle w:val="a4"/>
      </w:pPr>
      <w:r w:rsidRPr="00504A40">
        <w:t>Разделение компетенции между центром и субъектами является ключевым вопросом федерализма, основой и условием нормального функционирования институциональных механизмов государства. «Обязательным условием успеха стратегических преобразований является наведение порядка в отношениях между федеральными и региональными органами власти; отсутствие четкого разграничения полномочий, а также работоспособного механизма взаимодействия между уровнями власти приводит нас к большим экономическим и социальным потерям», - говорится в Послании Президента Российской Федерации Федеральному Собранию.</w:t>
      </w:r>
    </w:p>
    <w:p w:rsidR="00FA59D5" w:rsidRPr="00504A40" w:rsidRDefault="00FA59D5" w:rsidP="00504A40">
      <w:pPr>
        <w:pStyle w:val="a4"/>
      </w:pPr>
      <w:r w:rsidRPr="00504A40">
        <w:t>Поскольку задачи, стоящие перед органами власти, постоянно обновляются, зафиксировать раз и навсегда полномочия разных уровней власти в исчерпывающем перечне невозможно. Из-за систематического обновления государственных задач всегда остаются вопросы, не отнесенные к чьему-либо ведению. Поэтому нужны принципы, которые позволяют по мере развития федеративных отношений избежать коллизий в отношениях различных уровней власти.</w:t>
      </w:r>
    </w:p>
    <w:p w:rsidR="00FA59D5" w:rsidRPr="00504A40" w:rsidRDefault="00FA59D5" w:rsidP="00504A40">
      <w:pPr>
        <w:pStyle w:val="a4"/>
      </w:pPr>
      <w:r w:rsidRPr="00504A40">
        <w:t>Правовые основы разграничения предметов ведения и полномочий между Федерацией и ее субъектами заложены Конституцией Российской Федерации. Часть 3 ст. 11 устанавливает, что «разграничение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Федеративным и иными договорами».</w:t>
      </w:r>
    </w:p>
    <w:p w:rsidR="00FA59D5" w:rsidRPr="00504A40" w:rsidRDefault="00FA59D5" w:rsidP="00504A40">
      <w:pPr>
        <w:pStyle w:val="a4"/>
      </w:pPr>
      <w:r w:rsidRPr="00504A40">
        <w:t>Конституционное разграничение компетенции федерального Центра и субъектов Федерации осуществлено в главе третьей Конституции «Федеративное устройство» - ст. ст. 71 и 72, где установлены соответственно перечни предметов собственного ведения Российской Федерации и совместного ведения Российской Федерации и субъектов Российской Федерации, а ст. 73 определяет, что по всем остальным предметам ведения субъекты Российской Федерации обладают всей полнотой государственной власти.</w:t>
      </w:r>
    </w:p>
    <w:p w:rsidR="00504A40" w:rsidRPr="00504A40" w:rsidRDefault="00FA59D5" w:rsidP="00504A40">
      <w:pPr>
        <w:pStyle w:val="a4"/>
      </w:pPr>
      <w:r w:rsidRPr="00504A40">
        <w:t>Разграничение предметов ведения и полномочий между Федерацией и ее субъектами является динамичным процессом, который основывается и рассматривается во взаимосвязи со ст. ст. 5, 11, 66 (ч.ч. 4, 5), 67, 76, 77, 78 (ч.ч. 2, 3), 85 (ч.1), 125 (ч.3) Конституции РФ.</w:t>
      </w:r>
    </w:p>
    <w:p w:rsidR="00504A40" w:rsidRPr="00504A40" w:rsidRDefault="00FA59D5" w:rsidP="00504A40">
      <w:pPr>
        <w:pStyle w:val="a4"/>
      </w:pPr>
      <w:r w:rsidRPr="00504A40">
        <w:t>Эти конституционные нормы определяют:</w:t>
      </w:r>
    </w:p>
    <w:p w:rsidR="00504A40" w:rsidRPr="00504A40" w:rsidRDefault="00FA59D5" w:rsidP="00504A40">
      <w:pPr>
        <w:pStyle w:val="a4"/>
      </w:pPr>
      <w:r w:rsidRPr="00504A40">
        <w:t>порядок правового регулирования конституционно установленных предметов ведения;</w:t>
      </w:r>
    </w:p>
    <w:p w:rsidR="00504A40" w:rsidRPr="00504A40" w:rsidRDefault="00FA59D5" w:rsidP="00504A40">
      <w:pPr>
        <w:pStyle w:val="a4"/>
      </w:pPr>
      <w:r w:rsidRPr="00504A40">
        <w:t>особенности отношений между «сложносоставными» субъектами Российской Федерации;</w:t>
      </w:r>
    </w:p>
    <w:p w:rsidR="00504A40" w:rsidRPr="00504A40" w:rsidRDefault="00FA59D5" w:rsidP="00504A40">
      <w:pPr>
        <w:pStyle w:val="a4"/>
      </w:pPr>
      <w:r w:rsidRPr="00504A40">
        <w:t>принципы взаимного делегирования осуществления части полномочий федеральных и региональных органов исполнительной власти;</w:t>
      </w:r>
    </w:p>
    <w:p w:rsidR="00FA59D5" w:rsidRPr="00504A40" w:rsidRDefault="00FA59D5" w:rsidP="00504A40">
      <w:pPr>
        <w:pStyle w:val="a4"/>
      </w:pPr>
      <w:r w:rsidRPr="00504A40">
        <w:t>порядок разрешения споров о компетенции, а также разногласий между федеральными органами государственной власти и органами государственной власти субъектов Российской Федерации.</w:t>
      </w:r>
    </w:p>
    <w:p w:rsidR="00FA59D5" w:rsidRPr="00504A40" w:rsidRDefault="00FA59D5" w:rsidP="00504A40">
      <w:pPr>
        <w:pStyle w:val="a4"/>
      </w:pPr>
      <w:r w:rsidRPr="00504A40">
        <w:t>Имеется значительный круг вопросов, подлежащих решению органами государственной власти, но имеющих непосредственное отношение к осуществлению местного самоуправления. С учетом вышеизложенного подхода к местному самоуправлению как к одному из предусмотренных в Российской Федерации уровней публичной власти, представляется целесообразным при дальнейшем развитии законодательства о местном самоуправлении, в части вопросов регулирования взаимоотношений органов местного самоуправления с органами государственной власти, учитывать опыт правового регулирования аналогичных проблем во взаимоотношениях между органами государственной власти Российской Федерации и субъектов Федерации.</w:t>
      </w:r>
    </w:p>
    <w:p w:rsidR="00FA59D5" w:rsidRPr="00504A40" w:rsidRDefault="00FA59D5" w:rsidP="00504A40">
      <w:pPr>
        <w:pStyle w:val="a4"/>
      </w:pPr>
      <w:r w:rsidRPr="00504A40">
        <w:t>В Конституции Российской Федерации указаны четыре группы предметов ведения и полномочий, являющихся объектами рассматриваемого процесса:</w:t>
      </w:r>
    </w:p>
    <w:p w:rsidR="00FA59D5" w:rsidRPr="00504A40" w:rsidRDefault="00FA59D5" w:rsidP="00504A40">
      <w:pPr>
        <w:pStyle w:val="a4"/>
      </w:pPr>
      <w:r w:rsidRPr="00504A40">
        <w:t>1. Находящиеся в ведении Российской Федерации;</w:t>
      </w:r>
    </w:p>
    <w:p w:rsidR="00FA59D5" w:rsidRPr="00504A40" w:rsidRDefault="00FA59D5" w:rsidP="00504A40">
      <w:pPr>
        <w:pStyle w:val="a4"/>
      </w:pPr>
      <w:r w:rsidRPr="00504A40">
        <w:t>2. Находящиеся в совместном ведении Российской Федерации и субъектов Российской Федерации;</w:t>
      </w:r>
    </w:p>
    <w:p w:rsidR="00FA59D5" w:rsidRPr="00504A40" w:rsidRDefault="00FA59D5" w:rsidP="00504A40">
      <w:pPr>
        <w:pStyle w:val="a4"/>
      </w:pPr>
      <w:r w:rsidRPr="00504A40">
        <w:t>3. Находящиеся в ведении субъектов Российской Федерации;</w:t>
      </w:r>
    </w:p>
    <w:p w:rsidR="00FA59D5" w:rsidRPr="00504A40" w:rsidRDefault="00FA59D5" w:rsidP="00504A40">
      <w:pPr>
        <w:pStyle w:val="a4"/>
      </w:pPr>
      <w:r w:rsidRPr="00504A40">
        <w:t>4. Находящиеся в ведении местного самоуправления.</w:t>
      </w:r>
    </w:p>
    <w:p w:rsidR="00504A40" w:rsidRPr="00504A40" w:rsidRDefault="00FA59D5" w:rsidP="00504A40">
      <w:pPr>
        <w:pStyle w:val="a4"/>
      </w:pPr>
      <w:r w:rsidRPr="00504A40">
        <w:t>Соответственно субъектами разграничения являются Президент Российской Федерации, Федеральное Собрание, Правительство Российской Федерации, федеральные органы исполнительной власти, Конституционный Суд Российской Федерации, главы субъектов Российской Федерации, представительные (законодательные) и исполнительные органы государственной власти субъектов Федерации, муниципальные органы.</w:t>
      </w:r>
    </w:p>
    <w:p w:rsidR="00FA59D5" w:rsidRPr="00504A40" w:rsidRDefault="00FA59D5" w:rsidP="00504A40">
      <w:pPr>
        <w:pStyle w:val="a4"/>
      </w:pPr>
      <w:r w:rsidRPr="00504A40">
        <w:t>Правовые формы разграничения предметов ведения и полномочий.</w:t>
      </w:r>
    </w:p>
    <w:p w:rsidR="00504A40" w:rsidRPr="00504A40" w:rsidRDefault="00FA59D5" w:rsidP="00504A40">
      <w:pPr>
        <w:pStyle w:val="a4"/>
      </w:pPr>
      <w:r w:rsidRPr="00504A40">
        <w:t>Как показывает сложившаяся практика федеративного строительства, при правовом регулировании разграничения предметов ведения и полномочий между федеральными органами государственной власти и органами государственной власти Российской Федерации, наряду с Конституцией РФ и Федеративным договором, применяются следующие формы:</w:t>
      </w:r>
    </w:p>
    <w:p w:rsidR="00FA59D5" w:rsidRPr="00504A40" w:rsidRDefault="00FA59D5" w:rsidP="00504A40">
      <w:pPr>
        <w:pStyle w:val="a4"/>
      </w:pPr>
      <w:r w:rsidRPr="00504A40">
        <w:t>Федеральные законы. В ст. 11 (ч. 3) Конституции РФ федеральные законы как правовой инструмент, обеспечивающий разграничение предметов ведения и полномочий, не названы, однако из смысла ст. ст. 72 и 76 (ч. 2) Конституции РФ, рассматриваемых системно, вытекает, что принципы и порядок их разграничения могут устанавливаться федеральными законами. В Послании Президента Федеральному Собранию особо подчеркнуто, что определение конкретных, четких полномочий центра и субъектов Федерации в рамках их совместной компетенции должно производиться именно федеральными законами.</w:t>
      </w:r>
    </w:p>
    <w:p w:rsidR="00FA59D5" w:rsidRPr="00504A40" w:rsidRDefault="00FA59D5" w:rsidP="00504A40">
      <w:pPr>
        <w:pStyle w:val="a4"/>
      </w:pPr>
      <w:r w:rsidRPr="00504A40">
        <w:t>Постановления Конституционного Суда Российской Федерации. Конституционный Суд в процессе судопроизводства, разрешая дела о соответствии Конституции РФ конституций (уставов), а также законов и иных нормативных актов субъектов Российской Федерации, разрешая споры о компетенции между органами государственной власти Российской Федерации и органами государственной власти субъектов, толкуя отдельные статьи Конституции РФ, юридически устанавливает права и обязанности участников правоотношений и тем самым осуществляет разграничение полномочий между органами государственной власти Российской Федерации и ее субъектов.</w:t>
      </w:r>
    </w:p>
    <w:p w:rsidR="00FA59D5" w:rsidRPr="00504A40" w:rsidRDefault="00FA59D5" w:rsidP="00504A40">
      <w:pPr>
        <w:pStyle w:val="a4"/>
      </w:pPr>
      <w:r w:rsidRPr="00504A40">
        <w:t>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прямо предусмотрены ст. 11 (ч. 3) Конституции РФ как правовой инструмент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Федерации. Соглашения о разграничении полномочий между органами исполнительной власти по конкретным предметам совместного ведения Российской Федерации и субъектов РФ являются составной частью договоров о разграничении предметов ведения и полномочий в соответствии с Указом Президента Российской Федерации и сложившейся договорной практикой.</w:t>
      </w:r>
    </w:p>
    <w:p w:rsidR="00FA59D5" w:rsidRPr="00504A40" w:rsidRDefault="00FA59D5" w:rsidP="00504A40">
      <w:pPr>
        <w:pStyle w:val="a4"/>
      </w:pPr>
      <w:r w:rsidRPr="00504A40">
        <w:t>Договоры позволили повысить уровень взаимопонимания центра с субъектами Российской Федерации, стабилизировать в них политическую обстановку и преодолеть в стране угрозу противостояния центра и регионов и, следовательно, укрепить территориальную целостность государства.</w:t>
      </w:r>
    </w:p>
    <w:p w:rsidR="00504A40" w:rsidRPr="00504A40" w:rsidRDefault="00FA59D5" w:rsidP="00504A40">
      <w:pPr>
        <w:pStyle w:val="a4"/>
      </w:pPr>
      <w:r w:rsidRPr="00504A40">
        <w:t>Соглашения о взаимной передаче осуществления части полномочий между федеральными органами исполнительной власти и органами исполнительной власти субъектов Российской Федерации установлены ст. 78 (ч.ч. 2 и 3) Конституции РФ как правовой инструмент оптимизации управления в Российской Федерации.</w:t>
      </w:r>
    </w:p>
    <w:p w:rsidR="00FA59D5" w:rsidRPr="00504A40" w:rsidRDefault="00FA59D5" w:rsidP="00504A40">
      <w:pPr>
        <w:pStyle w:val="a4"/>
      </w:pPr>
      <w:r w:rsidRPr="00504A40">
        <w:t>Согласительные процедуры. Для разрешения разногласий между органами государственной власти Российской Федерации и органами государственной власти субъектов РФ, а также между органами государственной власти субъектов РФ Президентом Российской Федерации используются согласительные процедуры (ч. 1 ст. 85 Конституции РФ). Как показывает практика, разногласия наиболее часто возникают по вопросам совместного ведения и (или) компетенции органов власти.</w:t>
      </w:r>
    </w:p>
    <w:p w:rsidR="00FA59D5" w:rsidRPr="00504A40" w:rsidRDefault="00FA59D5" w:rsidP="00504A40">
      <w:pPr>
        <w:pStyle w:val="a4"/>
      </w:pPr>
    </w:p>
    <w:p w:rsidR="00FA59D5" w:rsidRPr="00504A40" w:rsidRDefault="00512A5F" w:rsidP="00504A40">
      <w:pPr>
        <w:pStyle w:val="a4"/>
      </w:pPr>
      <w:r>
        <w:t>Тест № 5</w:t>
      </w:r>
    </w:p>
    <w:p w:rsidR="00FA59D5" w:rsidRPr="00504A40" w:rsidRDefault="00FA59D5" w:rsidP="00504A40">
      <w:pPr>
        <w:pStyle w:val="a4"/>
      </w:pP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а);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в);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а);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в);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а);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в);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а);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а);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3F24F3">
      <w:pPr>
        <w:pStyle w:val="a4"/>
        <w:numPr>
          <w:ilvl w:val="0"/>
          <w:numId w:val="8"/>
        </w:numPr>
        <w:ind w:left="709" w:firstLine="0"/>
      </w:pPr>
      <w:r w:rsidRPr="00504A40">
        <w:t>а – 9, 11, 12;</w:t>
      </w:r>
      <w:r w:rsidR="003F24F3">
        <w:t xml:space="preserve"> </w:t>
      </w:r>
      <w:r w:rsidRPr="00504A40">
        <w:t>б – 7, 8, 10;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в);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а);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г);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б);</w:t>
      </w:r>
    </w:p>
    <w:p w:rsidR="00FA59D5" w:rsidRPr="00504A40" w:rsidRDefault="00FA59D5" w:rsidP="00525D3C">
      <w:pPr>
        <w:pStyle w:val="a4"/>
        <w:numPr>
          <w:ilvl w:val="0"/>
          <w:numId w:val="8"/>
        </w:numPr>
        <w:ind w:left="0" w:firstLine="709"/>
      </w:pPr>
      <w:r w:rsidRPr="00504A40">
        <w:t>б).</w:t>
      </w:r>
    </w:p>
    <w:p w:rsidR="0095139F" w:rsidRPr="00504A40" w:rsidRDefault="0095139F" w:rsidP="00525D3C">
      <w:pPr>
        <w:pStyle w:val="a4"/>
      </w:pPr>
      <w:bookmarkStart w:id="0" w:name="_GoBack"/>
      <w:bookmarkEnd w:id="0"/>
    </w:p>
    <w:sectPr w:rsidR="0095139F" w:rsidRPr="00504A40" w:rsidSect="00504A4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FC5"/>
    <w:multiLevelType w:val="hybridMultilevel"/>
    <w:tmpl w:val="4484D9A2"/>
    <w:lvl w:ilvl="0" w:tplc="7B7E1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3A2BCD"/>
    <w:multiLevelType w:val="hybridMultilevel"/>
    <w:tmpl w:val="86529B3E"/>
    <w:lvl w:ilvl="0" w:tplc="38E86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2C66E1"/>
    <w:multiLevelType w:val="hybridMultilevel"/>
    <w:tmpl w:val="87A2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F64F8"/>
    <w:multiLevelType w:val="hybridMultilevel"/>
    <w:tmpl w:val="9EE8C2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40664E"/>
    <w:multiLevelType w:val="hybridMultilevel"/>
    <w:tmpl w:val="32A8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D54C2"/>
    <w:multiLevelType w:val="hybridMultilevel"/>
    <w:tmpl w:val="87A2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DE5945"/>
    <w:multiLevelType w:val="hybridMultilevel"/>
    <w:tmpl w:val="DC5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122D2"/>
    <w:multiLevelType w:val="hybridMultilevel"/>
    <w:tmpl w:val="DC5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9D5"/>
    <w:rsid w:val="002B39A6"/>
    <w:rsid w:val="00393F92"/>
    <w:rsid w:val="003B0198"/>
    <w:rsid w:val="003F24F3"/>
    <w:rsid w:val="00504A40"/>
    <w:rsid w:val="00512A5F"/>
    <w:rsid w:val="00525D3C"/>
    <w:rsid w:val="008F53DA"/>
    <w:rsid w:val="0095139F"/>
    <w:rsid w:val="00C8796D"/>
    <w:rsid w:val="00F268A4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EA42C5-5881-4BA0-98D9-CBDAB6C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D5"/>
    <w:pPr>
      <w:ind w:left="720"/>
      <w:contextualSpacing/>
    </w:pPr>
  </w:style>
  <w:style w:type="paragraph" w:customStyle="1" w:styleId="a4">
    <w:name w:val="А"/>
    <w:basedOn w:val="a"/>
    <w:qFormat/>
    <w:rsid w:val="00504A40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admin</cp:lastModifiedBy>
  <cp:revision>2</cp:revision>
  <dcterms:created xsi:type="dcterms:W3CDTF">2014-03-07T02:36:00Z</dcterms:created>
  <dcterms:modified xsi:type="dcterms:W3CDTF">2014-03-07T02:36:00Z</dcterms:modified>
</cp:coreProperties>
</file>