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F2" w:rsidRPr="00744409" w:rsidRDefault="00AD6AD2" w:rsidP="00744409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 w:eastAsia="uk-UA"/>
        </w:rPr>
      </w:pPr>
      <w:r w:rsidRPr="00744409">
        <w:rPr>
          <w:b/>
          <w:sz w:val="28"/>
          <w:szCs w:val="28"/>
          <w:lang w:val="uk-UA" w:eastAsia="uk-UA"/>
        </w:rPr>
        <w:t>СОДЕРЖАНИЕ</w:t>
      </w:r>
    </w:p>
    <w:p w:rsidR="00AD6AD2" w:rsidRPr="00744409" w:rsidRDefault="00AD6AD2" w:rsidP="00744409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 w:eastAsia="uk-UA"/>
        </w:rPr>
      </w:pPr>
    </w:p>
    <w:p w:rsidR="00AD6AD2" w:rsidRPr="00744409" w:rsidRDefault="00744409" w:rsidP="0074440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eastAsia="uk-UA"/>
        </w:rPr>
      </w:pPr>
      <w:r w:rsidRPr="00744409">
        <w:rPr>
          <w:sz w:val="28"/>
          <w:szCs w:val="28"/>
          <w:lang w:eastAsia="uk-UA"/>
        </w:rPr>
        <w:t xml:space="preserve">Введение </w:t>
      </w:r>
    </w:p>
    <w:p w:rsidR="00AD6AD2" w:rsidRPr="00744409" w:rsidRDefault="00744409" w:rsidP="0074440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44409">
        <w:rPr>
          <w:sz w:val="28"/>
          <w:szCs w:val="28"/>
        </w:rPr>
        <w:t>Проблемность капитала банков в условиях</w:t>
      </w:r>
      <w:r>
        <w:rPr>
          <w:sz w:val="28"/>
          <w:szCs w:val="28"/>
        </w:rPr>
        <w:t xml:space="preserve"> м</w:t>
      </w:r>
      <w:r w:rsidRPr="00744409">
        <w:rPr>
          <w:sz w:val="28"/>
          <w:szCs w:val="28"/>
        </w:rPr>
        <w:t>ирового финансового кризиса</w:t>
      </w:r>
      <w:r w:rsidR="00AD6AD2" w:rsidRPr="00744409">
        <w:rPr>
          <w:sz w:val="28"/>
          <w:szCs w:val="28"/>
        </w:rPr>
        <w:t xml:space="preserve"> </w:t>
      </w:r>
    </w:p>
    <w:p w:rsidR="00AD6AD2" w:rsidRPr="00744409" w:rsidRDefault="00744409" w:rsidP="0074440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44409">
        <w:rPr>
          <w:sz w:val="28"/>
          <w:szCs w:val="28"/>
        </w:rPr>
        <w:t>Выводы и рекомендации</w:t>
      </w:r>
      <w:r w:rsidR="00AD6AD2" w:rsidRPr="00744409">
        <w:rPr>
          <w:sz w:val="28"/>
          <w:szCs w:val="28"/>
        </w:rPr>
        <w:t xml:space="preserve"> </w:t>
      </w:r>
    </w:p>
    <w:p w:rsidR="00AD6AD2" w:rsidRPr="00744409" w:rsidRDefault="00744409" w:rsidP="0074440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44409">
        <w:rPr>
          <w:sz w:val="28"/>
          <w:szCs w:val="28"/>
        </w:rPr>
        <w:t xml:space="preserve">Источники </w:t>
      </w:r>
    </w:p>
    <w:p w:rsidR="00AD6AD2" w:rsidRPr="00744409" w:rsidRDefault="00AD6AD2" w:rsidP="00744409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12ED3" w:rsidRPr="00744409" w:rsidRDefault="00912ED3" w:rsidP="00744409">
      <w:pPr>
        <w:widowControl w:val="0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744409">
        <w:rPr>
          <w:iCs/>
          <w:sz w:val="28"/>
          <w:szCs w:val="28"/>
          <w:lang w:val="uk-UA"/>
        </w:rPr>
        <w:br w:type="page"/>
      </w:r>
    </w:p>
    <w:p w:rsidR="00912ED3" w:rsidRPr="00744409" w:rsidRDefault="00912ED3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744409">
        <w:rPr>
          <w:b/>
          <w:iCs/>
          <w:sz w:val="28"/>
          <w:szCs w:val="28"/>
        </w:rPr>
        <w:t>ВВЕДЕНИЕ</w:t>
      </w:r>
    </w:p>
    <w:p w:rsidR="00912ED3" w:rsidRPr="00744409" w:rsidRDefault="00912ED3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E479F2" w:rsidRPr="00744409" w:rsidRDefault="00912ED3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744409">
        <w:rPr>
          <w:iCs/>
          <w:sz w:val="28"/>
          <w:szCs w:val="28"/>
        </w:rPr>
        <w:t>В работе р</w:t>
      </w:r>
      <w:r w:rsidR="00E479F2" w:rsidRPr="00744409">
        <w:rPr>
          <w:iCs/>
          <w:sz w:val="28"/>
          <w:szCs w:val="28"/>
        </w:rPr>
        <w:t>аскрыта роль достаточности капитала банковских учреждений для функционирования банковской системы страны в целом, особенно в условиях прогрессирующего финансового кризиса, анализируется степень ввода</w:t>
      </w:r>
      <w:r w:rsidR="00E479F2" w:rsidRPr="00744409">
        <w:rPr>
          <w:sz w:val="28"/>
          <w:szCs w:val="28"/>
        </w:rPr>
        <w:t xml:space="preserve"> </w:t>
      </w:r>
      <w:r w:rsidR="00E479F2" w:rsidRPr="00744409">
        <w:rPr>
          <w:iCs/>
          <w:sz w:val="28"/>
          <w:szCs w:val="28"/>
        </w:rPr>
        <w:t>принципов Базеля-П относительно определения и регуляции достаточности</w:t>
      </w:r>
      <w:r w:rsidR="00E479F2" w:rsidRPr="00744409">
        <w:rPr>
          <w:sz w:val="28"/>
          <w:szCs w:val="28"/>
        </w:rPr>
        <w:t xml:space="preserve"> </w:t>
      </w:r>
      <w:r w:rsidR="00E479F2" w:rsidRPr="00744409">
        <w:rPr>
          <w:iCs/>
          <w:sz w:val="28"/>
          <w:szCs w:val="28"/>
        </w:rPr>
        <w:t>капитала в отечественную банковскую практику, выделяются</w:t>
      </w:r>
      <w:r w:rsidR="00E479F2" w:rsidRPr="00744409">
        <w:rPr>
          <w:sz w:val="28"/>
          <w:szCs w:val="28"/>
        </w:rPr>
        <w:t xml:space="preserve"> </w:t>
      </w:r>
      <w:r w:rsidR="00E479F2" w:rsidRPr="00744409">
        <w:rPr>
          <w:iCs/>
          <w:sz w:val="28"/>
          <w:szCs w:val="28"/>
        </w:rPr>
        <w:t>направления этого процесса в Украине.</w:t>
      </w:r>
    </w:p>
    <w:p w:rsidR="005D0353" w:rsidRPr="00744409" w:rsidRDefault="005D0353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744409">
        <w:rPr>
          <w:sz w:val="28"/>
          <w:szCs w:val="28"/>
          <w:lang w:val="uk-UA" w:eastAsia="uk-UA"/>
        </w:rPr>
        <w:t>В</w:t>
      </w:r>
      <w:r w:rsidRPr="00744409">
        <w:rPr>
          <w:sz w:val="28"/>
          <w:szCs w:val="28"/>
          <w:lang w:eastAsia="uk-UA"/>
        </w:rPr>
        <w:t xml:space="preserve"> настоящее время финансовый кризис в Украине наиболее выразительно проявился в банковской сфере. У всех на глазах проблемы с достаточностью капитала одного банковского учреждения отрицательно сказались на ликвидности всей системы банков страны. Уже один этот факт доказывает актуальность обоснованного определения и оценки уровня достаточности капитала банковских учреждений. Они оказались неготовыми к системным трудностям, связанным прежде всего с дефицитом ликвидных средств на фоне ажиотажного изъятия депозитов и резкого роста доли проблемных кредитов в структуре кредитных портфелей банков. Такое положение требует, кроме всего прочего, принятия немедленных мер по рекапитализации отечественных банковских учреждений.</w:t>
      </w:r>
    </w:p>
    <w:p w:rsidR="005D0353" w:rsidRPr="00744409" w:rsidRDefault="005D0353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Разумеется, каждая национальная экономика ищет собственные пути, но существуют и определенные международные стандарты, которые дают возможность ориентироваться на действия развитых стран. Адаптируя мировой опыт к отечественным реалиям, можно сформировать эффективный механизм преодоления трудностей вообще и определения достаточности капитала в частности. Этот механизм необходим органам банковского надзора для того, чтобы обеспечить рекапитализацию банков Украины.</w:t>
      </w:r>
    </w:p>
    <w:p w:rsidR="005D0353" w:rsidRPr="00744409" w:rsidRDefault="005D0353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Вопросы, связанные с определением достаточности капитала банковских учреждений, в международной практике ре</w:t>
      </w:r>
      <w:r w:rsidR="00082A69" w:rsidRPr="00744409">
        <w:rPr>
          <w:sz w:val="28"/>
          <w:szCs w:val="28"/>
        </w:rPr>
        <w:t>гулируются документом Базельско</w:t>
      </w:r>
      <w:r w:rsidRPr="00744409">
        <w:rPr>
          <w:sz w:val="28"/>
          <w:szCs w:val="28"/>
        </w:rPr>
        <w:t xml:space="preserve">го комитета по банковскому надзору "Международная </w:t>
      </w:r>
      <w:r w:rsidRPr="00744409">
        <w:rPr>
          <w:sz w:val="28"/>
          <w:szCs w:val="28"/>
        </w:rPr>
        <w:lastRenderedPageBreak/>
        <w:t>конвергенция оценки капитала и стандарто</w:t>
      </w:r>
      <w:r w:rsidR="00082A69" w:rsidRPr="00744409">
        <w:rPr>
          <w:sz w:val="28"/>
          <w:szCs w:val="28"/>
        </w:rPr>
        <w:t>в капитала. Исправленная версия</w:t>
      </w:r>
      <w:r w:rsidRPr="00744409">
        <w:rPr>
          <w:sz w:val="28"/>
          <w:szCs w:val="28"/>
        </w:rPr>
        <w:t xml:space="preserve"> (далее — Базель-П). В большинстве стран с рыночной экономикой этот документ заменил предыдущее соглашение о капитале, принятое в 1988 г. (Базель-1), с дополнениями от 1996 г., которые к</w:t>
      </w:r>
      <w:r w:rsidR="00082A69" w:rsidRPr="00744409">
        <w:rPr>
          <w:sz w:val="28"/>
          <w:szCs w:val="28"/>
        </w:rPr>
        <w:t>асались оценки рыночных рисков</w:t>
      </w:r>
      <w:r w:rsidRPr="00744409">
        <w:rPr>
          <w:sz w:val="28"/>
          <w:szCs w:val="28"/>
        </w:rPr>
        <w:t>. Украинская банковская система также внедряет основные принципы Базеля-П.</w:t>
      </w:r>
    </w:p>
    <w:p w:rsidR="00082A69" w:rsidRPr="00744409" w:rsidRDefault="00082A69" w:rsidP="007444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br w:type="page"/>
      </w:r>
    </w:p>
    <w:p w:rsidR="00082A69" w:rsidRPr="00744409" w:rsidRDefault="00082A69" w:rsidP="00744409">
      <w:pPr>
        <w:widowControl w:val="0"/>
        <w:autoSpaceDE w:val="0"/>
        <w:autoSpaceDN w:val="0"/>
        <w:adjustRightInd w:val="0"/>
        <w:spacing w:line="360" w:lineRule="auto"/>
        <w:ind w:left="709"/>
        <w:rPr>
          <w:b/>
          <w:sz w:val="28"/>
          <w:szCs w:val="28"/>
        </w:rPr>
      </w:pPr>
      <w:r w:rsidRPr="00744409">
        <w:rPr>
          <w:b/>
          <w:sz w:val="28"/>
          <w:szCs w:val="28"/>
        </w:rPr>
        <w:t>ПРОБЛЕМНОСТЬ КАПИТАЛА БАНКОВ В УСЛОВИЯХ</w:t>
      </w:r>
      <w:r w:rsidR="00744409">
        <w:rPr>
          <w:b/>
          <w:sz w:val="28"/>
          <w:szCs w:val="28"/>
        </w:rPr>
        <w:t xml:space="preserve"> </w:t>
      </w:r>
      <w:r w:rsidRPr="00744409">
        <w:rPr>
          <w:b/>
          <w:sz w:val="28"/>
          <w:szCs w:val="28"/>
        </w:rPr>
        <w:t>МИРОВОГО ФИНАНСОВОГО КРИЗИСА</w:t>
      </w:r>
    </w:p>
    <w:p w:rsidR="00082A69" w:rsidRPr="00744409" w:rsidRDefault="00082A69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D0353" w:rsidRPr="00744409" w:rsidRDefault="005D0353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Остановимся подробнее на его важнейших положениях, проанализируем степень применения их в украинской банковской практике, выясним перспективы и направления утверждения тех или иных указаний документа на национальной почве.</w:t>
      </w:r>
    </w:p>
    <w:p w:rsidR="005D0353" w:rsidRPr="00744409" w:rsidRDefault="005D0353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Базель-Н включает следующие компоненты:</w:t>
      </w:r>
    </w:p>
    <w:p w:rsidR="005D0353" w:rsidRPr="00744409" w:rsidRDefault="005D0353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1. Минимальные требования к достаточности капитала.</w:t>
      </w:r>
    </w:p>
    <w:p w:rsidR="005D0353" w:rsidRPr="00744409" w:rsidRDefault="005D0353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2. Надзорный процесс.</w:t>
      </w:r>
    </w:p>
    <w:p w:rsidR="005D0353" w:rsidRPr="00744409" w:rsidRDefault="005D0353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3. Раскрытие информации для поддержки рыночной дисциплины, при помощи которой финансовые рынки содействуют выполнению надзорным органом функции контроля за банковскими учреждениями и функции обеспечения соблюдения ими минимальных требований к достаточности капитала.</w:t>
      </w:r>
    </w:p>
    <w:p w:rsidR="005D0353" w:rsidRDefault="005D0353" w:rsidP="007444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Что касается расхождений и изменений в базельских документах, то от</w:t>
      </w:r>
      <w:r w:rsidR="002C7DF9" w:rsidRPr="00744409">
        <w:rPr>
          <w:sz w:val="28"/>
          <w:szCs w:val="28"/>
        </w:rPr>
        <w:t>метим, что в Базеле-</w:t>
      </w:r>
      <w:r w:rsidR="00772D11" w:rsidRPr="00744409">
        <w:rPr>
          <w:sz w:val="28"/>
          <w:szCs w:val="28"/>
        </w:rPr>
        <w:t>1</w:t>
      </w:r>
      <w:r w:rsidRPr="00744409">
        <w:rPr>
          <w:sz w:val="28"/>
          <w:szCs w:val="28"/>
        </w:rPr>
        <w:t xml:space="preserve"> выделены значимость и роль надзорного процесса в регулировании достаточности капитала каждого банковского учреждения. То есть формализация надзорного процесса приобретает особый вес, поскольку Базель-II позволяет наиболее эффективным банкам использовать вместо стандартизированных методов и единой классификации рисков системы внутренних рейтингов для расчета минимальных требований (рис. 1).</w:t>
      </w:r>
    </w:p>
    <w:p w:rsidR="00744409" w:rsidRDefault="0074440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44409" w:rsidRDefault="006A6DFD" w:rsidP="00744409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eastAsia="en-US"/>
        </w:rPr>
      </w:pPr>
      <w:r>
        <w:rPr>
          <w:noProof/>
        </w:rPr>
        <w:pict>
          <v:group id="_x0000_s1026" style="position:absolute;left:0;text-align:left;margin-left:20.55pt;margin-top:8.05pt;width:372pt;height:284.65pt;z-index:251657216;mso-wrap-distance-left:1.9pt;mso-wrap-distance-top:1.7pt;mso-wrap-distance-right:1.9pt;mso-wrap-distance-bottom:5.3pt;mso-position-horizontal-relative:margin" coordorigin="3902,6840" coordsize="7440,56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902;top:6840;width:7440;height:4502;mso-wrap-edited:f" wrapcoords="0 0 0 21600 21600 21600 21600 0 0 0" o:allowincell="f">
              <v:imagedata r:id="rId7" o:title="" gain="109227f" blacklevel="-3277f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848;top:11472;width:5477;height:1061;mso-wrap-edited:f" o:allowincell="f" filled="f" strokecolor="white" strokeweight="0">
              <v:imagedata gain="109227f" blacklevel="-3277f"/>
              <v:textbox inset="0,0,0,0">
                <w:txbxContent>
                  <w:p w:rsidR="005D0353" w:rsidRPr="0080487A" w:rsidRDefault="005D0353" w:rsidP="002C7DF9">
                    <w:pPr>
                      <w:pStyle w:val="Style4"/>
                      <w:widowControl/>
                      <w:jc w:val="center"/>
                      <w:rPr>
                        <w:rStyle w:val="FontStyle13"/>
                        <w:b w:val="0"/>
                        <w:bCs w:val="0"/>
                        <w:spacing w:val="-20"/>
                        <w:sz w:val="28"/>
                        <w:szCs w:val="28"/>
                      </w:rPr>
                    </w:pPr>
                    <w:r w:rsidRPr="0080487A">
                      <w:rPr>
                        <w:rStyle w:val="FontStyle12"/>
                        <w:b w:val="0"/>
                        <w:sz w:val="28"/>
                        <w:szCs w:val="28"/>
                      </w:rPr>
                      <w:t xml:space="preserve">Рис. </w:t>
                    </w:r>
                    <w:r w:rsidRPr="0080487A">
                      <w:rPr>
                        <w:rStyle w:val="FontStyle11"/>
                        <w:sz w:val="28"/>
                        <w:szCs w:val="28"/>
                      </w:rPr>
                      <w:t>1.</w:t>
                    </w:r>
                    <w:r w:rsidRPr="0080487A">
                      <w:rPr>
                        <w:rStyle w:val="FontStyle11"/>
                        <w:b/>
                        <w:sz w:val="28"/>
                        <w:szCs w:val="28"/>
                      </w:rPr>
                      <w:t xml:space="preserve"> </w:t>
                    </w:r>
                    <w:r w:rsidRPr="0080487A">
                      <w:rPr>
                        <w:rStyle w:val="FontStyle12"/>
                        <w:b w:val="0"/>
                        <w:sz w:val="28"/>
                        <w:szCs w:val="28"/>
                      </w:rPr>
                      <w:t>Структурные особенности Базеля-II по сравнению с Базелем-</w:t>
                    </w:r>
                    <w:r w:rsidR="002C7DF9" w:rsidRPr="0080487A">
                      <w:rPr>
                        <w:rStyle w:val="FontStyle11"/>
                        <w:spacing w:val="-20"/>
                        <w:sz w:val="28"/>
                        <w:szCs w:val="28"/>
                      </w:rPr>
                      <w:t>1</w:t>
                    </w:r>
                    <w:r w:rsidR="0080487A">
                      <w:rPr>
                        <w:rStyle w:val="FontStyle11"/>
                        <w:spacing w:val="-20"/>
                        <w:sz w:val="28"/>
                        <w:szCs w:val="28"/>
                      </w:rPr>
                      <w:t>:</w:t>
                    </w:r>
                  </w:p>
                </w:txbxContent>
              </v:textbox>
            </v:shape>
            <w10:wrap type="topAndBottom" anchorx="margin"/>
          </v:group>
        </w:pict>
      </w:r>
    </w:p>
    <w:p w:rsidR="005D0353" w:rsidRPr="00744409" w:rsidRDefault="005D0353" w:rsidP="007444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bCs/>
          <w:sz w:val="28"/>
          <w:szCs w:val="28"/>
          <w:lang w:val="en-US" w:eastAsia="en-US"/>
        </w:rPr>
        <w:t>SA</w:t>
      </w:r>
      <w:r w:rsidRPr="00744409">
        <w:rPr>
          <w:bCs/>
          <w:sz w:val="28"/>
          <w:szCs w:val="28"/>
          <w:lang w:eastAsia="en-US"/>
        </w:rPr>
        <w:t xml:space="preserve"> - стандартизированный подход; 1KB - подход, основанный на внутренних рейтингах; </w:t>
      </w:r>
      <w:r w:rsidRPr="00744409">
        <w:rPr>
          <w:bCs/>
          <w:sz w:val="28"/>
          <w:szCs w:val="28"/>
          <w:lang w:val="en-US" w:eastAsia="en-US"/>
        </w:rPr>
        <w:t>BIA</w:t>
      </w:r>
      <w:r w:rsidRPr="00744409">
        <w:rPr>
          <w:bCs/>
          <w:sz w:val="28"/>
          <w:szCs w:val="28"/>
          <w:lang w:eastAsia="en-US"/>
        </w:rPr>
        <w:t xml:space="preserve"> — подход, опирающийся на базовые индикаторы; АМА - прогрессивный подход на основе измерений</w:t>
      </w:r>
    </w:p>
    <w:p w:rsidR="005D0353" w:rsidRPr="00744409" w:rsidRDefault="005D0353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Контроль за соблюдением минимальных требований (1-й компонент) остался важнейшей составляющей Базеля-П. Капитал, определенный надзорными органами как источник покрытия неожиданных убытков, состоит из акционерного капитала и нераспределенной прибыли (капитал 1-го уровня, или основной капитал) и дополнительного капитала (капитал 2-го уровня). Банки могут привлекать и так называемый капитал 3-го уровня, включающий краткосрочные субординированные заимствования, которые при определенных условиях используются для соблюдения минимальных требований к достаточности капитала (рис. 2).</w:t>
      </w:r>
    </w:p>
    <w:p w:rsidR="00A42FDB" w:rsidRPr="00744409" w:rsidRDefault="005D0353" w:rsidP="007444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Согласно европейскому законодательству в рамках Директив Европейского Совета (96/6/ЕЭС от 15.03.1996 г., 89/299/ЕЭС от 17.04.1989 г., 86/635/ЕЭС</w:t>
      </w:r>
      <w:r w:rsidR="003644DB" w:rsidRPr="00744409">
        <w:rPr>
          <w:sz w:val="28"/>
          <w:szCs w:val="28"/>
        </w:rPr>
        <w:t xml:space="preserve"> </w:t>
      </w:r>
      <w:r w:rsidR="00A42FDB" w:rsidRPr="00744409">
        <w:rPr>
          <w:sz w:val="28"/>
          <w:szCs w:val="28"/>
        </w:rPr>
        <w:t>от 08.12.1986 г.), требования к минимальной величине капитала можно формализовать следующим выражением:</w:t>
      </w:r>
    </w:p>
    <w:p w:rsidR="00744409" w:rsidRDefault="0074440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A42FDB" w:rsidRPr="00744409" w:rsidRDefault="00A42FD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44409">
        <w:rPr>
          <w:bCs/>
          <w:sz w:val="28"/>
          <w:szCs w:val="28"/>
        </w:rPr>
        <w:t>В</w:t>
      </w:r>
      <w:r w:rsidR="00987F84" w:rsidRPr="00744409">
        <w:rPr>
          <w:bCs/>
          <w:sz w:val="28"/>
          <w:szCs w:val="28"/>
          <w:vertAlign w:val="subscript"/>
          <w:lang w:val="en-GB"/>
        </w:rPr>
        <w:t>min</w:t>
      </w:r>
      <w:r w:rsidRPr="00744409">
        <w:rPr>
          <w:bCs/>
          <w:sz w:val="28"/>
          <w:szCs w:val="28"/>
        </w:rPr>
        <w:t xml:space="preserve"> = К</w:t>
      </w:r>
      <w:r w:rsidRPr="00744409">
        <w:rPr>
          <w:bCs/>
          <w:sz w:val="28"/>
          <w:szCs w:val="28"/>
          <w:vertAlign w:val="subscript"/>
        </w:rPr>
        <w:t>р</w:t>
      </w:r>
      <w:r w:rsidRPr="00744409">
        <w:rPr>
          <w:sz w:val="28"/>
          <w:szCs w:val="28"/>
          <w:vertAlign w:val="subscript"/>
        </w:rPr>
        <w:t>ег</w:t>
      </w:r>
      <w:r w:rsidR="00987F84" w:rsidRPr="00744409">
        <w:rPr>
          <w:sz w:val="28"/>
          <w:szCs w:val="28"/>
        </w:rPr>
        <w:t>:</w:t>
      </w:r>
      <w:r w:rsidRPr="00744409">
        <w:rPr>
          <w:sz w:val="28"/>
          <w:szCs w:val="28"/>
        </w:rPr>
        <w:t>А</w:t>
      </w:r>
      <w:r w:rsidR="00987F84" w:rsidRPr="00744409">
        <w:rPr>
          <w:sz w:val="28"/>
          <w:szCs w:val="28"/>
          <w:vertAlign w:val="subscript"/>
        </w:rPr>
        <w:t>в</w:t>
      </w:r>
      <w:r w:rsidRPr="00744409">
        <w:rPr>
          <w:sz w:val="28"/>
          <w:szCs w:val="28"/>
          <w:vertAlign w:val="subscript"/>
        </w:rPr>
        <w:t>зв</w:t>
      </w:r>
      <w:r w:rsidRPr="00744409">
        <w:rPr>
          <w:bCs/>
          <w:sz w:val="28"/>
          <w:szCs w:val="28"/>
          <w:vertAlign w:val="subscript"/>
        </w:rPr>
        <w:t>.р</w:t>
      </w:r>
      <w:r w:rsidR="00987F84" w:rsidRPr="00744409">
        <w:rPr>
          <w:bCs/>
          <w:sz w:val="28"/>
          <w:szCs w:val="28"/>
        </w:rPr>
        <w:t>≥8%.</w:t>
      </w:r>
    </w:p>
    <w:p w:rsidR="00744409" w:rsidRDefault="00744409" w:rsidP="007444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FDB" w:rsidRDefault="00A42FDB" w:rsidP="007444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На практике это выражение означает, что отношение регулятивного капитала к активам, взвешенным по степени риска, не может быть меньше 8%. Рассчитывая активы, взвешенные по степени риска, банк должен учитывать и внебалансовые инструменты, взвешенные по степени риска. Аналогом данного коэффициента в украинской практике служит установленный НБУ норматив адекватности регулятивного капитала банковского учреждения (Н2), который относится к группе нормативов капитала. Сегодня значение Н2 достигает 10%, но банкиры настаивают на том, чтобы ввиду финансового кризиса его уровень был снижен до 8%, как принято в международной практике; это позволит высвободить часть банковского капитала для осуществления операций или предоставить банкам большую свободу действий.</w:t>
      </w:r>
    </w:p>
    <w:p w:rsidR="00744409" w:rsidRPr="00744409" w:rsidRDefault="00744409" w:rsidP="007444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42FDB" w:rsidRPr="00744409" w:rsidRDefault="006A6DFD" w:rsidP="007444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9" style="position:absolute;left:0;text-align:left;margin-left:48.3pt;margin-top:18.25pt;width:5in;height:204pt;z-index:251658240;mso-wrap-distance-left:1.9pt;mso-wrap-distance-right:1.9pt;mso-wrap-distance-bottom:11.3pt;mso-position-horizontal-relative:margin" coordorigin="1080,4248" coordsize="7200,4080">
            <v:shape id="_x0000_s1030" type="#_x0000_t75" style="position:absolute;left:1080;top:4248;width:7200;height:3840;mso-wrap-edited:f" wrapcoords="0 0 0 21600 21600 21600 21600 0 0 0" o:allowincell="f">
              <v:imagedata r:id="rId8" o:title="" gain="136533f" blacklevel="-3277f" grayscale="t"/>
            </v:shape>
            <v:shape id="_x0000_s1031" type="#_x0000_t202" style="position:absolute;left:2170;top:8098;width:5006;height:230;mso-wrap-edited:f" o:allowincell="f" filled="f" strokecolor="white" strokeweight="0">
              <v:textbox inset="0,0,0,0">
                <w:txbxContent>
                  <w:p w:rsidR="00A42FDB" w:rsidRDefault="00A42FDB" w:rsidP="00A42FDB">
                    <w:pPr>
                      <w:pStyle w:val="Style4"/>
                      <w:widowControl/>
                      <w:jc w:val="both"/>
                      <w:rPr>
                        <w:rStyle w:val="FontStyle13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A42FDB" w:rsidRPr="00744409">
        <w:rPr>
          <w:sz w:val="28"/>
          <w:szCs w:val="28"/>
        </w:rPr>
        <w:t>Рис. 2. Составляющие общего капитала банковского учреждения</w:t>
      </w:r>
    </w:p>
    <w:p w:rsidR="00AB67EB" w:rsidRPr="00744409" w:rsidRDefault="00AB67E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42FDB" w:rsidRPr="00744409" w:rsidRDefault="00A42FD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 xml:space="preserve">Статистика свидетельствует, что в 2007 г. значение Н2 снизилось с 14,19 до 13,92% и повысилось в 2008 г. до 14,01%. Но действия НБУ с целью рекапитализации банков страны, предпринятые с начала 2008 г., </w:t>
      </w:r>
      <w:r w:rsidRPr="00744409">
        <w:rPr>
          <w:sz w:val="28"/>
          <w:szCs w:val="28"/>
        </w:rPr>
        <w:lastRenderedPageBreak/>
        <w:t>демонстрируют дальнейшее увеличение норматива адекватности капитала банка Н2 (до 14,72% на 01.02.2009 г.). По нашему мнению, основными причинами улучшения данного норматива было резкое снижение банковских активов, взвешенных по риску (в связи с сокращением объемов кредитования в экономике Украины), а также ужесточение требований со стороны НБУ к размерам банковских резервов, которые прямо воздействуют на достаточность капитала банковских учреждений.</w:t>
      </w:r>
    </w:p>
    <w:p w:rsidR="00A42FDB" w:rsidRPr="00744409" w:rsidRDefault="00A42FD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Как видим, в целом ситуация с достаточностью капитала банковских учреждений Украины как будто бы дает основания для оптимизма. Однако, к сожалению, статистика по отдельным банкам настораживает: проблемы достаточности капитала приобрели такой характер, что НБУ был вынужден ввести временные администрации в этих учреждениях на период финансового оздоровления.</w:t>
      </w:r>
    </w:p>
    <w:p w:rsidR="00A42FDB" w:rsidRPr="00744409" w:rsidRDefault="00A42FD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В существующих обстоятельствах, когда НБУ должен усиливать требования к капиталу банковских учреждений с целью устранить последствия системного кризиса при огромном дефиците банковских ресурсов, следует, как нам представляется, внести изменения в порядок определения размера капитала. Согласно Базелю-П, при стандартизированном подходе к оценке банковских рисков (разновидность которого фактически применяется в Украине) в капитал 2-го уровня могут частично включаться общие резервы по кредитным операциям в размере не более 1,25% взвешенных по риску активов (параграф 242). У нас принято общие резервы по кредитным операциям банковских учреждений также включать в состав капитала 2-го уровня, но в полном объеме</w:t>
      </w:r>
      <w:r w:rsidRPr="00744409">
        <w:rPr>
          <w:sz w:val="28"/>
          <w:szCs w:val="28"/>
          <w:vertAlign w:val="superscript"/>
        </w:rPr>
        <w:t>5</w:t>
      </w:r>
      <w:r w:rsidRPr="00744409">
        <w:rPr>
          <w:sz w:val="28"/>
          <w:szCs w:val="28"/>
        </w:rPr>
        <w:t>, из-за чего значительно завышаются реальные показатели достаточности банковского капитала по сравнению с международной практикой. Поэтому нужно привести порядок расчета размера банковского капитала в Украине в соответствие с международными стандартами.</w:t>
      </w:r>
    </w:p>
    <w:p w:rsidR="00A42FDB" w:rsidRPr="00744409" w:rsidRDefault="00A42FD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Национальный банк Украины начал работу, направленную на учет рисков в ходе определения адекватности регулятивного капитала, как того требует документ Базельского комитета "Поправка к Соглашению о капитале для включения рыночных рисков". Первым результатом этой работы стало внесение изменений в Инструкцию о порядке регулирования деятельности банков в Украине в части учета валютного риска при определении адекватности регулятивного капитала (постановление Правления НБУ от 17.12.2007 г. № 458). Этими изменениями предусмотрено требование по поддержке банками достаточного уровня регулятивного капитала для покрытия риска, который возникает в связи с превышением объемов активных операций со сроком погашения больше 1 года над пассивными операциями с аналогичным сроком погашения.</w:t>
      </w:r>
    </w:p>
    <w:p w:rsidR="00AB67EB" w:rsidRPr="00744409" w:rsidRDefault="00A42FD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 xml:space="preserve">Возвращаясь к Базелю-П, укажем, что Новым соглашением о капитале предусмотрены три разных варианта расчета кредитного и операционного рисков (см. рис. 1): </w:t>
      </w:r>
    </w:p>
    <w:p w:rsidR="00AB67EB" w:rsidRPr="00744409" w:rsidRDefault="00AB67E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 xml:space="preserve">- </w:t>
      </w:r>
      <w:r w:rsidR="00A42FDB" w:rsidRPr="00744409">
        <w:rPr>
          <w:sz w:val="28"/>
          <w:szCs w:val="28"/>
        </w:rPr>
        <w:t>подход, который базируется на внутренних рейтингах (</w:t>
      </w:r>
      <w:r w:rsidR="00A42FDB" w:rsidRPr="00744409">
        <w:rPr>
          <w:sz w:val="28"/>
          <w:szCs w:val="28"/>
          <w:lang w:val="en-US"/>
        </w:rPr>
        <w:t>IRB</w:t>
      </w:r>
      <w:r w:rsidR="00A42FDB" w:rsidRPr="00744409">
        <w:rPr>
          <w:sz w:val="28"/>
          <w:szCs w:val="28"/>
        </w:rPr>
        <w:t xml:space="preserve">); </w:t>
      </w:r>
    </w:p>
    <w:p w:rsidR="00AB67EB" w:rsidRPr="00744409" w:rsidRDefault="00AB67E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 xml:space="preserve">- </w:t>
      </w:r>
      <w:r w:rsidR="00A42FDB" w:rsidRPr="00744409">
        <w:rPr>
          <w:sz w:val="28"/>
          <w:szCs w:val="28"/>
        </w:rPr>
        <w:t>подход с учетом базовых индикаторов (</w:t>
      </w:r>
      <w:r w:rsidR="00A42FDB" w:rsidRPr="00744409">
        <w:rPr>
          <w:sz w:val="28"/>
          <w:szCs w:val="28"/>
          <w:lang w:val="en-US"/>
        </w:rPr>
        <w:t>BIA</w:t>
      </w:r>
      <w:r w:rsidR="00A42FDB" w:rsidRPr="00744409">
        <w:rPr>
          <w:sz w:val="28"/>
          <w:szCs w:val="28"/>
        </w:rPr>
        <w:t xml:space="preserve">); </w:t>
      </w:r>
    </w:p>
    <w:p w:rsidR="00AB67EB" w:rsidRPr="00744409" w:rsidRDefault="00AB67E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 xml:space="preserve">- </w:t>
      </w:r>
      <w:r w:rsidR="00A42FDB" w:rsidRPr="00744409">
        <w:rPr>
          <w:sz w:val="28"/>
          <w:szCs w:val="28"/>
        </w:rPr>
        <w:t xml:space="preserve">прогрессивный подход на основе измерений (АМА). </w:t>
      </w:r>
    </w:p>
    <w:p w:rsidR="00A42FDB" w:rsidRPr="00744409" w:rsidRDefault="00A42FD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Базельский комитет признал нецелесообразность сохранения единого стандарта оценки рисков для всех банков. Названные подходы различаются степенью точности оценки рисков, что позволяет банкам и надзорным органам выбрать самый приемлемый подход, отвечающий размеру, уровню развития и позиции на рынке каждого отдельного банковского учреждения. Использование усовершенствованных моделей оценки рисков может способствовать снижению требований к минимальной величине банковского капитала. То есть фактически новые условия Базеля-II соответствуют ориентации на риск в банковском надзоре.</w:t>
      </w:r>
    </w:p>
    <w:p w:rsidR="003C6F21" w:rsidRPr="00744409" w:rsidRDefault="00A42FD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Базелем-П предусмотрено также дальнейшее использование стандартизированного метода измерения рисков, который во многом аналогичен подходу, зафиксированному в Базеле-1, и главная цель применения которого заключается</w:t>
      </w:r>
      <w:r w:rsidRPr="00744409">
        <w:rPr>
          <w:sz w:val="28"/>
          <w:szCs w:val="28"/>
          <w:lang w:val="uk-UA"/>
        </w:rPr>
        <w:t xml:space="preserve"> втом,</w:t>
      </w:r>
      <w:r w:rsidRPr="00744409">
        <w:rPr>
          <w:sz w:val="28"/>
          <w:szCs w:val="28"/>
        </w:rPr>
        <w:t xml:space="preserve"> чтобы найти баланс между простотой и точностью. В пределах этого подхода устанавливаются фиксированные коэффициенты риска для каждой категории активов, однако предусматривается также возможность использовать внешние кредитные рейтинги, что повышает точность оценок. Базельский</w:t>
      </w:r>
      <w:r w:rsidR="00AB67EB" w:rsidRPr="00744409">
        <w:rPr>
          <w:sz w:val="28"/>
          <w:szCs w:val="28"/>
        </w:rPr>
        <w:t xml:space="preserve"> </w:t>
      </w:r>
      <w:r w:rsidR="003C6F21" w:rsidRPr="00744409">
        <w:rPr>
          <w:sz w:val="28"/>
          <w:szCs w:val="28"/>
        </w:rPr>
        <w:t>комитет считает, что большинство банков будет использовать стандартизированный подход как наилучшим образом соответствующий их деятельности и характеру принятых рисков.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Введенные Новым соглашением о капитале подходы, основанные на внутренних рейтингах (</w:t>
      </w:r>
      <w:r w:rsidRPr="00744409">
        <w:rPr>
          <w:sz w:val="28"/>
          <w:szCs w:val="28"/>
          <w:lang w:val="en-US"/>
        </w:rPr>
        <w:t>IRE</w:t>
      </w:r>
      <w:r w:rsidRPr="00744409">
        <w:rPr>
          <w:sz w:val="28"/>
          <w:szCs w:val="28"/>
        </w:rPr>
        <w:t xml:space="preserve">), допускают возможность использовать модели кредитного риска с целью расчета достаточности капитала, но при этом не принимают во внимание корреляцию между различными видами кредитов. </w:t>
      </w:r>
      <w:r w:rsidRPr="00744409">
        <w:rPr>
          <w:sz w:val="28"/>
          <w:szCs w:val="28"/>
          <w:lang w:val="en-US"/>
        </w:rPr>
        <w:t>IRB</w:t>
      </w:r>
      <w:r w:rsidR="00AB67EB" w:rsidRPr="00744409">
        <w:rPr>
          <w:sz w:val="28"/>
          <w:szCs w:val="28"/>
        </w:rPr>
        <w:t>-подхо</w:t>
      </w:r>
      <w:r w:rsidRPr="00744409">
        <w:rPr>
          <w:sz w:val="28"/>
          <w:szCs w:val="28"/>
        </w:rPr>
        <w:t>ды предусматривают создание банком систем рейтингования заемщиков на основе вероятности их дефолта в течение определенного промежутка времени.</w:t>
      </w:r>
    </w:p>
    <w:p w:rsidR="00AB67EB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 xml:space="preserve">Для банков, использующих В1А-подход, надзорные органы устанавливают значения ряда показателей, как то: </w:t>
      </w:r>
    </w:p>
    <w:p w:rsidR="00AB67EB" w:rsidRPr="00744409" w:rsidRDefault="00AB67E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 xml:space="preserve">- </w:t>
      </w:r>
      <w:r w:rsidR="003C6F21" w:rsidRPr="00744409">
        <w:rPr>
          <w:sz w:val="28"/>
          <w:szCs w:val="28"/>
        </w:rPr>
        <w:t xml:space="preserve">убытки в случае дефолта; </w:t>
      </w:r>
    </w:p>
    <w:p w:rsidR="00AB67EB" w:rsidRPr="00744409" w:rsidRDefault="00AB67E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 xml:space="preserve">- </w:t>
      </w:r>
      <w:r w:rsidR="003C6F21" w:rsidRPr="00744409">
        <w:rPr>
          <w:sz w:val="28"/>
          <w:szCs w:val="28"/>
        </w:rPr>
        <w:t xml:space="preserve">общая абсолютная величина потенциальных убытков по кредиту или другому продукту; </w:t>
      </w:r>
    </w:p>
    <w:p w:rsidR="00AB67EB" w:rsidRPr="00744409" w:rsidRDefault="00AB67E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 xml:space="preserve">- </w:t>
      </w:r>
      <w:r w:rsidR="003C6F21" w:rsidRPr="00744409">
        <w:rPr>
          <w:sz w:val="28"/>
          <w:szCs w:val="28"/>
        </w:rPr>
        <w:t xml:space="preserve">корректировки, связанные с определением периода, в течение которого банк несет риск по кредиту или другому продукту; </w:t>
      </w:r>
    </w:p>
    <w:p w:rsidR="003C6F21" w:rsidRPr="00744409" w:rsidRDefault="00AB67E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 xml:space="preserve">- </w:t>
      </w:r>
      <w:r w:rsidR="003C6F21" w:rsidRPr="00744409">
        <w:rPr>
          <w:sz w:val="28"/>
          <w:szCs w:val="28"/>
        </w:rPr>
        <w:t>ожидаемые убытки; неожиданные убытки.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Банки, использующие "прогрессивный" АМА-подход, должны самостоятельно определять названные показатели. Применение рассмотренных подходов предусматривает снижение требований к достаточности капитала, тем самым стимулируя банки к совершенствованию внутренних систем управления и оценки рисков, присущих банковской деятельности.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Так, Национальный банк Украины с целью проведения количественной оценки рисков, с которыми сталкиваются банки, осуществляет стресс-тестирование влияния на деятельность последних изменения внешних факторов. Стресс-тестирование опирается на данные форм статистической отчетности, которые подаются банками, и позволяет рассчитывать суммы дополнительных убытков (или доходов, которые могут быть получены банками), а также определять влияние рисков на капитализацию банковского сектора. В частности, стресс-тестирование влияния колебаний курса валют на деятельность банков, позволяющее отслеживать и прогнозировать прямые валютные риски, проводится с помощью чистой открытой позиции в иностранной валюте.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Результаты стресс-тестирования по состоянию на 1 января 2008 г. показали, что в случае колебания курса валют на 10% размер регулятивного капитала по банковскому сектору может измениться на 0,03%. Это говорит о несущественном влиянии прямого валютного риска на банковский сектор. Влияние колебаний валютного курса на размер регулятивного капитала невелико (как при ревальвации, так и при девальвации</w:t>
      </w:r>
      <w:r w:rsidRPr="00744409">
        <w:rPr>
          <w:sz w:val="28"/>
          <w:szCs w:val="28"/>
          <w:lang w:val="uk-UA"/>
        </w:rPr>
        <w:t xml:space="preserve"> гривни),</w:t>
      </w:r>
      <w:r w:rsidRPr="00744409">
        <w:rPr>
          <w:sz w:val="28"/>
          <w:szCs w:val="28"/>
        </w:rPr>
        <w:t xml:space="preserve"> что в условиях финансового кризиса и нестабильных валютных курсов приобретает особое значение.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Стресс-тестирование изменения процентной ставки основано на анализе разрывов между чувствительными к изменениям этой ставки активами и пассивами банка и моделировании изменений ставок. Так, по результатам стресс-тестирования на указанную дату банковский сектор Украины имел незначительный риск изменения процентной ставки. Значение индекса риска для активов и пассивов со сроком погашения до 1 года составляет 6,12%.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Во втором компоненте Базеля-П изложены ключевые начала банковского надзора, которые заключаются в фиксации того факта, что капитал банка соответствует характеру и объему рисков, им принятых. Согласно базельским принципам, надзорный орган должен своевременно вмешаться в деятельность банка, если капитал последнего не покрывает его потенциальные риски. Изложим этот момент конкретнее:</w:t>
      </w:r>
    </w:p>
    <w:p w:rsidR="00A42FDB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1. Надзорные органы исходят из того, что банки в своей деятельности поддерживают достаточность капитала на уровне, который превышает минимально установленный.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2. Банк должен использовать методики оценки достаточности совокупного капитала во взаимосвязи с характером и объемами принятых им рисков, а также стратегией поддержки различных уровней капитала.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3. Надзорные органы обязаны проверять и анализировать адекватность внутрибанковских оценок достаточности капитала и стратегии его поддержки, а также соблюдение банками регулятивных требований к достаточности капитала.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4. Надзорные органы должны предпринимать незамедлительные меры, если возникает угроза падения уровня достаточности капитала ниже минимально установленного значения.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Если проанализировать состояние и динамику соблюдения банками Украины минимального размера регулятивного капитала, то увидим положительные тенденции. В 2008 г. наблюдалось заметное наращивание регулятивного капитала - на 50,77 млрд. грн. (70,2%), общий объем составил 123,06 млрд. грн.Это произошло в основном за счет роста фактически уплаченного зарегистрированного уставного капитала, переоценки основных средств, прибыли, включаемой в расчет капитала, субординированного долга, резервных фондов и общих резервов.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 xml:space="preserve">Третий компонент Базеля-II устанавливает минимальные требования к объему и составу информации, которая подлежит обнародованию. Такая информация позволяет другим участникам рынка оценить деятельность банка, достаточность его капитала и соблюдение им рыночной </w:t>
      </w:r>
      <w:r w:rsidR="00AB67EB" w:rsidRPr="00744409">
        <w:rPr>
          <w:sz w:val="28"/>
          <w:szCs w:val="28"/>
        </w:rPr>
        <w:t>дисциплины. Но при этом Базель-П</w:t>
      </w:r>
      <w:r w:rsidRPr="00744409">
        <w:rPr>
          <w:sz w:val="28"/>
          <w:szCs w:val="28"/>
        </w:rPr>
        <w:t xml:space="preserve"> не отменяет практику, когда надзорные органы воздерживаются от широкого обнародования своих выводов касательно отдельных банков. Новые минимальные требования к достаточности капитала, содержа</w:t>
      </w:r>
      <w:r w:rsidR="00AB67EB" w:rsidRPr="00744409">
        <w:rPr>
          <w:sz w:val="28"/>
          <w:szCs w:val="28"/>
        </w:rPr>
        <w:t>щиеся в Базеле-П</w:t>
      </w:r>
      <w:r w:rsidRPr="00744409">
        <w:rPr>
          <w:sz w:val="28"/>
          <w:szCs w:val="28"/>
        </w:rPr>
        <w:t>, дополняют требования в отношении раскрытия информации, предусмотренные бухгалтерским учетом и финансовой отчетностью банковских учреждений. Устанавливая обязательность раскрытия определенной информации и обеспечивая достоверность ее по всем банкам, третий компонент Ба</w:t>
      </w:r>
      <w:r w:rsidR="00AB67EB" w:rsidRPr="00744409">
        <w:rPr>
          <w:sz w:val="28"/>
          <w:szCs w:val="28"/>
        </w:rPr>
        <w:t>зеля-П</w:t>
      </w:r>
      <w:r w:rsidRPr="00744409">
        <w:rPr>
          <w:sz w:val="28"/>
          <w:szCs w:val="28"/>
        </w:rPr>
        <w:t xml:space="preserve"> призван укрепить рыночную дисциплину как инструмент, способствующий выполнению задач надзорного органа по поддержке надежной и устойчивой банковской системы.</w:t>
      </w:r>
    </w:p>
    <w:p w:rsidR="00AB67EB" w:rsidRPr="00744409" w:rsidRDefault="00AB67EB" w:rsidP="0074440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br w:type="page"/>
      </w:r>
    </w:p>
    <w:p w:rsidR="00AB67EB" w:rsidRPr="00744409" w:rsidRDefault="00AB67E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744409">
        <w:rPr>
          <w:b/>
          <w:sz w:val="28"/>
          <w:szCs w:val="28"/>
        </w:rPr>
        <w:t>ВЫВОДЫ И РЕКОМЕНДАЦИИ</w:t>
      </w:r>
    </w:p>
    <w:p w:rsidR="00AB67EB" w:rsidRPr="00744409" w:rsidRDefault="00AB67EB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Итак, в условиях финансового кризиса вопросы достаточности капитала банковских учреждений становятся особенно актуальными. Системность банковского кризиса в Украине доказывает необходимость внедрить новые механизмы измерения и контроля за величиной банковского капитала. В этом русле следует признать целесообразным, чтобы Национальный банк Украины взвешенно адаптировал международные стандарты регулирования достаточности капитала банковских учреждений к нашей практике и нашел собственные оптимальные пути оценки и рекапитализации отечественных банков. Главным международным документом в сфере определения и регулирования минимального размера банковск</w:t>
      </w:r>
      <w:r w:rsidR="00AB67EB" w:rsidRPr="00744409">
        <w:rPr>
          <w:sz w:val="28"/>
          <w:szCs w:val="28"/>
        </w:rPr>
        <w:t>ого капитала считается Базель-П</w:t>
      </w:r>
      <w:r w:rsidRPr="00744409">
        <w:rPr>
          <w:sz w:val="28"/>
          <w:szCs w:val="28"/>
        </w:rPr>
        <w:t>. Чтобы усовершенствовать работу по адаптации его важнейших принципов к украинской практике, а также выделить собственные направления рекапитализации банковской системы Украины, по нашему мнению, целесообразно осуществить следующие меры: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во-первых, порядок расчета размера капитала привести в соответствие с международными стандартами (это касается включения общих резервов в размер капитала банка);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во-вторых, органы банковского надзора должны требовать от банковских учреждений поддержки достаточности капитала на уровне, превышающем минимально установленный (возможно, следует установить конкретные пределы такого превышения для каждой группы банков);</w:t>
      </w:r>
    </w:p>
    <w:p w:rsidR="00AB67EB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в-третьих, Национальный банк Украины должен разработать план действий по переходу отечественной банковской системы к оценке достаточности капитала с учетом рисков.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Для этого нужно сформировать новый методологический инструментарий. Подход на основе внутренних рейтингов (</w:t>
      </w:r>
      <w:r w:rsidRPr="00744409">
        <w:rPr>
          <w:sz w:val="28"/>
          <w:szCs w:val="28"/>
          <w:lang w:val="en-US"/>
        </w:rPr>
        <w:t>IRB</w:t>
      </w:r>
      <w:r w:rsidRPr="00744409">
        <w:rPr>
          <w:sz w:val="28"/>
          <w:szCs w:val="28"/>
        </w:rPr>
        <w:t>-подход) следует считать приоритетным, поскольку он оптимально сочетает отечественную систему банковского надзора с международными стандартами.</w:t>
      </w:r>
    </w:p>
    <w:p w:rsidR="003C6F21" w:rsidRPr="00744409" w:rsidRDefault="003C6F21" w:rsidP="0074440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44409">
        <w:rPr>
          <w:sz w:val="28"/>
          <w:szCs w:val="28"/>
        </w:rPr>
        <w:t>В целом осуществление перечисленных мер позволит улучшить ситуацию в банковском секторе в отношении соблюдения банками минимального размера капитала, необходимого для покрытия непредусмотренных рисков, а следовательно, ослабить негативные последствия системного финансового кризиса в Украине.</w:t>
      </w:r>
    </w:p>
    <w:p w:rsidR="00744409" w:rsidRDefault="00744409" w:rsidP="0074440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44409" w:rsidRDefault="0074440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D0353" w:rsidRPr="00744409" w:rsidRDefault="00AB67EB" w:rsidP="00744409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  <w:r w:rsidRPr="00744409">
        <w:rPr>
          <w:b/>
          <w:sz w:val="28"/>
          <w:szCs w:val="28"/>
        </w:rPr>
        <w:t>ИСТОЧНИКИ</w:t>
      </w:r>
    </w:p>
    <w:p w:rsidR="005D0353" w:rsidRPr="00744409" w:rsidRDefault="005D0353" w:rsidP="00744409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</w:p>
    <w:p w:rsidR="00227EAE" w:rsidRPr="00744409" w:rsidRDefault="002C7DF9" w:rsidP="00744409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  <w:lang w:val="en-US"/>
        </w:rPr>
      </w:pPr>
      <w:r w:rsidRPr="00744409">
        <w:rPr>
          <w:bCs/>
          <w:sz w:val="28"/>
          <w:szCs w:val="28"/>
          <w:lang w:val="en-US"/>
        </w:rPr>
        <w:t>"</w:t>
      </w:r>
      <w:r w:rsidRPr="00744409">
        <w:rPr>
          <w:bCs/>
          <w:sz w:val="28"/>
          <w:szCs w:val="28"/>
        </w:rPr>
        <w:t>Международная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конвергенция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оценки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капитала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и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стандартов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капитала</w:t>
      </w:r>
      <w:r w:rsidRPr="00744409">
        <w:rPr>
          <w:bCs/>
          <w:sz w:val="28"/>
          <w:szCs w:val="28"/>
          <w:lang w:val="en-US"/>
        </w:rPr>
        <w:t>" (International Convergence of Capital Measurement and Capital Standards,</w:t>
      </w:r>
      <w:r w:rsidRPr="00744409">
        <w:rPr>
          <w:bCs/>
          <w:sz w:val="28"/>
          <w:szCs w:val="28"/>
          <w:lang w:val="uk-UA"/>
        </w:rPr>
        <w:t xml:space="preserve"> Базель-І), </w:t>
      </w:r>
      <w:r w:rsidR="00227EAE" w:rsidRPr="00744409">
        <w:rPr>
          <w:bCs/>
          <w:sz w:val="28"/>
          <w:szCs w:val="28"/>
          <w:lang w:val="en-US"/>
        </w:rPr>
        <w:t xml:space="preserve">1988 </w:t>
      </w:r>
      <w:r w:rsidR="00227EAE" w:rsidRPr="00744409">
        <w:rPr>
          <w:bCs/>
          <w:sz w:val="28"/>
          <w:szCs w:val="28"/>
        </w:rPr>
        <w:t>г</w:t>
      </w:r>
      <w:r w:rsidR="00227EAE" w:rsidRPr="00744409">
        <w:rPr>
          <w:bCs/>
          <w:sz w:val="28"/>
          <w:szCs w:val="28"/>
          <w:lang w:val="en-US"/>
        </w:rPr>
        <w:t>.</w:t>
      </w:r>
    </w:p>
    <w:p w:rsidR="00227EAE" w:rsidRPr="00744409" w:rsidRDefault="002C7DF9" w:rsidP="00744409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  <w:lang w:val="en-US"/>
        </w:rPr>
      </w:pPr>
      <w:r w:rsidRPr="00744409">
        <w:rPr>
          <w:bCs/>
          <w:sz w:val="28"/>
          <w:szCs w:val="28"/>
          <w:lang w:val="en-US"/>
        </w:rPr>
        <w:t>"</w:t>
      </w:r>
      <w:r w:rsidRPr="00744409">
        <w:rPr>
          <w:bCs/>
          <w:sz w:val="28"/>
          <w:szCs w:val="28"/>
        </w:rPr>
        <w:t>Дополнения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к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Соглашению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о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достаточности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капитала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с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целью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учета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рыночных</w:t>
      </w:r>
      <w:r w:rsidRPr="00744409">
        <w:rPr>
          <w:bCs/>
          <w:sz w:val="28"/>
          <w:szCs w:val="28"/>
          <w:lang w:val="en-US"/>
        </w:rPr>
        <w:t xml:space="preserve"> </w:t>
      </w:r>
      <w:r w:rsidRPr="00744409">
        <w:rPr>
          <w:bCs/>
          <w:sz w:val="28"/>
          <w:szCs w:val="28"/>
        </w:rPr>
        <w:t>рисков</w:t>
      </w:r>
      <w:r w:rsidRPr="00744409">
        <w:rPr>
          <w:bCs/>
          <w:sz w:val="28"/>
          <w:szCs w:val="28"/>
          <w:lang w:val="en-US"/>
        </w:rPr>
        <w:t>" (Amendment to the Capital Accord to Incorporate Market Risk</w:t>
      </w:r>
      <w:r w:rsidR="00227EAE" w:rsidRPr="00744409">
        <w:rPr>
          <w:bCs/>
          <w:sz w:val="28"/>
          <w:szCs w:val="28"/>
          <w:lang w:val="en-US"/>
        </w:rPr>
        <w:t xml:space="preserve">), 1996 </w:t>
      </w:r>
      <w:r w:rsidR="00227EAE" w:rsidRPr="00744409">
        <w:rPr>
          <w:bCs/>
          <w:sz w:val="28"/>
          <w:szCs w:val="28"/>
        </w:rPr>
        <w:t>г</w:t>
      </w:r>
      <w:r w:rsidR="00227EAE" w:rsidRPr="00744409">
        <w:rPr>
          <w:bCs/>
          <w:sz w:val="28"/>
          <w:szCs w:val="28"/>
          <w:lang w:val="en-US"/>
        </w:rPr>
        <w:t>.,</w:t>
      </w:r>
      <w:r w:rsidR="00227EAE" w:rsidRPr="00744409">
        <w:rPr>
          <w:sz w:val="28"/>
          <w:szCs w:val="28"/>
          <w:lang w:val="en-US"/>
        </w:rPr>
        <w:t xml:space="preserve"> </w:t>
      </w:r>
      <w:r w:rsidR="00227EAE" w:rsidRPr="00744409">
        <w:rPr>
          <w:bCs/>
          <w:sz w:val="28"/>
          <w:szCs w:val="28"/>
          <w:lang w:val="en-US"/>
        </w:rPr>
        <w:t xml:space="preserve">http://www bis.org/bcbs/index.htm — </w:t>
      </w:r>
      <w:r w:rsidR="00227EAE" w:rsidRPr="00744409">
        <w:rPr>
          <w:bCs/>
          <w:sz w:val="28"/>
          <w:szCs w:val="28"/>
        </w:rPr>
        <w:t>параграф</w:t>
      </w:r>
      <w:r w:rsidR="00227EAE" w:rsidRPr="00744409">
        <w:rPr>
          <w:bCs/>
          <w:sz w:val="28"/>
          <w:szCs w:val="28"/>
          <w:lang w:val="en-US"/>
        </w:rPr>
        <w:t xml:space="preserve"> 242.</w:t>
      </w:r>
    </w:p>
    <w:p w:rsidR="00227EAE" w:rsidRPr="00744409" w:rsidRDefault="002C7DF9" w:rsidP="00744409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  <w:lang w:val="en-US"/>
        </w:rPr>
      </w:pPr>
      <w:r w:rsidRPr="00744409">
        <w:rPr>
          <w:bCs/>
          <w:sz w:val="28"/>
          <w:szCs w:val="28"/>
        </w:rPr>
        <w:t>"Международная конвергенция оценки капитала и стандартов капитала. Исправленная</w:t>
      </w:r>
      <w:r w:rsidRPr="00744409">
        <w:rPr>
          <w:bCs/>
          <w:sz w:val="28"/>
          <w:szCs w:val="28"/>
          <w:lang w:val="en-GB"/>
        </w:rPr>
        <w:t xml:space="preserve"> </w:t>
      </w:r>
      <w:r w:rsidRPr="00744409">
        <w:rPr>
          <w:bCs/>
          <w:sz w:val="28"/>
          <w:szCs w:val="28"/>
        </w:rPr>
        <w:t>версия</w:t>
      </w:r>
      <w:r w:rsidRPr="00744409">
        <w:rPr>
          <w:bCs/>
          <w:sz w:val="28"/>
          <w:szCs w:val="28"/>
          <w:lang w:val="en-GB"/>
        </w:rPr>
        <w:t>"</w:t>
      </w:r>
      <w:r w:rsidRPr="00744409">
        <w:rPr>
          <w:bCs/>
          <w:sz w:val="28"/>
          <w:szCs w:val="28"/>
          <w:lang w:val="en-US"/>
        </w:rPr>
        <w:t xml:space="preserve"> (International Convergence of Capital Measurement and Capital Standards. A Revised Framework,</w:t>
      </w:r>
      <w:r w:rsidRPr="00744409">
        <w:rPr>
          <w:bCs/>
          <w:sz w:val="28"/>
          <w:szCs w:val="28"/>
          <w:lang w:val="en-GB"/>
        </w:rPr>
        <w:t xml:space="preserve"> </w:t>
      </w:r>
      <w:r w:rsidRPr="00744409">
        <w:rPr>
          <w:bCs/>
          <w:sz w:val="28"/>
          <w:szCs w:val="28"/>
        </w:rPr>
        <w:t>Базель</w:t>
      </w:r>
      <w:r w:rsidRPr="00744409">
        <w:rPr>
          <w:bCs/>
          <w:sz w:val="28"/>
          <w:szCs w:val="28"/>
          <w:lang w:val="en-GB"/>
        </w:rPr>
        <w:t>-</w:t>
      </w:r>
      <w:r w:rsidR="00227EAE" w:rsidRPr="00744409">
        <w:rPr>
          <w:bCs/>
          <w:sz w:val="28"/>
          <w:szCs w:val="28"/>
        </w:rPr>
        <w:t>П</w:t>
      </w:r>
      <w:r w:rsidRPr="00744409">
        <w:rPr>
          <w:bCs/>
          <w:sz w:val="28"/>
          <w:szCs w:val="28"/>
          <w:lang w:val="en-GB"/>
        </w:rPr>
        <w:t xml:space="preserve">), 2004 </w:t>
      </w:r>
      <w:r w:rsidRPr="00744409">
        <w:rPr>
          <w:bCs/>
          <w:sz w:val="28"/>
          <w:szCs w:val="28"/>
        </w:rPr>
        <w:t>г</w:t>
      </w:r>
      <w:r w:rsidRPr="00744409">
        <w:rPr>
          <w:bCs/>
          <w:sz w:val="28"/>
          <w:szCs w:val="28"/>
          <w:lang w:val="en-GB"/>
        </w:rPr>
        <w:t>.</w:t>
      </w:r>
      <w:r w:rsidRPr="00744409">
        <w:rPr>
          <w:bCs/>
          <w:sz w:val="28"/>
          <w:szCs w:val="28"/>
          <w:lang w:val="en-US"/>
        </w:rPr>
        <w:t xml:space="preserve"> http://www.bis.org.</w:t>
      </w:r>
    </w:p>
    <w:p w:rsidR="00227EAE" w:rsidRPr="00744409" w:rsidRDefault="00AB67EB" w:rsidP="00744409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  <w:lang w:val="en-GB"/>
        </w:rPr>
      </w:pPr>
      <w:r w:rsidRPr="00744409">
        <w:rPr>
          <w:bCs/>
          <w:sz w:val="28"/>
          <w:szCs w:val="28"/>
        </w:rPr>
        <w:t>Электронный ресурс Европейского Совета.</w:t>
      </w:r>
    </w:p>
    <w:p w:rsidR="00227EAE" w:rsidRPr="00744409" w:rsidRDefault="00AB67EB" w:rsidP="00744409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  <w:lang w:val="en-GB"/>
        </w:rPr>
      </w:pPr>
      <w:r w:rsidRPr="00744409">
        <w:rPr>
          <w:bCs/>
          <w:sz w:val="28"/>
          <w:szCs w:val="28"/>
          <w:lang w:val="en-US"/>
        </w:rPr>
        <w:t>http</w:t>
      </w:r>
      <w:r w:rsidRPr="00744409">
        <w:rPr>
          <w:bCs/>
          <w:sz w:val="28"/>
          <w:szCs w:val="28"/>
          <w:lang w:val="en-GB"/>
        </w:rPr>
        <w:t>://</w:t>
      </w:r>
      <w:r w:rsidRPr="00744409">
        <w:rPr>
          <w:bCs/>
          <w:sz w:val="28"/>
          <w:szCs w:val="28"/>
          <w:lang w:val="en-US"/>
        </w:rPr>
        <w:t>www</w:t>
      </w:r>
      <w:r w:rsidRPr="00744409">
        <w:rPr>
          <w:bCs/>
          <w:sz w:val="28"/>
          <w:szCs w:val="28"/>
          <w:lang w:val="en-GB"/>
        </w:rPr>
        <w:t>.</w:t>
      </w:r>
      <w:r w:rsidRPr="00744409">
        <w:rPr>
          <w:bCs/>
          <w:sz w:val="28"/>
          <w:szCs w:val="28"/>
          <w:lang w:val="en-US"/>
        </w:rPr>
        <w:t>bank</w:t>
      </w:r>
      <w:r w:rsidRPr="00744409">
        <w:rPr>
          <w:bCs/>
          <w:sz w:val="28"/>
          <w:szCs w:val="28"/>
          <w:lang w:val="en-GB"/>
        </w:rPr>
        <w:t>.</w:t>
      </w:r>
      <w:r w:rsidRPr="00744409">
        <w:rPr>
          <w:bCs/>
          <w:sz w:val="28"/>
          <w:szCs w:val="28"/>
          <w:lang w:val="en-US"/>
        </w:rPr>
        <w:t>gov</w:t>
      </w:r>
      <w:r w:rsidRPr="00744409">
        <w:rPr>
          <w:bCs/>
          <w:sz w:val="28"/>
          <w:szCs w:val="28"/>
          <w:lang w:val="en-GB"/>
        </w:rPr>
        <w:t>.</w:t>
      </w:r>
      <w:r w:rsidRPr="00744409">
        <w:rPr>
          <w:bCs/>
          <w:sz w:val="28"/>
          <w:szCs w:val="28"/>
          <w:lang w:val="en-US"/>
        </w:rPr>
        <w:t>ua</w:t>
      </w:r>
      <w:r w:rsidRPr="00744409">
        <w:rPr>
          <w:bCs/>
          <w:sz w:val="28"/>
          <w:szCs w:val="28"/>
          <w:lang w:val="en-GB"/>
        </w:rPr>
        <w:t>/</w:t>
      </w:r>
      <w:r w:rsidRPr="00744409">
        <w:rPr>
          <w:bCs/>
          <w:sz w:val="28"/>
          <w:szCs w:val="28"/>
          <w:lang w:val="en-US"/>
        </w:rPr>
        <w:t>Bank</w:t>
      </w:r>
      <w:r w:rsidRPr="00744409">
        <w:rPr>
          <w:bCs/>
          <w:sz w:val="28"/>
          <w:szCs w:val="28"/>
          <w:lang w:val="en-GB"/>
        </w:rPr>
        <w:t>_</w:t>
      </w:r>
      <w:r w:rsidRPr="00744409">
        <w:rPr>
          <w:bCs/>
          <w:sz w:val="28"/>
          <w:szCs w:val="28"/>
          <w:lang w:val="en-US"/>
        </w:rPr>
        <w:t>supeivision</w:t>
      </w:r>
      <w:r w:rsidRPr="00744409">
        <w:rPr>
          <w:bCs/>
          <w:sz w:val="28"/>
          <w:szCs w:val="28"/>
          <w:lang w:val="en-GB"/>
        </w:rPr>
        <w:t>/</w:t>
      </w:r>
      <w:r w:rsidRPr="00744409">
        <w:rPr>
          <w:bCs/>
          <w:sz w:val="28"/>
          <w:szCs w:val="28"/>
          <w:lang w:val="en-US"/>
        </w:rPr>
        <w:t>Econom</w:t>
      </w:r>
      <w:r w:rsidRPr="00744409">
        <w:rPr>
          <w:bCs/>
          <w:sz w:val="28"/>
          <w:szCs w:val="28"/>
          <w:lang w:val="en-GB"/>
        </w:rPr>
        <w:t>_</w:t>
      </w:r>
      <w:r w:rsidRPr="00744409">
        <w:rPr>
          <w:bCs/>
          <w:sz w:val="28"/>
          <w:szCs w:val="28"/>
          <w:lang w:val="en-US"/>
        </w:rPr>
        <w:t>norrns</w:t>
      </w:r>
      <w:r w:rsidRPr="00744409">
        <w:rPr>
          <w:bCs/>
          <w:sz w:val="28"/>
          <w:szCs w:val="28"/>
          <w:lang w:val="en-GB"/>
        </w:rPr>
        <w:t>/2009.</w:t>
      </w:r>
      <w:r w:rsidRPr="00744409">
        <w:rPr>
          <w:bCs/>
          <w:sz w:val="28"/>
          <w:szCs w:val="28"/>
          <w:lang w:val="en-US"/>
        </w:rPr>
        <w:t>htm</w:t>
      </w:r>
      <w:r w:rsidRPr="00744409">
        <w:rPr>
          <w:bCs/>
          <w:sz w:val="28"/>
          <w:szCs w:val="28"/>
          <w:lang w:val="en-GB"/>
        </w:rPr>
        <w:t>.</w:t>
      </w:r>
    </w:p>
    <w:p w:rsidR="00227EAE" w:rsidRPr="00744409" w:rsidRDefault="00AB67EB" w:rsidP="00744409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</w:rPr>
      </w:pPr>
      <w:r w:rsidRPr="00744409">
        <w:rPr>
          <w:bCs/>
          <w:sz w:val="28"/>
          <w:szCs w:val="28"/>
          <w:lang w:eastAsia="en-US"/>
        </w:rPr>
        <w:t xml:space="preserve">Инструкция о порядке регулирования деятельности банков Украины, утвержденная постановлением Правления НБУ от 28.08.2001 г. № 368. </w:t>
      </w:r>
      <w:r w:rsidRPr="00744409">
        <w:rPr>
          <w:bCs/>
          <w:sz w:val="28"/>
          <w:szCs w:val="28"/>
          <w:lang w:val="en-US" w:eastAsia="en-US"/>
        </w:rPr>
        <w:t>http</w:t>
      </w:r>
      <w:r w:rsidRPr="00744409">
        <w:rPr>
          <w:bCs/>
          <w:sz w:val="28"/>
          <w:szCs w:val="28"/>
          <w:lang w:eastAsia="en-US"/>
        </w:rPr>
        <w:t>://</w:t>
      </w:r>
      <w:r w:rsidRPr="00744409">
        <w:rPr>
          <w:bCs/>
          <w:sz w:val="28"/>
          <w:szCs w:val="28"/>
          <w:lang w:val="en-US" w:eastAsia="en-US"/>
        </w:rPr>
        <w:t>www</w:t>
      </w:r>
      <w:r w:rsidRPr="00744409">
        <w:rPr>
          <w:bCs/>
          <w:sz w:val="28"/>
          <w:szCs w:val="28"/>
          <w:lang w:eastAsia="en-US"/>
        </w:rPr>
        <w:t>.</w:t>
      </w:r>
      <w:r w:rsidRPr="00744409">
        <w:rPr>
          <w:bCs/>
          <w:sz w:val="28"/>
          <w:szCs w:val="28"/>
          <w:lang w:val="en-US" w:eastAsia="en-US"/>
        </w:rPr>
        <w:t>zakon</w:t>
      </w:r>
      <w:r w:rsidRPr="00744409">
        <w:rPr>
          <w:bCs/>
          <w:sz w:val="28"/>
          <w:szCs w:val="28"/>
          <w:lang w:eastAsia="en-US"/>
        </w:rPr>
        <w:t>.</w:t>
      </w:r>
      <w:r w:rsidRPr="00744409">
        <w:rPr>
          <w:bCs/>
          <w:sz w:val="28"/>
          <w:szCs w:val="28"/>
          <w:lang w:val="en-US" w:eastAsia="en-US"/>
        </w:rPr>
        <w:t>rada</w:t>
      </w:r>
      <w:r w:rsidRPr="00744409">
        <w:rPr>
          <w:bCs/>
          <w:sz w:val="28"/>
          <w:szCs w:val="28"/>
          <w:lang w:eastAsia="en-US"/>
        </w:rPr>
        <w:t>.</w:t>
      </w:r>
      <w:r w:rsidRPr="00744409">
        <w:rPr>
          <w:bCs/>
          <w:sz w:val="28"/>
          <w:szCs w:val="28"/>
          <w:lang w:val="en-US" w:eastAsia="en-US"/>
        </w:rPr>
        <w:t>gov</w:t>
      </w:r>
      <w:r w:rsidRPr="00744409">
        <w:rPr>
          <w:bCs/>
          <w:sz w:val="28"/>
          <w:szCs w:val="28"/>
          <w:lang w:eastAsia="en-US"/>
        </w:rPr>
        <w:t>.</w:t>
      </w:r>
      <w:r w:rsidRPr="00744409">
        <w:rPr>
          <w:bCs/>
          <w:sz w:val="28"/>
          <w:szCs w:val="28"/>
          <w:lang w:val="en-US" w:eastAsia="en-US"/>
        </w:rPr>
        <w:t>ua</w:t>
      </w:r>
      <w:r w:rsidRPr="00744409">
        <w:rPr>
          <w:bCs/>
          <w:sz w:val="28"/>
          <w:szCs w:val="28"/>
          <w:lang w:eastAsia="en-US"/>
        </w:rPr>
        <w:t xml:space="preserve"> - параграф 2.1.4.</w:t>
      </w:r>
    </w:p>
    <w:p w:rsidR="00227EAE" w:rsidRPr="00744409" w:rsidRDefault="00AB67EB" w:rsidP="00744409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</w:rPr>
      </w:pPr>
      <w:r w:rsidRPr="00744409">
        <w:rPr>
          <w:bCs/>
          <w:sz w:val="28"/>
          <w:szCs w:val="28"/>
        </w:rPr>
        <w:t xml:space="preserve">Годовой отчет о банковском надзоре в Украине за 2007 год. </w:t>
      </w:r>
      <w:r w:rsidRPr="00744409">
        <w:rPr>
          <w:bCs/>
          <w:sz w:val="28"/>
          <w:szCs w:val="28"/>
          <w:lang w:val="en-US"/>
        </w:rPr>
        <w:t>http</w:t>
      </w:r>
      <w:r w:rsidRPr="00744409">
        <w:rPr>
          <w:bCs/>
          <w:sz w:val="28"/>
          <w:szCs w:val="28"/>
        </w:rPr>
        <w:t>://</w:t>
      </w:r>
      <w:r w:rsidRPr="00744409">
        <w:rPr>
          <w:bCs/>
          <w:sz w:val="28"/>
          <w:szCs w:val="28"/>
          <w:lang w:val="en-US"/>
        </w:rPr>
        <w:t>www</w:t>
      </w:r>
      <w:r w:rsidRPr="00744409">
        <w:rPr>
          <w:bCs/>
          <w:sz w:val="28"/>
          <w:szCs w:val="28"/>
        </w:rPr>
        <w:t>.</w:t>
      </w:r>
      <w:r w:rsidRPr="00744409">
        <w:rPr>
          <w:bCs/>
          <w:sz w:val="28"/>
          <w:szCs w:val="28"/>
          <w:lang w:val="en-US"/>
        </w:rPr>
        <w:t>bank</w:t>
      </w:r>
      <w:r w:rsidRPr="00744409">
        <w:rPr>
          <w:bCs/>
          <w:sz w:val="28"/>
          <w:szCs w:val="28"/>
        </w:rPr>
        <w:t>.</w:t>
      </w:r>
      <w:r w:rsidRPr="00744409">
        <w:rPr>
          <w:bCs/>
          <w:sz w:val="28"/>
          <w:szCs w:val="28"/>
          <w:lang w:val="en-US"/>
        </w:rPr>
        <w:t>gov</w:t>
      </w:r>
      <w:r w:rsidRPr="00744409">
        <w:rPr>
          <w:bCs/>
          <w:sz w:val="28"/>
          <w:szCs w:val="28"/>
        </w:rPr>
        <w:t>.</w:t>
      </w:r>
      <w:r w:rsidRPr="00744409">
        <w:rPr>
          <w:bCs/>
          <w:sz w:val="28"/>
          <w:szCs w:val="28"/>
          <w:lang w:val="en-US"/>
        </w:rPr>
        <w:t>ua</w:t>
      </w:r>
      <w:r w:rsidRPr="00744409">
        <w:rPr>
          <w:bCs/>
          <w:sz w:val="28"/>
          <w:szCs w:val="28"/>
        </w:rPr>
        <w:t>.</w:t>
      </w:r>
    </w:p>
    <w:p w:rsidR="00AB67EB" w:rsidRPr="00744409" w:rsidRDefault="00227EAE" w:rsidP="00744409">
      <w:pPr>
        <w:pStyle w:val="a7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bCs/>
          <w:sz w:val="28"/>
          <w:szCs w:val="28"/>
        </w:rPr>
      </w:pPr>
      <w:r w:rsidRPr="00744409">
        <w:rPr>
          <w:bCs/>
          <w:sz w:val="28"/>
          <w:szCs w:val="28"/>
        </w:rPr>
        <w:t xml:space="preserve">По официальным </w:t>
      </w:r>
      <w:r w:rsidR="00AB67EB" w:rsidRPr="00744409">
        <w:rPr>
          <w:bCs/>
          <w:sz w:val="28"/>
          <w:szCs w:val="28"/>
        </w:rPr>
        <w:t xml:space="preserve">данным НБУ. </w:t>
      </w:r>
      <w:r w:rsidRPr="00744409">
        <w:rPr>
          <w:bCs/>
          <w:sz w:val="28"/>
          <w:szCs w:val="28"/>
          <w:lang w:val="en-US"/>
        </w:rPr>
        <w:t>http</w:t>
      </w:r>
      <w:r w:rsidRPr="00744409">
        <w:rPr>
          <w:bCs/>
          <w:sz w:val="28"/>
          <w:szCs w:val="28"/>
        </w:rPr>
        <w:t>://</w:t>
      </w:r>
      <w:r w:rsidRPr="00744409">
        <w:rPr>
          <w:bCs/>
          <w:sz w:val="28"/>
          <w:szCs w:val="28"/>
          <w:lang w:val="en-US"/>
        </w:rPr>
        <w:t>ww</w:t>
      </w:r>
      <w:r w:rsidRPr="00744409">
        <w:rPr>
          <w:bCs/>
          <w:sz w:val="28"/>
          <w:szCs w:val="28"/>
        </w:rPr>
        <w:t>.</w:t>
      </w:r>
      <w:r w:rsidRPr="00744409">
        <w:rPr>
          <w:bCs/>
          <w:sz w:val="28"/>
          <w:szCs w:val="28"/>
          <w:lang w:val="en-US"/>
        </w:rPr>
        <w:t>bank</w:t>
      </w:r>
      <w:r w:rsidRPr="00744409">
        <w:rPr>
          <w:bCs/>
          <w:sz w:val="28"/>
          <w:szCs w:val="28"/>
        </w:rPr>
        <w:t>.</w:t>
      </w:r>
      <w:r w:rsidRPr="00744409">
        <w:rPr>
          <w:bCs/>
          <w:sz w:val="28"/>
          <w:szCs w:val="28"/>
          <w:lang w:val="en-US"/>
        </w:rPr>
        <w:t>gov</w:t>
      </w:r>
      <w:r w:rsidRPr="00744409">
        <w:rPr>
          <w:bCs/>
          <w:sz w:val="28"/>
          <w:szCs w:val="28"/>
        </w:rPr>
        <w:t>.</w:t>
      </w:r>
      <w:r w:rsidRPr="00744409">
        <w:rPr>
          <w:bCs/>
          <w:sz w:val="28"/>
          <w:szCs w:val="28"/>
          <w:lang w:val="en-US"/>
        </w:rPr>
        <w:t>ua</w:t>
      </w:r>
      <w:r w:rsidRPr="00744409">
        <w:rPr>
          <w:bCs/>
          <w:sz w:val="28"/>
          <w:szCs w:val="28"/>
        </w:rPr>
        <w:t>/</w:t>
      </w:r>
      <w:r w:rsidRPr="00744409">
        <w:rPr>
          <w:bCs/>
          <w:sz w:val="28"/>
          <w:szCs w:val="28"/>
          <w:lang w:val="en-US"/>
        </w:rPr>
        <w:t>Bank</w:t>
      </w:r>
      <w:r w:rsidRPr="00744409">
        <w:rPr>
          <w:bCs/>
          <w:sz w:val="28"/>
          <w:szCs w:val="28"/>
        </w:rPr>
        <w:t xml:space="preserve">_ </w:t>
      </w:r>
      <w:r w:rsidRPr="00744409">
        <w:rPr>
          <w:bCs/>
          <w:sz w:val="28"/>
          <w:szCs w:val="28"/>
          <w:lang w:val="en-US"/>
        </w:rPr>
        <w:t>supervisiori</w:t>
      </w:r>
      <w:r w:rsidRPr="00744409">
        <w:rPr>
          <w:sz w:val="28"/>
          <w:szCs w:val="28"/>
        </w:rPr>
        <w:t>/</w:t>
      </w:r>
      <w:r w:rsidRPr="00744409">
        <w:rPr>
          <w:sz w:val="28"/>
          <w:szCs w:val="28"/>
          <w:lang w:val="en-US"/>
        </w:rPr>
        <w:t>r</w:t>
      </w:r>
      <w:r w:rsidRPr="00744409">
        <w:rPr>
          <w:bCs/>
          <w:sz w:val="28"/>
          <w:szCs w:val="28"/>
        </w:rPr>
        <w:t>^</w:t>
      </w:r>
      <w:r w:rsidRPr="00744409">
        <w:rPr>
          <w:bCs/>
          <w:sz w:val="28"/>
          <w:szCs w:val="28"/>
          <w:lang w:val="en-US"/>
        </w:rPr>
        <w:t>nom</w:t>
      </w:r>
      <w:r w:rsidRPr="00744409">
        <w:rPr>
          <w:bCs/>
          <w:sz w:val="28"/>
          <w:szCs w:val="28"/>
        </w:rPr>
        <w:t>_</w:t>
      </w:r>
      <w:r w:rsidRPr="00744409">
        <w:rPr>
          <w:bCs/>
          <w:sz w:val="28"/>
          <w:szCs w:val="28"/>
          <w:lang w:val="en-US"/>
        </w:rPr>
        <w:t>norms</w:t>
      </w:r>
      <w:r w:rsidRPr="00744409">
        <w:rPr>
          <w:bCs/>
          <w:sz w:val="28"/>
          <w:szCs w:val="28"/>
        </w:rPr>
        <w:t xml:space="preserve">/ </w:t>
      </w:r>
      <w:r w:rsidR="00AB67EB" w:rsidRPr="00744409">
        <w:rPr>
          <w:bCs/>
          <w:sz w:val="28"/>
          <w:szCs w:val="28"/>
        </w:rPr>
        <w:t>2009.</w:t>
      </w:r>
      <w:r w:rsidR="00AB67EB" w:rsidRPr="00744409">
        <w:rPr>
          <w:bCs/>
          <w:sz w:val="28"/>
          <w:szCs w:val="28"/>
          <w:lang w:val="en-US"/>
        </w:rPr>
        <w:t>htm</w:t>
      </w:r>
      <w:r w:rsidR="00AB67EB" w:rsidRPr="00744409">
        <w:rPr>
          <w:bCs/>
          <w:sz w:val="28"/>
          <w:szCs w:val="28"/>
        </w:rPr>
        <w:t>.</w:t>
      </w:r>
    </w:p>
    <w:p w:rsidR="005D0353" w:rsidRPr="00744409" w:rsidRDefault="005D0353" w:rsidP="00744409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5D0353" w:rsidRPr="00744409" w:rsidSect="00744409"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1A" w:rsidRDefault="00BC2B1A" w:rsidP="002C7DF9">
      <w:r>
        <w:separator/>
      </w:r>
    </w:p>
  </w:endnote>
  <w:endnote w:type="continuationSeparator" w:id="0">
    <w:p w:rsidR="00BC2B1A" w:rsidRDefault="00BC2B1A" w:rsidP="002C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1A" w:rsidRDefault="00BC2B1A" w:rsidP="002C7DF9">
      <w:r>
        <w:separator/>
      </w:r>
    </w:p>
  </w:footnote>
  <w:footnote w:type="continuationSeparator" w:id="0">
    <w:p w:rsidR="00BC2B1A" w:rsidRDefault="00BC2B1A" w:rsidP="002C7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DF9" w:rsidRDefault="006D340A" w:rsidP="00744409">
    <w:pPr>
      <w:pStyle w:val="a3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440515"/>
    <w:multiLevelType w:val="hybridMultilevel"/>
    <w:tmpl w:val="019E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353"/>
    <w:rsid w:val="00062912"/>
    <w:rsid w:val="00082A69"/>
    <w:rsid w:val="00227EAE"/>
    <w:rsid w:val="002C7DF9"/>
    <w:rsid w:val="003644DB"/>
    <w:rsid w:val="003C6F21"/>
    <w:rsid w:val="00512B7C"/>
    <w:rsid w:val="005D0353"/>
    <w:rsid w:val="006A6DFD"/>
    <w:rsid w:val="006D340A"/>
    <w:rsid w:val="00744409"/>
    <w:rsid w:val="00772D11"/>
    <w:rsid w:val="007B642A"/>
    <w:rsid w:val="007C5F05"/>
    <w:rsid w:val="0080487A"/>
    <w:rsid w:val="00820545"/>
    <w:rsid w:val="008D12B2"/>
    <w:rsid w:val="00912ED3"/>
    <w:rsid w:val="009853A3"/>
    <w:rsid w:val="00987F84"/>
    <w:rsid w:val="00A1760E"/>
    <w:rsid w:val="00A42FDB"/>
    <w:rsid w:val="00AB67EB"/>
    <w:rsid w:val="00AD6AD2"/>
    <w:rsid w:val="00BC2B1A"/>
    <w:rsid w:val="00CE4A47"/>
    <w:rsid w:val="00D42A24"/>
    <w:rsid w:val="00E479F2"/>
    <w:rsid w:val="00F1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E32E9C05-FDDA-4866-99DE-6B5C3B7B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6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D0353"/>
    <w:pPr>
      <w:widowControl w:val="0"/>
      <w:autoSpaceDE w:val="0"/>
      <w:autoSpaceDN w:val="0"/>
      <w:adjustRightInd w:val="0"/>
      <w:spacing w:line="197" w:lineRule="exact"/>
      <w:ind w:firstLine="605"/>
    </w:pPr>
  </w:style>
  <w:style w:type="paragraph" w:customStyle="1" w:styleId="Style4">
    <w:name w:val="Style4"/>
    <w:basedOn w:val="a"/>
    <w:uiPriority w:val="99"/>
    <w:rsid w:val="005D035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5D035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5D035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5D0353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2C7D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C7DF9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C7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C7DF9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B67EB"/>
    <w:pPr>
      <w:ind w:left="720"/>
      <w:contextualSpacing/>
    </w:pPr>
  </w:style>
  <w:style w:type="character" w:styleId="a8">
    <w:name w:val="Hyperlink"/>
    <w:uiPriority w:val="99"/>
    <w:rsid w:val="00227E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2692</Words>
  <Characters>15351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18007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Botanic</dc:creator>
  <cp:keywords/>
  <dc:description/>
  <cp:lastModifiedBy>admin</cp:lastModifiedBy>
  <cp:revision>2</cp:revision>
  <dcterms:created xsi:type="dcterms:W3CDTF">2014-03-01T14:08:00Z</dcterms:created>
  <dcterms:modified xsi:type="dcterms:W3CDTF">2014-03-01T14:08:00Z</dcterms:modified>
</cp:coreProperties>
</file>