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758" w:rsidRPr="00854079" w:rsidRDefault="007341C5" w:rsidP="00854079">
      <w:pPr>
        <w:pStyle w:val="a8"/>
      </w:pPr>
      <w:r w:rsidRPr="00854079">
        <w:t>Содержание</w:t>
      </w:r>
    </w:p>
    <w:p w:rsidR="007D5DE3" w:rsidRPr="00854079" w:rsidRDefault="007D5DE3" w:rsidP="00854079">
      <w:pPr>
        <w:pStyle w:val="a8"/>
      </w:pPr>
    </w:p>
    <w:p w:rsidR="007D5DE3" w:rsidRPr="00854079" w:rsidRDefault="007D5DE3" w:rsidP="007341C5">
      <w:pPr>
        <w:pStyle w:val="a8"/>
        <w:ind w:firstLine="0"/>
        <w:jc w:val="left"/>
      </w:pPr>
      <w:r w:rsidRPr="00854079">
        <w:t>Введение</w:t>
      </w:r>
    </w:p>
    <w:p w:rsidR="007D5DE3" w:rsidRPr="00854079" w:rsidRDefault="007341C5" w:rsidP="007341C5">
      <w:pPr>
        <w:pStyle w:val="a8"/>
        <w:ind w:firstLine="0"/>
        <w:jc w:val="left"/>
      </w:pPr>
      <w:r>
        <w:t xml:space="preserve">1. </w:t>
      </w:r>
      <w:r w:rsidR="007D5DE3" w:rsidRPr="00854079">
        <w:t>Общая</w:t>
      </w:r>
      <w:r w:rsidR="00854079" w:rsidRPr="00854079">
        <w:t xml:space="preserve"> </w:t>
      </w:r>
      <w:r w:rsidR="007D5DE3" w:rsidRPr="00854079">
        <w:t>характеристика стран с переходной экономикой</w:t>
      </w:r>
    </w:p>
    <w:p w:rsidR="007D5DE3" w:rsidRPr="00854079" w:rsidRDefault="007341C5" w:rsidP="007341C5">
      <w:pPr>
        <w:pStyle w:val="a8"/>
        <w:ind w:firstLine="0"/>
        <w:jc w:val="left"/>
      </w:pPr>
      <w:r>
        <w:t xml:space="preserve">2. </w:t>
      </w:r>
      <w:r w:rsidR="007D5DE3" w:rsidRPr="00854079">
        <w:t>Рыночные реформы посткоммунистических стран</w:t>
      </w:r>
    </w:p>
    <w:p w:rsidR="007D5DE3" w:rsidRPr="00854079" w:rsidRDefault="007341C5" w:rsidP="007341C5">
      <w:pPr>
        <w:pStyle w:val="a8"/>
        <w:ind w:firstLine="0"/>
        <w:jc w:val="left"/>
      </w:pPr>
      <w:r>
        <w:t xml:space="preserve">3. </w:t>
      </w:r>
      <w:r w:rsidR="007D5DE3" w:rsidRPr="00854079">
        <w:t>Тенденции развития стран с переходной экономикой</w:t>
      </w:r>
    </w:p>
    <w:p w:rsidR="007D5DE3" w:rsidRPr="00854079" w:rsidRDefault="007D5DE3" w:rsidP="007341C5">
      <w:pPr>
        <w:pStyle w:val="a8"/>
        <w:ind w:firstLine="0"/>
        <w:jc w:val="left"/>
      </w:pPr>
      <w:r w:rsidRPr="00854079">
        <w:t>Заключение</w:t>
      </w:r>
    </w:p>
    <w:p w:rsidR="007D5DE3" w:rsidRPr="00854079" w:rsidRDefault="007D5DE3" w:rsidP="007341C5">
      <w:pPr>
        <w:pStyle w:val="a8"/>
        <w:ind w:firstLine="0"/>
        <w:jc w:val="left"/>
      </w:pPr>
      <w:r w:rsidRPr="00854079">
        <w:t>Список используемой литературы</w:t>
      </w:r>
    </w:p>
    <w:p w:rsidR="007D5DE3" w:rsidRPr="00854079" w:rsidRDefault="007D5DE3" w:rsidP="00854079">
      <w:pPr>
        <w:pStyle w:val="a8"/>
      </w:pPr>
    </w:p>
    <w:p w:rsidR="007D5DE3" w:rsidRPr="00854079" w:rsidRDefault="001F5209" w:rsidP="00854079">
      <w:pPr>
        <w:pStyle w:val="a8"/>
      </w:pPr>
      <w:r>
        <w:br w:type="page"/>
      </w:r>
      <w:r w:rsidRPr="00854079">
        <w:t>Введение</w:t>
      </w:r>
    </w:p>
    <w:p w:rsidR="007D5DE3" w:rsidRPr="00854079" w:rsidRDefault="007D5DE3" w:rsidP="00854079">
      <w:pPr>
        <w:pStyle w:val="a8"/>
      </w:pPr>
    </w:p>
    <w:p w:rsidR="007D5DE3" w:rsidRPr="00854079" w:rsidRDefault="007D5DE3" w:rsidP="00854079">
      <w:pPr>
        <w:pStyle w:val="a8"/>
      </w:pPr>
      <w:r w:rsidRPr="00854079">
        <w:t>Изучение данной темы является чрезвычайно актуальным для современной экономической науки.</w:t>
      </w:r>
    </w:p>
    <w:p w:rsidR="007D5DE3" w:rsidRPr="00854079" w:rsidRDefault="007D5DE3" w:rsidP="00854079">
      <w:pPr>
        <w:pStyle w:val="a8"/>
      </w:pPr>
      <w:r w:rsidRPr="00854079">
        <w:t>Это связано с тем, что стремительное движение по преобразованию стран с централизованным планированием в страны, с рыночной экономикой спустя десять лет привело к тому, что</w:t>
      </w:r>
      <w:r w:rsidR="00854079" w:rsidRPr="00854079">
        <w:t xml:space="preserve"> </w:t>
      </w:r>
      <w:r w:rsidRPr="00854079">
        <w:t>одна группа стран приближается к финишной черте, другая застряла в разных пунктах на этом пути, а несколько стран едва сдвинулись с начальной точки. Некоторые страны Центральной и Восточной Европы (страны ЦВЕ) и страны Балтии стучатся в</w:t>
      </w:r>
      <w:r w:rsidR="00854079" w:rsidRPr="00854079">
        <w:t xml:space="preserve"> </w:t>
      </w:r>
      <w:r w:rsidRPr="00854079">
        <w:t>двери Европейского союза. Но во многих странах Содружества Независимых Государств (СНГ), в том числе в России, прогресс был неравномерным, и перспективы остаются туманными [3, с. 56].</w:t>
      </w:r>
    </w:p>
    <w:p w:rsidR="007D5DE3" w:rsidRPr="00854079" w:rsidRDefault="007D5DE3" w:rsidP="00854079">
      <w:pPr>
        <w:pStyle w:val="a8"/>
      </w:pPr>
      <w:r w:rsidRPr="00854079">
        <w:t>В связи со всем вышесказанным, целью данной работы является необходимость рассмотрения процесса экономического развития стран с переходной экономикой.</w:t>
      </w:r>
    </w:p>
    <w:p w:rsidR="00854079" w:rsidRPr="00854079" w:rsidRDefault="007D5DE3" w:rsidP="00854079">
      <w:pPr>
        <w:pStyle w:val="a8"/>
      </w:pPr>
      <w:r w:rsidRPr="00854079">
        <w:t>Достижение данной цели предполагает решение ряда следующих задач:</w:t>
      </w:r>
    </w:p>
    <w:p w:rsidR="007D5DE3" w:rsidRPr="00854079" w:rsidRDefault="007D5DE3" w:rsidP="00854079">
      <w:pPr>
        <w:pStyle w:val="a8"/>
      </w:pPr>
      <w:r w:rsidRPr="00854079">
        <w:t>Охарактеризовать понятие «страны с переходной экономикой».</w:t>
      </w:r>
    </w:p>
    <w:p w:rsidR="007D5DE3" w:rsidRPr="00854079" w:rsidRDefault="007D5DE3" w:rsidP="00854079">
      <w:pPr>
        <w:pStyle w:val="a8"/>
      </w:pPr>
      <w:r w:rsidRPr="00854079">
        <w:t>Описать процесс осуществления процесса проведения рыночных реформ в посткоммунистических странах.</w:t>
      </w:r>
    </w:p>
    <w:p w:rsidR="007D5DE3" w:rsidRPr="00854079" w:rsidRDefault="007D5DE3" w:rsidP="00854079">
      <w:pPr>
        <w:pStyle w:val="a8"/>
      </w:pPr>
      <w:r w:rsidRPr="00854079">
        <w:t>Выделить основные тенденции дальнейшего экономического развития стран с переходной экономикой.</w:t>
      </w:r>
    </w:p>
    <w:p w:rsidR="007D5DE3" w:rsidRPr="00854079" w:rsidRDefault="007D5DE3" w:rsidP="00854079">
      <w:pPr>
        <w:pStyle w:val="a8"/>
      </w:pPr>
      <w:r w:rsidRPr="00854079">
        <w:t>Предмет исследования – процесс экономического развития стран с переходной рыночной экономикой.</w:t>
      </w:r>
    </w:p>
    <w:p w:rsidR="00854079" w:rsidRPr="00854079" w:rsidRDefault="007D5DE3" w:rsidP="00854079">
      <w:pPr>
        <w:pStyle w:val="a8"/>
      </w:pPr>
      <w:r w:rsidRPr="00854079">
        <w:t>Объект исследования – особенности</w:t>
      </w:r>
      <w:r w:rsidR="00854079" w:rsidRPr="00854079">
        <w:t xml:space="preserve"> </w:t>
      </w:r>
      <w:r w:rsidRPr="00854079">
        <w:t>экономического развития стран с переходной рыночной экономикой.</w:t>
      </w:r>
    </w:p>
    <w:p w:rsidR="007D5DE3" w:rsidRPr="00854079" w:rsidRDefault="007D5DE3" w:rsidP="00854079">
      <w:pPr>
        <w:pStyle w:val="a8"/>
      </w:pPr>
      <w:r w:rsidRPr="00854079">
        <w:t>В процессе написания данной работы нами были использованы следующие методы:</w:t>
      </w:r>
    </w:p>
    <w:p w:rsidR="007D5DE3" w:rsidRPr="00854079" w:rsidRDefault="007D5DE3" w:rsidP="00854079">
      <w:pPr>
        <w:pStyle w:val="a8"/>
      </w:pPr>
      <w:r w:rsidRPr="00854079">
        <w:t>1. Анализ источников и</w:t>
      </w:r>
      <w:r w:rsidR="00854079" w:rsidRPr="00854079">
        <w:t xml:space="preserve"> </w:t>
      </w:r>
      <w:r w:rsidRPr="00854079">
        <w:t>используемой литературы.</w:t>
      </w:r>
    </w:p>
    <w:p w:rsidR="007D5DE3" w:rsidRPr="00854079" w:rsidRDefault="007D5DE3" w:rsidP="00854079">
      <w:pPr>
        <w:pStyle w:val="a8"/>
      </w:pPr>
      <w:r w:rsidRPr="00854079">
        <w:t>2. Сравнительный метод.</w:t>
      </w:r>
    </w:p>
    <w:p w:rsidR="007D5DE3" w:rsidRPr="00854079" w:rsidRDefault="007D5DE3" w:rsidP="00854079">
      <w:pPr>
        <w:pStyle w:val="a8"/>
      </w:pPr>
      <w:r w:rsidRPr="00854079">
        <w:t>Данная работа была написана с использованием учебной, и монографической</w:t>
      </w:r>
      <w:r w:rsidR="00854079" w:rsidRPr="00854079">
        <w:t xml:space="preserve"> </w:t>
      </w:r>
      <w:r w:rsidRPr="00854079">
        <w:t>литературы.</w:t>
      </w:r>
    </w:p>
    <w:p w:rsidR="007D5DE3" w:rsidRPr="00854079" w:rsidRDefault="007D5DE3" w:rsidP="00854079">
      <w:pPr>
        <w:pStyle w:val="a8"/>
      </w:pPr>
    </w:p>
    <w:p w:rsidR="00E61758" w:rsidRPr="00854079" w:rsidRDefault="001F5209" w:rsidP="00854079">
      <w:pPr>
        <w:pStyle w:val="a8"/>
      </w:pPr>
      <w:r>
        <w:br w:type="page"/>
        <w:t>1</w:t>
      </w:r>
      <w:r w:rsidR="00BD4BB6" w:rsidRPr="00854079">
        <w:t>. Общая</w:t>
      </w:r>
      <w:r w:rsidR="00854079" w:rsidRPr="00854079">
        <w:t xml:space="preserve"> </w:t>
      </w:r>
      <w:r w:rsidR="00BD4BB6" w:rsidRPr="00854079">
        <w:t>характеристика стран с переходной экономикой</w:t>
      </w:r>
    </w:p>
    <w:p w:rsidR="00E61758" w:rsidRPr="00854079" w:rsidRDefault="00E61758" w:rsidP="00854079">
      <w:pPr>
        <w:pStyle w:val="a8"/>
      </w:pPr>
    </w:p>
    <w:p w:rsidR="00E61758" w:rsidRPr="00854079" w:rsidRDefault="00BD4BB6" w:rsidP="00854079">
      <w:pPr>
        <w:pStyle w:val="a8"/>
      </w:pPr>
      <w:r w:rsidRPr="00854079">
        <w:t>Переходная экономика представляет собой состояние, когда одна система хозяйствования замещается другой [5, с. 451].</w:t>
      </w:r>
    </w:p>
    <w:p w:rsidR="00BD4BB6" w:rsidRPr="00854079" w:rsidRDefault="00BD4BB6" w:rsidP="00854079">
      <w:pPr>
        <w:pStyle w:val="a8"/>
      </w:pPr>
      <w:r w:rsidRPr="00854079">
        <w:t>Процесс этот продолжает относительно длительный период. Он характеризуется тем, что старая экономическая система еще продолжает жить, а у новой системы еще не накопилось достаточно сил, чтобы доказать свою более высокую эффективность и стать повсеместной. В результате в реальной экономике нарушается целостность и сосуществуют элементы и новой, и старой экономик [5, с. 451].</w:t>
      </w:r>
    </w:p>
    <w:p w:rsidR="00BD4BB6" w:rsidRPr="00854079" w:rsidRDefault="00BD4BB6" w:rsidP="00854079">
      <w:pPr>
        <w:pStyle w:val="a8"/>
      </w:pPr>
      <w:r w:rsidRPr="00854079">
        <w:t>Подобное переходное состояние наблюдалось при смене формаций, когда один вид цивилизации постепенно заменялся новым (рабовладельческий – феодальным, феодальный – капиталистическим).</w:t>
      </w:r>
    </w:p>
    <w:p w:rsidR="00BD4BB6" w:rsidRPr="00854079" w:rsidRDefault="00BD4BB6" w:rsidP="00854079">
      <w:pPr>
        <w:pStyle w:val="a8"/>
      </w:pPr>
      <w:r w:rsidRPr="00854079">
        <w:t>На современном этапе переходная экномика свойственная так называемым посткоммунистическим странам Европы и Азии, за исключением КНДР.</w:t>
      </w:r>
      <w:r w:rsidR="00854079" w:rsidRPr="00854079">
        <w:t xml:space="preserve"> </w:t>
      </w:r>
      <w:r w:rsidRPr="00854079">
        <w:t>Эта страна до сих пор еще работает в режиме централизованной директивной плановой системы. После распада СССР, Югославии и Чехословакии сформировались еще 29 посткоммунистических стран с переходной экономикой [5, с. 451].</w:t>
      </w:r>
    </w:p>
    <w:p w:rsidR="00BD4BB6" w:rsidRPr="00854079" w:rsidRDefault="00BD4BB6" w:rsidP="00854079">
      <w:pPr>
        <w:pStyle w:val="a8"/>
      </w:pPr>
      <w:r w:rsidRPr="00854079">
        <w:t>Население стран Центральной и Восточной Европы составляет 119 млн. чел. Совокупный ВВП составляет примерно $636 млрд., что представляет собой 1,85% общемирового ВВП</w:t>
      </w:r>
      <w:r w:rsidR="006B393F" w:rsidRPr="00854079">
        <w:t xml:space="preserve"> [2, с. 92]</w:t>
      </w:r>
      <w:r w:rsidRPr="00854079">
        <w:t>.</w:t>
      </w:r>
    </w:p>
    <w:p w:rsidR="006B393F" w:rsidRPr="00854079" w:rsidRDefault="006B393F" w:rsidP="00854079">
      <w:pPr>
        <w:pStyle w:val="a8"/>
      </w:pPr>
      <w:r w:rsidRPr="00854079">
        <w:t>За годы реформ только 20% населения бывших социалистических стран улучшило свой жизненный уровень, в то время как 35% превратились в слой «новых бедных» [2, с. 92].</w:t>
      </w:r>
    </w:p>
    <w:p w:rsidR="006B393F" w:rsidRPr="00854079" w:rsidRDefault="006B393F" w:rsidP="00854079">
      <w:pPr>
        <w:pStyle w:val="a8"/>
      </w:pPr>
      <w:r w:rsidRPr="00854079">
        <w:t>По исследованиям ООН в настоящее время здесь проживают почти 147 млн. человек имеющих доход менее $4 в день, по сравнению с 14 млн. человек с таким уровнем доходов в конце 80-х годов [2, с. 92].</w:t>
      </w:r>
    </w:p>
    <w:p w:rsidR="006B393F" w:rsidRPr="00854079" w:rsidRDefault="006B393F" w:rsidP="00854079">
      <w:pPr>
        <w:pStyle w:val="a8"/>
      </w:pPr>
      <w:r w:rsidRPr="00854079">
        <w:t>За годы реформ во всех постсоциалистических странах возникла и быстро выросла безработица, достигнув 10-16% экономически активного населения. В 1989 году безработица составляла 1,5-2% [2, с. 93].</w:t>
      </w:r>
    </w:p>
    <w:p w:rsidR="006B393F" w:rsidRPr="00854079" w:rsidRDefault="006B393F" w:rsidP="00854079">
      <w:pPr>
        <w:pStyle w:val="a8"/>
      </w:pPr>
      <w:r w:rsidRPr="00854079">
        <w:t>Наиболее привлекательным для западных инвесторов оказался инвестиционный климат Венгрии, Чехии и Словении, где накопленные иностранные инвестиции за 1989-2000 гг. на душу населения составили соответственно $1650, $970, $600 [2, с. 93].</w:t>
      </w:r>
    </w:p>
    <w:p w:rsidR="006B393F" w:rsidRPr="00854079" w:rsidRDefault="006B393F" w:rsidP="00854079">
      <w:pPr>
        <w:pStyle w:val="a8"/>
      </w:pPr>
      <w:r w:rsidRPr="00854079">
        <w:t>Практически все страны центральной восточной Европы имеют большую внешнюю задолженность при сравнительно не больших валютных резервах. Для всех этих стран характерно сокращение государственных расходов на здравоохранение, культуру и образование. В результате снижения уровня рождаемости в большинстве стран центральной восточной Европы в последнее десятилетие сократились темпы роста трудоспособного населения.</w:t>
      </w:r>
    </w:p>
    <w:p w:rsidR="00BD4BB6" w:rsidRPr="00854079" w:rsidRDefault="00BD4BB6" w:rsidP="00854079">
      <w:pPr>
        <w:pStyle w:val="a8"/>
      </w:pPr>
      <w:r w:rsidRPr="00854079">
        <w:t>По уровню социально-экономического развития почти все страны центральной восточной Европы относятся к среднеразвитым. В основном это индустриальные и индустриально-аграрные страны [1, с. 231].</w:t>
      </w:r>
    </w:p>
    <w:p w:rsidR="00BD4BB6" w:rsidRPr="00854079" w:rsidRDefault="00BD4BB6" w:rsidP="00854079">
      <w:pPr>
        <w:pStyle w:val="a8"/>
      </w:pPr>
      <w:r w:rsidRPr="00854079">
        <w:t>Все посткоммунистические страны испытывают трудности переходного периода.</w:t>
      </w:r>
      <w:r w:rsidR="006B393F" w:rsidRPr="00854079">
        <w:t xml:space="preserve"> Их экономика не является целостной системой, ввиду чего в ней затруднены механизмы сбалансированного роста и состояние национального хозяйства поэтому не представляется стабильным и равновесным.</w:t>
      </w:r>
    </w:p>
    <w:p w:rsidR="006B393F" w:rsidRPr="00854079" w:rsidRDefault="006B393F" w:rsidP="00854079">
      <w:pPr>
        <w:pStyle w:val="a8"/>
      </w:pPr>
      <w:r w:rsidRPr="00854079">
        <w:t>Экономический базис носит конфликтный характер, так как его старые и новые хозяйственные структуры демонстрируют альтернативные, часто противоположные способы их реализации. Подобная противоречивость чисто экономического порядка обуславливает острый характер социальных противоречий, что также усиливает тенденции неустойчивости хозяйственного и политического развития этих стран [5, с. 451].</w:t>
      </w:r>
    </w:p>
    <w:p w:rsidR="006B393F" w:rsidRPr="00854079" w:rsidRDefault="006B393F" w:rsidP="00854079">
      <w:pPr>
        <w:pStyle w:val="a8"/>
      </w:pPr>
      <w:r w:rsidRPr="00854079">
        <w:t>Во всех странах с переходной экономикой государство пытается</w:t>
      </w:r>
      <w:r w:rsidR="00854079" w:rsidRPr="00854079">
        <w:t xml:space="preserve"> </w:t>
      </w:r>
      <w:r w:rsidRPr="00854079">
        <w:t>усилить стабилизационные процессы, повысить конкурентоспособность отечественного производства, облегчить утверждение рыночных форм хозяйствования.</w:t>
      </w:r>
    </w:p>
    <w:p w:rsidR="00854079" w:rsidRPr="00854079" w:rsidRDefault="006B393F" w:rsidP="00854079">
      <w:pPr>
        <w:pStyle w:val="a8"/>
      </w:pPr>
      <w:r w:rsidRPr="00854079">
        <w:t>Проблема конкурентоспособности становится первоочередной, поскольку уход от централизованной плановой системы объясняется, прежде всего, низкой эффективностью производства, падением его доходности [5, с. 452].</w:t>
      </w:r>
    </w:p>
    <w:p w:rsidR="006B393F" w:rsidRPr="00854079" w:rsidRDefault="006B393F" w:rsidP="00854079">
      <w:pPr>
        <w:pStyle w:val="a8"/>
      </w:pPr>
      <w:r w:rsidRPr="00854079">
        <w:t>Страны Восточной Европы, весьма зависимые от внешних рынков, сталкивались с трудностями реализации</w:t>
      </w:r>
      <w:r w:rsidR="00AF77A4" w:rsidRPr="00854079">
        <w:t xml:space="preserve"> продукции на мировой рынке. Недостаточные экспортные возможности препятствовали валютным накоплениям и не позволяли приобрести нужное количество импортных товаров для жизнеобеспечения стран. Проблема конкурентоспособности, зависимости от ценовой динамики мирового рынка в этих странах ощущалась в более острой форме, чем в СССР, где внутренний рынок в силу своей емкости и диверсификации играл большую роль в воспроизводственном процессе, чем мировой рынок.</w:t>
      </w:r>
    </w:p>
    <w:p w:rsidR="00AF77A4" w:rsidRPr="00854079" w:rsidRDefault="00AF77A4" w:rsidP="00854079">
      <w:pPr>
        <w:pStyle w:val="a8"/>
      </w:pPr>
      <w:r w:rsidRPr="00854079">
        <w:t>В настоящее время структура ВВП стран данного региона распределена следующим образом:</w:t>
      </w:r>
    </w:p>
    <w:p w:rsidR="00AF77A4" w:rsidRPr="00854079" w:rsidRDefault="00AF77A4" w:rsidP="00854079">
      <w:pPr>
        <w:pStyle w:val="a8"/>
      </w:pPr>
      <w:r w:rsidRPr="00854079">
        <w:t>Доля промышленности составляет от 33% до 48%, Сельского хозяйства от 6 до 24%, Услуг от 28 до 58%. В то время как в 1988 году доля промышленности, например в Румынии, составляла 61%, в Болгарии 58%, в Чехословакии 57%, в Польше 52%, в Венгрии 36%.</w:t>
      </w:r>
    </w:p>
    <w:p w:rsidR="00AF77A4" w:rsidRPr="00854079" w:rsidRDefault="00AF77A4" w:rsidP="00854079">
      <w:pPr>
        <w:pStyle w:val="a8"/>
      </w:pPr>
      <w:r w:rsidRPr="00854079">
        <w:t>В промышленности стран центральной восточной Европы спад охватил тяжелую промышленность и высокотехнологичные области, включая электронику. Наиболее устойчивыми оказались отрасли промышленности ориентированные на массовый потребительский спрос, такие как: текстильная, пищевая, полиграфическая и т.д.</w:t>
      </w:r>
    </w:p>
    <w:p w:rsidR="00AF77A4" w:rsidRPr="00854079" w:rsidRDefault="00AF77A4" w:rsidP="00854079">
      <w:pPr>
        <w:pStyle w:val="a8"/>
      </w:pPr>
      <w:r w:rsidRPr="00854079">
        <w:t>Для сферы услуг характерен стабильный рост с самого начала экономических реформ. Наиболее активно развиваются финансовые и производственные услуги, а так же бытовое обслуживание населения.</w:t>
      </w:r>
    </w:p>
    <w:p w:rsidR="00854079" w:rsidRPr="00854079" w:rsidRDefault="00AF77A4" w:rsidP="00854079">
      <w:pPr>
        <w:pStyle w:val="a8"/>
      </w:pPr>
      <w:r w:rsidRPr="00854079">
        <w:t>Для большинства стран центральной восточной Европы одной из приоритетных задач стало вступление в ЕС [5, с. 452].</w:t>
      </w:r>
    </w:p>
    <w:p w:rsidR="00AF77A4" w:rsidRPr="00854079" w:rsidRDefault="00AF77A4" w:rsidP="00854079">
      <w:pPr>
        <w:pStyle w:val="a8"/>
      </w:pPr>
    </w:p>
    <w:p w:rsidR="00AF77A4" w:rsidRPr="00854079" w:rsidRDefault="001F5209" w:rsidP="00854079">
      <w:pPr>
        <w:pStyle w:val="a8"/>
      </w:pPr>
      <w:r>
        <w:t>2</w:t>
      </w:r>
      <w:r w:rsidR="00AF77A4" w:rsidRPr="00854079">
        <w:t>. Рыночные реформы посткоммунистических стран</w:t>
      </w:r>
    </w:p>
    <w:p w:rsidR="00AF77A4" w:rsidRPr="00854079" w:rsidRDefault="00AF77A4" w:rsidP="00854079">
      <w:pPr>
        <w:pStyle w:val="a8"/>
      </w:pPr>
    </w:p>
    <w:p w:rsidR="0095060E" w:rsidRPr="00854079" w:rsidRDefault="0095060E" w:rsidP="00854079">
      <w:pPr>
        <w:pStyle w:val="a8"/>
      </w:pPr>
      <w:r w:rsidRPr="00854079">
        <w:t>Кризис плановой системы, ее неспособность осуществить переход к интенсивному типу воспроизводства, падающая эффективность, а поэтому низкая доходность экономики, привели, сначала к распаду мировой системы социализма, а несколько позже – и к распаду СССР [5, с. 456].</w:t>
      </w:r>
    </w:p>
    <w:p w:rsidR="0095060E" w:rsidRPr="00854079" w:rsidRDefault="0095060E" w:rsidP="00854079">
      <w:pPr>
        <w:pStyle w:val="a8"/>
      </w:pPr>
      <w:r w:rsidRPr="00854079">
        <w:t>Кризисные ситуации обычно сопровождаются сепаратистскими процессами, так как отдельные страны и республики</w:t>
      </w:r>
      <w:r w:rsidR="00854079" w:rsidRPr="00854079">
        <w:t xml:space="preserve"> </w:t>
      </w:r>
      <w:r w:rsidRPr="00854079">
        <w:t>ограждают себя от негативных процессов, свойственных разрушающейся централизованной экономике (растущей инфляции, обладающей способностью экспортироваться, дефицита, который приводит к стремлению оградить свой регион от покупателей со стороны, и процессов разрухи, которая приобретает тотальный характер, захватывая относительно благополучные регионы). В результате произошел разрыв хозяйственных связей, который привел к глубокому спаду производства. Это был тот фон, который сопровождал переход от плановой экономики к рыночному хозяйству в странах Восточной Европы и СССР.</w:t>
      </w:r>
    </w:p>
    <w:p w:rsidR="0095060E" w:rsidRPr="00854079" w:rsidRDefault="0095060E" w:rsidP="00854079">
      <w:pPr>
        <w:pStyle w:val="a8"/>
      </w:pPr>
      <w:r w:rsidRPr="00854079">
        <w:t>КНР удалось осуществить переход к рынку, минуя спад производства. Начиная с 1978 года, страна провела ряд реформ, претворяя в жизнь идеи реформ народного хозяйства СССР 1965 года. Не разрушая государственную собственность, постепенно внедрялись элементы рыночного хозяйства.</w:t>
      </w:r>
    </w:p>
    <w:p w:rsidR="0095060E" w:rsidRPr="00854079" w:rsidRDefault="0095060E" w:rsidP="00854079">
      <w:pPr>
        <w:pStyle w:val="a8"/>
      </w:pPr>
      <w:r w:rsidRPr="00854079">
        <w:t>Китай в этот период не был втянут в шквал разрыва хозяйственных связей, что позволяло избегать радикализма хозяйственных реформ. Немаловажное значение имело и то обстоятельство, что реформирование в Китае началось</w:t>
      </w:r>
      <w:r w:rsidR="00152EE2" w:rsidRPr="00854079">
        <w:t xml:space="preserve"> с подъема сельского хозяйства и развития малого бизнеса как альтернативного производства. Разрешение функционирования приусадебного хозяйства способствовало увеличению выпуска сельскохозяйственной продукции. В результате усиление стимулов производства и рост заработной платы городского населения не приводили к углублению скрытой инфляции и дефициту продукции. Повышение совокупного спроса оказалось адекватным росту товарной</w:t>
      </w:r>
      <w:r w:rsidR="00854079" w:rsidRPr="00854079">
        <w:t xml:space="preserve"> </w:t>
      </w:r>
      <w:r w:rsidR="00152EE2" w:rsidRPr="00854079">
        <w:t>(особенно сельскохозяйственной) массы</w:t>
      </w:r>
      <w:r w:rsidR="008852CB" w:rsidRPr="00854079">
        <w:t xml:space="preserve"> [5, с. 456]</w:t>
      </w:r>
      <w:r w:rsidR="00152EE2" w:rsidRPr="00854079">
        <w:t>.</w:t>
      </w:r>
    </w:p>
    <w:p w:rsidR="00F26378" w:rsidRPr="00854079" w:rsidRDefault="00F26378" w:rsidP="00854079">
      <w:pPr>
        <w:pStyle w:val="a8"/>
      </w:pPr>
      <w:r w:rsidRPr="00854079">
        <w:t>Следует отметить, что все посткоммунистические страны имели разную подготовленность к проведению рыночных преобразований.</w:t>
      </w:r>
    </w:p>
    <w:p w:rsidR="00AF77A4" w:rsidRPr="00854079" w:rsidRDefault="00AF77A4" w:rsidP="00854079">
      <w:pPr>
        <w:pStyle w:val="a8"/>
      </w:pPr>
      <w:r w:rsidRPr="00854079">
        <w:t>В целом, принципы экономических реформ в этих странах следующие:</w:t>
      </w:r>
    </w:p>
    <w:p w:rsidR="00AF77A4" w:rsidRPr="00854079" w:rsidRDefault="00AF77A4" w:rsidP="00854079">
      <w:pPr>
        <w:pStyle w:val="a8"/>
      </w:pPr>
      <w:r w:rsidRPr="00854079">
        <w:t>1. Макроэкономическая стабилизация, означающая: минимизацию дефицита госбюджета, прекращение избыточной денежной эмиссии и льготного кредитования субъектов хозяйствования</w:t>
      </w:r>
    </w:p>
    <w:p w:rsidR="00AF77A4" w:rsidRPr="00854079" w:rsidRDefault="00AF77A4" w:rsidP="00854079">
      <w:pPr>
        <w:pStyle w:val="a8"/>
      </w:pPr>
      <w:r w:rsidRPr="00854079">
        <w:t xml:space="preserve">2. Либерализация цен. </w:t>
      </w:r>
      <w:r w:rsidR="00F26378" w:rsidRPr="00854079">
        <w:t xml:space="preserve">Данный принцип предполагает, что </w:t>
      </w:r>
      <w:r w:rsidRPr="00854079">
        <w:t>цены формируются на основе спроса и предложения</w:t>
      </w:r>
    </w:p>
    <w:p w:rsidR="00AF77A4" w:rsidRPr="00854079" w:rsidRDefault="00AF77A4" w:rsidP="00854079">
      <w:pPr>
        <w:pStyle w:val="a8"/>
      </w:pPr>
      <w:r w:rsidRPr="00854079">
        <w:t>3. Формирование частной собственности, в том числе в сельском хозяйстве, гарантированной законом, защищающем права собственников</w:t>
      </w:r>
    </w:p>
    <w:p w:rsidR="00AF77A4" w:rsidRPr="00854079" w:rsidRDefault="00AF77A4" w:rsidP="00854079">
      <w:pPr>
        <w:pStyle w:val="a8"/>
      </w:pPr>
      <w:r w:rsidRPr="00854079">
        <w:t>4. Приватизация государственной собственности, включая легализацию прав частных лиц на создание новых предприятий, продажу большей части государственной собственности и демонополизацию производства в различных отраслях</w:t>
      </w:r>
    </w:p>
    <w:p w:rsidR="00AF77A4" w:rsidRPr="00854079" w:rsidRDefault="00AF77A4" w:rsidP="00854079">
      <w:pPr>
        <w:pStyle w:val="a8"/>
      </w:pPr>
      <w:r w:rsidRPr="00854079">
        <w:t>5. Становление экономики открытого типа, включая свободные торговые отношения с зарубежными странами, надлежащую защиту иностранных инвестиций, предоставление возможности для репатриации прибылей в конвертируемую национальную денежную единицу</w:t>
      </w:r>
    </w:p>
    <w:p w:rsidR="00AF77A4" w:rsidRPr="00854079" w:rsidRDefault="00AF77A4" w:rsidP="00854079">
      <w:pPr>
        <w:pStyle w:val="a8"/>
      </w:pPr>
      <w:r w:rsidRPr="00854079">
        <w:t>6. Ограничение прямого государственного вмешательства в экономику. Это означает отказ от большей части функций, которые государственные учреждения выполняли в условиях командной экономики</w:t>
      </w:r>
      <w:r w:rsidR="00F26378" w:rsidRPr="00854079">
        <w:t xml:space="preserve">, то есть </w:t>
      </w:r>
      <w:r w:rsidRPr="00854079">
        <w:t>. государственные заказы на большинство видов продукции, одобрение государством большей части инвестиционных проектов, государственное установление большинства цен, государственную монополию на внешнюю торговлю</w:t>
      </w:r>
    </w:p>
    <w:p w:rsidR="00854079" w:rsidRPr="00854079" w:rsidRDefault="00AF77A4" w:rsidP="00854079">
      <w:pPr>
        <w:pStyle w:val="a8"/>
      </w:pPr>
      <w:r w:rsidRPr="00854079">
        <w:t>Процессы трансформации командно-административной системы в рыночную</w:t>
      </w:r>
      <w:r w:rsidR="00F26378" w:rsidRPr="00854079">
        <w:t xml:space="preserve"> экономику</w:t>
      </w:r>
      <w:r w:rsidRPr="00854079">
        <w:t xml:space="preserve"> здесь начались с 1989 года.</w:t>
      </w:r>
    </w:p>
    <w:p w:rsidR="00854079" w:rsidRPr="00854079" w:rsidRDefault="00AF77A4" w:rsidP="00854079">
      <w:pPr>
        <w:pStyle w:val="a8"/>
      </w:pPr>
      <w:r w:rsidRPr="00854079">
        <w:t>Первый период реформ, с 1989 по 1993 годы проходил крайне болезненно и привел резкому спаду экономической активности и глубокому экономическому кризису. Но с 1994 года начался процесс активных преобразований, хотя они и протекали с разными темпами. Венгрия, Польша, Словакия, Чехия довольно быстро преодолели экономический спад и вплотную приблизились к уровню ВВП 1989 года.</w:t>
      </w:r>
    </w:p>
    <w:p w:rsidR="00854079" w:rsidRPr="00854079" w:rsidRDefault="00AF77A4" w:rsidP="00854079">
      <w:pPr>
        <w:pStyle w:val="a8"/>
      </w:pPr>
      <w:r w:rsidRPr="00854079">
        <w:t xml:space="preserve">Однако разрыв между странами с переходной экономикой и </w:t>
      </w:r>
      <w:r w:rsidRPr="00106D5E">
        <w:t>промышленно развитыми странами</w:t>
      </w:r>
      <w:r w:rsidRPr="00854079">
        <w:t xml:space="preserve"> в социально-экономическом и технологическом отношении не только не сократился, но даже увеличился. Пост</w:t>
      </w:r>
      <w:r w:rsidR="00F26378" w:rsidRPr="00854079">
        <w:t xml:space="preserve">коммунистические </w:t>
      </w:r>
      <w:r w:rsidRPr="00854079">
        <w:t>страны только приближаются к восстановлению уровня среднедушевого ВВП, в то время как в странах ЕС он вырос за последнее десятилетие на 20%</w:t>
      </w:r>
      <w:r w:rsidR="00F26378" w:rsidRPr="00854079">
        <w:t xml:space="preserve"> [4, с. 56]</w:t>
      </w:r>
      <w:r w:rsidRPr="00854079">
        <w:t>.</w:t>
      </w:r>
    </w:p>
    <w:p w:rsidR="00AF77A4" w:rsidRPr="00854079" w:rsidRDefault="00AF77A4" w:rsidP="00854079">
      <w:pPr>
        <w:pStyle w:val="a8"/>
      </w:pPr>
      <w:r w:rsidRPr="00854079">
        <w:t>Резко снизился средний уровень реальных доходов населения</w:t>
      </w:r>
      <w:r w:rsidR="00F26378" w:rsidRPr="00854079">
        <w:t>,</w:t>
      </w:r>
      <w:r w:rsidRPr="00854079">
        <w:t xml:space="preserve"> и одновременно усилилось неравенство в их распределении.</w:t>
      </w:r>
    </w:p>
    <w:p w:rsidR="00F26378" w:rsidRPr="00854079" w:rsidRDefault="00F26378" w:rsidP="00854079">
      <w:pPr>
        <w:pStyle w:val="a8"/>
      </w:pPr>
      <w:r w:rsidRPr="00854079">
        <w:t>Выделив общие закономерности перехода к рынку, перейдем к анализу особенностей рыночных реформ, проводимых в посткоммунистических странах.</w:t>
      </w:r>
    </w:p>
    <w:p w:rsidR="00F26378" w:rsidRPr="00854079" w:rsidRDefault="00F26378" w:rsidP="00854079">
      <w:pPr>
        <w:pStyle w:val="a8"/>
      </w:pPr>
      <w:r w:rsidRPr="00854079">
        <w:t>В целом различия между странами определяются сроками проведения реформ, их последовательностью и радикальностью. Например, во многих странах начало перехода к рынку было связано с либерализацией цен, например, Россия, Польша. В Китае же проведение политики государственного регулирования цен актуально до сих пор.</w:t>
      </w:r>
    </w:p>
    <w:p w:rsidR="00F26378" w:rsidRPr="00854079" w:rsidRDefault="00F26378" w:rsidP="00854079">
      <w:pPr>
        <w:pStyle w:val="a8"/>
      </w:pPr>
      <w:r w:rsidRPr="00854079">
        <w:t>Формирование рыночных субъектов</w:t>
      </w:r>
      <w:r w:rsidR="00854079" w:rsidRPr="00854079">
        <w:t xml:space="preserve"> </w:t>
      </w:r>
      <w:r w:rsidRPr="00854079">
        <w:t>везде происходило через разгосударствление и приватизацию, которые насильно разрушали государственную собственность</w:t>
      </w:r>
      <w:r w:rsidR="0040039E" w:rsidRPr="00854079">
        <w:t>. В Китае государственные предприятия оставались, но их приучали жить по законам рынка: там считалось, что институт собственности не столь важен, главное в предпринимательской форме хозяйствования и грамотном использовании менеджмента. Государственные предприятия здесь работают в режиме конкуренции с альтернативными структурами.</w:t>
      </w:r>
    </w:p>
    <w:p w:rsidR="00854079" w:rsidRPr="00854079" w:rsidRDefault="0040039E" w:rsidP="00854079">
      <w:pPr>
        <w:pStyle w:val="a8"/>
      </w:pPr>
      <w:r w:rsidRPr="00854079">
        <w:t>В целом, по степени радикализма, проводимые рыночные реформы можно было разделить на два направления:</w:t>
      </w:r>
    </w:p>
    <w:p w:rsidR="00854079" w:rsidRPr="00854079" w:rsidRDefault="0040039E" w:rsidP="00854079">
      <w:pPr>
        <w:pStyle w:val="a8"/>
      </w:pPr>
      <w:r w:rsidRPr="00854079">
        <w:t>- эволюционное, с постепенным углублением рыночных преобразований;</w:t>
      </w:r>
    </w:p>
    <w:p w:rsidR="0040039E" w:rsidRPr="00854079" w:rsidRDefault="0040039E" w:rsidP="00854079">
      <w:pPr>
        <w:pStyle w:val="a8"/>
      </w:pPr>
      <w:r w:rsidRPr="00854079">
        <w:t>- шоковое, которое ориентируется на глубокие реформы в кратчайшие сроки [5, с. 458].</w:t>
      </w:r>
    </w:p>
    <w:p w:rsidR="0040039E" w:rsidRPr="00854079" w:rsidRDefault="0040039E" w:rsidP="00854079">
      <w:pPr>
        <w:pStyle w:val="a8"/>
      </w:pPr>
      <w:r w:rsidRPr="00854079">
        <w:t>При эволюционном пути рыночный механизм формируется более тщательно и системно. Население успевает адаптироваться к рынку, постепенно вырабатывается рыночный менталитет народа. Эволюционный путь развития исключает падение спроса и нацеливает на рост предложения.</w:t>
      </w:r>
    </w:p>
    <w:p w:rsidR="0040039E" w:rsidRPr="00854079" w:rsidRDefault="0040039E" w:rsidP="00854079">
      <w:pPr>
        <w:pStyle w:val="a8"/>
      </w:pPr>
      <w:r w:rsidRPr="00854079">
        <w:t>Шоковый вариант характерен для стран, которые находились в глубоком кризисе и для</w:t>
      </w:r>
      <w:r w:rsidR="00854079" w:rsidRPr="00854079">
        <w:t xml:space="preserve"> </w:t>
      </w:r>
      <w:r w:rsidRPr="00854079">
        <w:t>которых характерно проведение гиперинфляции. Такая ситуация объективно требовала экстренных стабилизационных мер. В условиях острой несбалансированности экономики равновесие достигается по худшему варианту – через сокращение совокупного спроса.</w:t>
      </w:r>
    </w:p>
    <w:p w:rsidR="0040039E" w:rsidRPr="00854079" w:rsidRDefault="0040039E" w:rsidP="00854079">
      <w:pPr>
        <w:pStyle w:val="a8"/>
      </w:pPr>
      <w:r w:rsidRPr="00854079">
        <w:t>Обычно классическим примером проведения рыночных преобразований по шоковому пути называют Польшу. По этому же пути развивались Венгрия, Чехословакия, республики Прибалтики, Молдавия, Македония, Словакия, Словения, Хорватия, Румыния</w:t>
      </w:r>
      <w:r w:rsidR="00376986" w:rsidRPr="00854079">
        <w:t xml:space="preserve"> и другие страны.</w:t>
      </w:r>
    </w:p>
    <w:p w:rsidR="00376986" w:rsidRPr="00854079" w:rsidRDefault="00376986" w:rsidP="00854079">
      <w:pPr>
        <w:pStyle w:val="a8"/>
      </w:pPr>
      <w:r w:rsidRPr="00854079">
        <w:t>Во всех странах, избравший для себя шоковый вариант, либерализация цен была первым шагом рыночных преобразований.</w:t>
      </w:r>
    </w:p>
    <w:p w:rsidR="00376986" w:rsidRPr="00854079" w:rsidRDefault="00376986" w:rsidP="00854079">
      <w:pPr>
        <w:pStyle w:val="a8"/>
      </w:pPr>
      <w:r w:rsidRPr="00854079">
        <w:t>Преобразования собственности в виде разгосударствления и приватизации, которые в разных странах происходили с разной интенсивностью и имели различный спектр социальных противоречий.</w:t>
      </w:r>
    </w:p>
    <w:p w:rsidR="00854079" w:rsidRPr="00854079" w:rsidRDefault="00376986" w:rsidP="00854079">
      <w:pPr>
        <w:pStyle w:val="a8"/>
      </w:pPr>
      <w:r w:rsidRPr="00854079">
        <w:t>Сторонники быстрой приватизации призывали ликвидировать государственную собственность, раздав имущество гражданам, например, с помощью ваучеров, которые давали их владельцам право и средство приобретать выставленные на продажу государственные компании. Ими двигало чувство справедливости, желание дать обыкновенным людям долю в экономике. Кроме того они осознавали необходимость воспользоваться предоставившейся для приватизации возможностью, до того как государственная бюрократия перегруппируется и начнет противодействовать этому процессу.</w:t>
      </w:r>
    </w:p>
    <w:p w:rsidR="00854079" w:rsidRPr="00854079" w:rsidRDefault="00376986" w:rsidP="00854079">
      <w:pPr>
        <w:pStyle w:val="a8"/>
      </w:pPr>
      <w:r w:rsidRPr="00854079">
        <w:t>Другие выдвигали идею о более постепенном уменьшении доли государственных предприятий по мере появления в экономике новых частных фирм. Они поддерживали приватизацию предприятий путем продажи активов тем, кто, вероятнее всего, будет стараться улучшить результаты работы предприятий. Кроме того они подчеркивали необходимость введения «жестких бюджетных ограничений» для предприятий, чтобы вытеснить те из них, которые хронически несут убытки, оставляя более прибыльные предприятия для привлечения инвесторов. Венгрия пошла к приватизации этим постепенным путем, и он оказался более подходящим для настоящей реорганизации предприятий.</w:t>
      </w:r>
    </w:p>
    <w:p w:rsidR="00376986" w:rsidRPr="00854079" w:rsidRDefault="00376986" w:rsidP="00854079">
      <w:pPr>
        <w:pStyle w:val="a8"/>
      </w:pPr>
      <w:r w:rsidRPr="00854079">
        <w:t>В большинстве стран Восточной Европы, а также в России, пришлось девальвировать иностранную валюту. Это было сделано, в соответствии с правилами, которые диктовал мировой рынок. Проведение девальвации объяснялось</w:t>
      </w:r>
      <w:r w:rsidR="00471BCC" w:rsidRPr="00854079">
        <w:t xml:space="preserve"> низким спросом мирового хозяйства на продукцию национального хозяйства, поэтому и спрос на национальную валюту был низок. Кроме того, поощрение экспортопроизводящих отраслей, приносящих стране доход, также способствовало девальвации национальной денежной единицы.</w:t>
      </w:r>
    </w:p>
    <w:p w:rsidR="00471BCC" w:rsidRPr="00854079" w:rsidRDefault="00471BCC" w:rsidP="00854079">
      <w:pPr>
        <w:pStyle w:val="a8"/>
      </w:pPr>
      <w:r w:rsidRPr="00854079">
        <w:t>Подобная мера весьма противоречива, так как она, поощряя экспортеров, ставит в тяжелые условия те предприятия, которые непосредственно работали на национальный рынок. Удорожание импорта, как следствие девальвации приносит в экономику инфляционные толчки, последствия которых дестабилизируют народное хозяйство [5, с. 460].</w:t>
      </w:r>
    </w:p>
    <w:p w:rsidR="00471BCC" w:rsidRPr="00854079" w:rsidRDefault="00471BCC" w:rsidP="00854079">
      <w:pPr>
        <w:pStyle w:val="a8"/>
      </w:pPr>
      <w:r w:rsidRPr="00854079">
        <w:t>Таким образом, успех проведенных рыночных реформ в тех или иных странах следует оценивать с позиций выхода тех или иных стран на траекторию стабильного экономического роста. В странах, где реформы должны были преодолеть кризис и инфляцию, наиболее быстро справились со своими задачами (Польша,</w:t>
      </w:r>
      <w:r w:rsidR="00854079" w:rsidRPr="00854079">
        <w:t xml:space="preserve"> </w:t>
      </w:r>
      <w:r w:rsidRPr="00854079">
        <w:t>Венгрия, Чехия и Словакия, Хорватия). Румынии помогло наличие нефтяных ресурсов, продажа которых позволила менее болезненно осуществить стабилизационные процессы. В Польше, Чехии, Венгрии и Словакии краткость стабилизационного периода во многом предопределялась реформами, проведенными в период рыночного социализма.</w:t>
      </w:r>
    </w:p>
    <w:p w:rsidR="00471BCC" w:rsidRPr="00854079" w:rsidRDefault="00471BCC" w:rsidP="00854079">
      <w:pPr>
        <w:pStyle w:val="a8"/>
      </w:pPr>
      <w:r w:rsidRPr="00854079">
        <w:t>Однако были страны, где спад не прекращался. Стабилизация лишь способствовала его замедлению. Зачастую</w:t>
      </w:r>
      <w:r w:rsidR="00854079" w:rsidRPr="00854079">
        <w:t xml:space="preserve"> </w:t>
      </w:r>
      <w:r w:rsidRPr="00854079">
        <w:t>это можно было объяснить той непоследовательностью, с которой происходило проведение экономических реформ. Такая ситуация характерна для Украины, Белоруссии, Болгарии.</w:t>
      </w:r>
    </w:p>
    <w:p w:rsidR="00471BCC" w:rsidRPr="00854079" w:rsidRDefault="00471BCC" w:rsidP="00854079">
      <w:pPr>
        <w:pStyle w:val="a8"/>
      </w:pPr>
      <w:r w:rsidRPr="00854079">
        <w:t>В тех странах, которые шли по эволюционному пути наибольших успехов достигли Китай и Вьетнам, в которых ход экономических реформ сопровождался ростом. В Китае за последнее десятилетие ВВП почти удвоился, что создало образ «</w:t>
      </w:r>
      <w:r w:rsidR="00A04A3E" w:rsidRPr="00854079">
        <w:t>китайского чуда</w:t>
      </w:r>
      <w:r w:rsidRPr="00854079">
        <w:t>»</w:t>
      </w:r>
      <w:r w:rsidR="00A04A3E" w:rsidRPr="00854079">
        <w:t>.</w:t>
      </w:r>
    </w:p>
    <w:p w:rsidR="00376986" w:rsidRPr="00854079" w:rsidRDefault="00376986" w:rsidP="00854079">
      <w:pPr>
        <w:pStyle w:val="a8"/>
      </w:pPr>
    </w:p>
    <w:p w:rsidR="00AF77A4" w:rsidRPr="00854079" w:rsidRDefault="001F5209" w:rsidP="00854079">
      <w:pPr>
        <w:pStyle w:val="a8"/>
      </w:pPr>
      <w:r>
        <w:t>3</w:t>
      </w:r>
      <w:r w:rsidR="00A04A3E" w:rsidRPr="00854079">
        <w:t>. Тенденции развития стран с переходной экономикой</w:t>
      </w:r>
    </w:p>
    <w:p w:rsidR="00AF77A4" w:rsidRPr="00854079" w:rsidRDefault="00AF77A4" w:rsidP="00854079">
      <w:pPr>
        <w:pStyle w:val="a8"/>
      </w:pPr>
    </w:p>
    <w:p w:rsidR="00854079" w:rsidRPr="00854079" w:rsidRDefault="00A16A97" w:rsidP="00854079">
      <w:pPr>
        <w:pStyle w:val="a8"/>
      </w:pPr>
      <w:r w:rsidRPr="00854079">
        <w:t>Наш мир, который никогда еще раньше не был так взаимосвязан и взаимозависим, переживает тяжелый финансовый кризис беспрецедентных масштабов, имеющий глобальные последствия. Ситуация нестабильна. Текущий финансовый кризис быстро принимает форму экономического кризиса и угрожает вылиться в социальный кризис во многих странах.</w:t>
      </w:r>
    </w:p>
    <w:p w:rsidR="00854079" w:rsidRPr="00854079" w:rsidRDefault="00A16A97" w:rsidP="00854079">
      <w:pPr>
        <w:pStyle w:val="a8"/>
      </w:pPr>
      <w:r w:rsidRPr="00854079">
        <w:t>Этот кризис произошел во время беспрецедентно высокой приверженности делу охраны здоровья в мире. Он разразился в ходе проведения самой грандиозной инициативы в истории по уменьшению масштабов нищеты и более равномерному и справедливому распределению в мире преимуществ нашего современного общества, в том числе преимуществ, связанных со здоровьем, - инициативы по достижению Целей тысячелетия в области развития.</w:t>
      </w:r>
    </w:p>
    <w:p w:rsidR="00854079" w:rsidRPr="00854079" w:rsidRDefault="00A16A97" w:rsidP="00854079">
      <w:pPr>
        <w:pStyle w:val="a8"/>
      </w:pPr>
      <w:r w:rsidRPr="00854079">
        <w:t>До сих пор еще не ясно, что текущий финансовый кризис будет означать для стран с низким уровнем дохода и переходной экономикой, но многие прогнозы крайне пессимистичны. Перед лицом глобального экономического спада финансовое напряжение в богатых странах может привести к сокращению официальной помощи в целях развития. А еще хуже перспективы сокращения расходов на социальные нужды, такие как здравоохранение, образование и социальную защиту, - на эту меру могут быть вынуждены пойти многие страны, особенно страны с низким уровнем доходов. Обе эти ответные меры принимались в прошлом. И обе эти меры могут иметь столь же разрушительные последствия для здоровья, развития, безопасности и благополучия, как в прошлом.</w:t>
      </w:r>
    </w:p>
    <w:p w:rsidR="00854079" w:rsidRPr="00854079" w:rsidRDefault="00A16A97" w:rsidP="00854079">
      <w:pPr>
        <w:pStyle w:val="a8"/>
      </w:pPr>
      <w:r w:rsidRPr="00854079">
        <w:t>Поэтому, крайне важно извлечь уроки из прошлых ошибок и противопоставить этому периоду экономического спада расширение инвестиций в здравоохранение и социальный сектор. Имеется целый ряд веских причин в поддержку такой линии действий.</w:t>
      </w:r>
    </w:p>
    <w:p w:rsidR="00854079" w:rsidRPr="00854079" w:rsidRDefault="00A16A97" w:rsidP="00854079">
      <w:pPr>
        <w:pStyle w:val="a8"/>
      </w:pPr>
      <w:r w:rsidRPr="00854079">
        <w:t>Во-первых, защита неимущих. Рост цен на продовольствие и топливо наряду с отсутствием безопасности в области занятости входят в число факторов, усиливающих неравенства во время экономического спада. В этом контексте, по всей вероятности, значительно возрастут разорительные расходы на здравоохранение, из-за которых в "лучшие" времена более 100 миллионов человек ежегодно скатывались в нищету. Самыми уязвимыми неизбежно становятся те, кто страдает больше всех: неимущие, социально изолированные, дети, женщины, инвалиды, престарелые и люди с хроническими болезнями. Для защиты самых уязвимых в богатых и бедных странах срочно необходимы более прочные сети безопасности.</w:t>
      </w:r>
    </w:p>
    <w:p w:rsidR="00A16A97" w:rsidRPr="00854079" w:rsidRDefault="00A16A97" w:rsidP="00854079">
      <w:pPr>
        <w:pStyle w:val="a8"/>
      </w:pPr>
      <w:r w:rsidRPr="00854079">
        <w:t>Во-вторых, стимулирование экономического подъема. Инвестиции в социальные сектора являются инвестициями в человеческий капитал. Здоровый человеческий капитал является основой экономической продуктивности и может ускорять процесс восстановления экономической устойчивости.</w:t>
      </w:r>
    </w:p>
    <w:p w:rsidR="00854079" w:rsidRPr="00854079" w:rsidRDefault="00A16A97" w:rsidP="00854079">
      <w:pPr>
        <w:pStyle w:val="a8"/>
      </w:pPr>
      <w:r w:rsidRPr="00854079">
        <w:t>В-третьих, содействие социальной стабильности. Справедливое распределение услуг здравоохранения является одним из важнейших факторов, способствующих социальной сплоченности. Социальная сплоченность является наилучшей защитой от общественных волнений на национальном и международном уровне. Здоровое, продуктивное и стабильное население всегда является ценным вкладом, особенно, во время кризиса.</w:t>
      </w:r>
    </w:p>
    <w:p w:rsidR="00854079" w:rsidRPr="00854079" w:rsidRDefault="00A16A97" w:rsidP="00854079">
      <w:pPr>
        <w:pStyle w:val="a8"/>
      </w:pPr>
      <w:r w:rsidRPr="00854079">
        <w:t>В-четвертых, повышение эффективности. Предварительная оплата на основе объединения ресурсов является самым эффективным путем финансирования расходов на здравоохранение. Расходы из своих собственных средств на местах оказания услуг являются наименее эффективными и самыми разорительными, из-за которых ежегодно миллионы людей оказываются за чертой бедности. Приверженность обеспечению всеобщего охвата не только способствует защите неимущих людей, но также является самым доступным по стоимости и эффективным способом использования ограниченных ресурсов.</w:t>
      </w:r>
    </w:p>
    <w:p w:rsidR="00854079" w:rsidRPr="00854079" w:rsidRDefault="00A16A97" w:rsidP="00854079">
      <w:pPr>
        <w:pStyle w:val="a8"/>
      </w:pPr>
      <w:r w:rsidRPr="00854079">
        <w:t>В-пятых, обеспечение безопасности. Мир, в значительной степени выведенный из равновесия, не является ни стабильным, ни безопасным. Для поддержания потенциальных возможностей в области эпиднадзора и ответных мер перед лицом угроз возникновения пандемий необходимы прочные системы здравоохранения. Недостаточные инвестиции в системы здравоохранения в Африке к югу от Сахары в 1980-х гг. привели к тому, что в последующее десятилетие они оказались трагически неподготовленными к пандемии ВИЧ/СПИДа.</w:t>
      </w:r>
    </w:p>
    <w:p w:rsidR="00A16A97" w:rsidRPr="00854079" w:rsidRDefault="00A16A97" w:rsidP="00854079">
      <w:pPr>
        <w:pStyle w:val="a8"/>
      </w:pPr>
    </w:p>
    <w:p w:rsidR="00A16A97" w:rsidRPr="00854079" w:rsidRDefault="001F5209" w:rsidP="00854079">
      <w:pPr>
        <w:pStyle w:val="a8"/>
      </w:pPr>
      <w:r>
        <w:br w:type="page"/>
      </w:r>
      <w:r w:rsidRPr="00854079">
        <w:t>Заключение</w:t>
      </w:r>
    </w:p>
    <w:p w:rsidR="00A16A97" w:rsidRPr="00854079" w:rsidRDefault="00A16A97" w:rsidP="00854079">
      <w:pPr>
        <w:pStyle w:val="a8"/>
      </w:pPr>
    </w:p>
    <w:p w:rsidR="00854079" w:rsidRPr="00854079" w:rsidRDefault="00A16A97" w:rsidP="00854079">
      <w:pPr>
        <w:pStyle w:val="a8"/>
      </w:pPr>
      <w:r w:rsidRPr="00854079">
        <w:t>Переход к рыночной экономике увенчался заметным успехом. Хотя в этом кратком обзоре основное внимание уделялось экономическим изменениям, первым главным достижением является широкая, хотя еще далеко не всеобщая, приверженность демократии и созданию рыночной экономики. Переход к ней в большинстве стран ассоциировался с ростом политической свободы. Все страны, за исключением шести, отнесены к числу «свободных» или «частично свободных» организацией по правам человека «Фридом хауз»; благодаря регулярным выборам граждане этих стран получили возможность выражать свое мнение в процессе перехода. Политики, выступающие за</w:t>
      </w:r>
      <w:r w:rsidR="00854079" w:rsidRPr="00854079">
        <w:t xml:space="preserve"> </w:t>
      </w:r>
      <w:r w:rsidRPr="00854079">
        <w:t>отход с рыночного пути в экономике, так и не пришли к власти, хотя нереформированные коммунистические партии иногда получали до трети голосов на</w:t>
      </w:r>
      <w:r w:rsidR="00854079" w:rsidRPr="00854079">
        <w:t xml:space="preserve"> </w:t>
      </w:r>
      <w:r w:rsidRPr="00854079">
        <w:t>всеобщих выборах.</w:t>
      </w:r>
    </w:p>
    <w:p w:rsidR="00854079" w:rsidRPr="00854079" w:rsidRDefault="00A16A97" w:rsidP="00854079">
      <w:pPr>
        <w:pStyle w:val="a8"/>
      </w:pPr>
      <w:r w:rsidRPr="00854079">
        <w:t>Поэтому, несмотря на экономические тяготы, связанные с</w:t>
      </w:r>
      <w:r w:rsidR="00854079" w:rsidRPr="00854079">
        <w:t xml:space="preserve"> </w:t>
      </w:r>
      <w:r w:rsidRPr="00854079">
        <w:t>перестройкой, граждане, как представляется, считали поворот часов вспять худшим вариантом.</w:t>
      </w:r>
    </w:p>
    <w:p w:rsidR="00A16A97" w:rsidRPr="00854079" w:rsidRDefault="00A16A97" w:rsidP="00854079">
      <w:pPr>
        <w:pStyle w:val="a8"/>
      </w:pPr>
      <w:r w:rsidRPr="00854079">
        <w:t>Во-вторых, кажется, укрепился курс на макроэкономическую стабильность, при этом в</w:t>
      </w:r>
      <w:r w:rsidR="00854079" w:rsidRPr="00854079">
        <w:t xml:space="preserve"> </w:t>
      </w:r>
      <w:r w:rsidRPr="00854079">
        <w:t>большинстве случаев инфляция взята под контроль. Примером этого является решимость России предотвратить инфляционную спираль вслед за девальвацией рубля в</w:t>
      </w:r>
      <w:r w:rsidR="00854079" w:rsidRPr="00854079">
        <w:t xml:space="preserve"> </w:t>
      </w:r>
      <w:r w:rsidRPr="00854079">
        <w:t>1998 году.</w:t>
      </w:r>
    </w:p>
    <w:p w:rsidR="00854079" w:rsidRPr="00854079" w:rsidRDefault="00A16A97" w:rsidP="00854079">
      <w:pPr>
        <w:pStyle w:val="a8"/>
      </w:pPr>
      <w:r w:rsidRPr="00854079">
        <w:t>В-третьих, в большинстве стран под рыночную экономику, по крайней мере де-юре, были подведены базовые структурные основы. В их число входят процедуры банкротства, политика поощрения конкуренции и антимонопольные акты, улучшение стандартов бухгалтерского учета и законодательство для регулирования финансовых рынков.</w:t>
      </w:r>
    </w:p>
    <w:p w:rsidR="00854079" w:rsidRPr="00854079" w:rsidRDefault="00A16A97" w:rsidP="00854079">
      <w:pPr>
        <w:pStyle w:val="a8"/>
      </w:pPr>
      <w:r w:rsidRPr="00854079">
        <w:t>В странах Центральной Европы и Балтии курс на макроэкономическую стабилизацию был принят раньше, и структурные реформы проводились более твердо. Эти страны снова причисляются к рангу стран со средними доходами и могут заявлять, что они перешли к рынку. Теперь перед ними стоят проблемы, связанные со вступлением в ЕС и, в более общем плане, с тем, чтобы догнать более богатые нации.</w:t>
      </w:r>
    </w:p>
    <w:p w:rsidR="00A16A97" w:rsidRPr="00854079" w:rsidRDefault="00A16A97" w:rsidP="00854079">
      <w:pPr>
        <w:pStyle w:val="a8"/>
      </w:pPr>
    </w:p>
    <w:p w:rsidR="00AD55EB" w:rsidRPr="001F5209" w:rsidRDefault="001F5209" w:rsidP="00854079">
      <w:pPr>
        <w:pStyle w:val="a8"/>
      </w:pPr>
      <w:r>
        <w:br w:type="page"/>
      </w:r>
      <w:r w:rsidRPr="001F5209">
        <w:t>Список используемой</w:t>
      </w:r>
      <w:r w:rsidR="00854079" w:rsidRPr="001F5209">
        <w:t xml:space="preserve"> </w:t>
      </w:r>
      <w:r w:rsidRPr="001F5209">
        <w:t>литературы</w:t>
      </w:r>
    </w:p>
    <w:p w:rsidR="00F3226A" w:rsidRPr="00854079" w:rsidRDefault="00F3226A" w:rsidP="00854079">
      <w:pPr>
        <w:pStyle w:val="a8"/>
      </w:pPr>
    </w:p>
    <w:p w:rsidR="00F3226A" w:rsidRPr="00854079" w:rsidRDefault="00F3226A" w:rsidP="001F5209">
      <w:pPr>
        <w:pStyle w:val="a8"/>
        <w:numPr>
          <w:ilvl w:val="0"/>
          <w:numId w:val="4"/>
        </w:numPr>
        <w:ind w:left="0" w:firstLine="0"/>
        <w:jc w:val="left"/>
      </w:pPr>
      <w:r w:rsidRPr="00854079">
        <w:t>Грибанич, В. М., Рыбалкин, В. Е., Щербанин, Ю. А. Мировая экономика.- 3-е изд. перераб. и доп./В. М. Грибанич, В. Е. Рыбалкин, Ю. А. щербанин.- М.: ЮНИТИ – ДАНА, 2009.- 447с.</w:t>
      </w:r>
    </w:p>
    <w:p w:rsidR="00F3226A" w:rsidRPr="00854079" w:rsidRDefault="00F3226A" w:rsidP="001F5209">
      <w:pPr>
        <w:pStyle w:val="a8"/>
        <w:numPr>
          <w:ilvl w:val="0"/>
          <w:numId w:val="4"/>
        </w:numPr>
        <w:ind w:left="0" w:firstLine="0"/>
        <w:jc w:val="left"/>
      </w:pPr>
      <w:r w:rsidRPr="00854079">
        <w:t>Гурова, И. П. Мировая экономика: Учебник/И. П. Гурова – М.: Омега – Л, 2008.- 391с.</w:t>
      </w:r>
    </w:p>
    <w:p w:rsidR="00F3226A" w:rsidRPr="00854079" w:rsidRDefault="00F3226A" w:rsidP="001F5209">
      <w:pPr>
        <w:pStyle w:val="a8"/>
        <w:numPr>
          <w:ilvl w:val="0"/>
          <w:numId w:val="4"/>
        </w:numPr>
        <w:ind w:left="0" w:firstLine="0"/>
        <w:jc w:val="left"/>
      </w:pPr>
      <w:r w:rsidRPr="00854079">
        <w:t>Кочергина, Т. Е. Мировая экономика: Учебник для вузов/Т. Е. Кочергина.- Ростов – на – Дону: «Феникс», 2009.- 267с.</w:t>
      </w:r>
    </w:p>
    <w:p w:rsidR="00F3226A" w:rsidRPr="00854079" w:rsidRDefault="00F3226A" w:rsidP="001F5209">
      <w:pPr>
        <w:pStyle w:val="a8"/>
        <w:numPr>
          <w:ilvl w:val="0"/>
          <w:numId w:val="4"/>
        </w:numPr>
        <w:ind w:left="0" w:firstLine="0"/>
        <w:jc w:val="left"/>
      </w:pPr>
      <w:r w:rsidRPr="00854079">
        <w:t>Мировая экономика/под ред. Ю. А. Щербанина.- М.: ЮНИТИ – ДАНА, 2004.- 318с.</w:t>
      </w:r>
    </w:p>
    <w:p w:rsidR="00F3226A" w:rsidRPr="00854079" w:rsidRDefault="00F3226A" w:rsidP="001F5209">
      <w:pPr>
        <w:pStyle w:val="a8"/>
        <w:numPr>
          <w:ilvl w:val="0"/>
          <w:numId w:val="4"/>
        </w:numPr>
        <w:ind w:left="0" w:firstLine="0"/>
        <w:jc w:val="left"/>
      </w:pPr>
      <w:r w:rsidRPr="00854079">
        <w:t>Мировая экономика: Учебное пособие для вузов/Под ред. проф. И. П. Николаевой.- 3-е изд. перераб. и доп.- М.: Юнити</w:t>
      </w:r>
      <w:r w:rsidR="00FF615D" w:rsidRPr="00854079">
        <w:t xml:space="preserve"> </w:t>
      </w:r>
      <w:r w:rsidRPr="00854079">
        <w:t>- Дана, 2006.- 510с.</w:t>
      </w:r>
    </w:p>
    <w:p w:rsidR="00F3226A" w:rsidRPr="00854079" w:rsidRDefault="00F3226A" w:rsidP="001F5209">
      <w:pPr>
        <w:pStyle w:val="a8"/>
        <w:numPr>
          <w:ilvl w:val="0"/>
          <w:numId w:val="4"/>
        </w:numPr>
        <w:ind w:left="0" w:firstLine="0"/>
        <w:jc w:val="left"/>
      </w:pPr>
      <w:r w:rsidRPr="00854079">
        <w:t>Писарева, М. П. Мировая экономика. Конспект лекций/М. П. Писарева.- М.: Эксмо, 2008.- 160с.</w:t>
      </w:r>
    </w:p>
    <w:p w:rsidR="00F3226A" w:rsidRPr="00854079" w:rsidRDefault="00F3226A" w:rsidP="001F5209">
      <w:pPr>
        <w:pStyle w:val="a8"/>
        <w:numPr>
          <w:ilvl w:val="0"/>
          <w:numId w:val="4"/>
        </w:numPr>
        <w:ind w:left="0" w:firstLine="0"/>
        <w:jc w:val="left"/>
      </w:pPr>
      <w:r w:rsidRPr="00854079">
        <w:t>Суэтин, А. А., Мировая экономика. Международные экономические отношения. Глобалистика: Учебник для вузов/А. А. Суэтин.- М.: КноРус, 2008.- 320с.</w:t>
      </w:r>
    </w:p>
    <w:p w:rsidR="00F3226A" w:rsidRPr="00854079" w:rsidRDefault="00F3226A" w:rsidP="001F5209">
      <w:pPr>
        <w:pStyle w:val="a8"/>
        <w:numPr>
          <w:ilvl w:val="0"/>
          <w:numId w:val="4"/>
        </w:numPr>
        <w:ind w:left="0" w:firstLine="0"/>
        <w:jc w:val="left"/>
      </w:pPr>
      <w:r w:rsidRPr="00854079">
        <w:t>Хмелев, И. Б., Логвинова, И. Л., Мировая экономика: Учебное пособие/И. Б. Хмелев, И. Л. Логвинова.- М.: ММИЭИФП, 2004.- 127с.</w:t>
      </w:r>
      <w:bookmarkStart w:id="0" w:name="_GoBack"/>
      <w:bookmarkEnd w:id="0"/>
    </w:p>
    <w:sectPr w:rsidR="00F3226A" w:rsidRPr="00854079" w:rsidSect="00854079">
      <w:headerReference w:type="even" r:id="rId7"/>
      <w:pgSz w:w="11906" w:h="16838" w:code="9"/>
      <w:pgMar w:top="1134" w:right="851"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94B" w:rsidRDefault="0064194B">
      <w:r>
        <w:separator/>
      </w:r>
    </w:p>
  </w:endnote>
  <w:endnote w:type="continuationSeparator" w:id="0">
    <w:p w:rsidR="0064194B" w:rsidRDefault="0064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94B" w:rsidRDefault="0064194B">
      <w:r>
        <w:separator/>
      </w:r>
    </w:p>
  </w:footnote>
  <w:footnote w:type="continuationSeparator" w:id="0">
    <w:p w:rsidR="0064194B" w:rsidRDefault="00641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7C8" w:rsidRDefault="003C27C8" w:rsidP="00382484">
    <w:pPr>
      <w:pStyle w:val="a3"/>
      <w:framePr w:wrap="around" w:vAnchor="text" w:hAnchor="margin" w:xAlign="right" w:y="1"/>
      <w:rPr>
        <w:rStyle w:val="a5"/>
      </w:rPr>
    </w:pPr>
  </w:p>
  <w:p w:rsidR="003C27C8" w:rsidRDefault="003C27C8" w:rsidP="007D5DE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E603BB"/>
    <w:multiLevelType w:val="hybridMultilevel"/>
    <w:tmpl w:val="B0BA86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A777A6E"/>
    <w:multiLevelType w:val="hybridMultilevel"/>
    <w:tmpl w:val="5922E5E0"/>
    <w:lvl w:ilvl="0" w:tplc="789EDEF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6054547C"/>
    <w:multiLevelType w:val="hybridMultilevel"/>
    <w:tmpl w:val="C96EFC1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72DA753F"/>
    <w:multiLevelType w:val="hybridMultilevel"/>
    <w:tmpl w:val="E2046B4A"/>
    <w:lvl w:ilvl="0" w:tplc="0890BF98">
      <w:start w:val="1"/>
      <w:numFmt w:val="upperRoman"/>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26A"/>
    <w:rsid w:val="00095294"/>
    <w:rsid w:val="00106D5E"/>
    <w:rsid w:val="00152EE2"/>
    <w:rsid w:val="001F5209"/>
    <w:rsid w:val="00376986"/>
    <w:rsid w:val="00382484"/>
    <w:rsid w:val="003C27C8"/>
    <w:rsid w:val="0040039E"/>
    <w:rsid w:val="00471BCC"/>
    <w:rsid w:val="0064194B"/>
    <w:rsid w:val="006B393F"/>
    <w:rsid w:val="007341C5"/>
    <w:rsid w:val="007D5DE3"/>
    <w:rsid w:val="00854079"/>
    <w:rsid w:val="008852CB"/>
    <w:rsid w:val="0095060E"/>
    <w:rsid w:val="00A04A3E"/>
    <w:rsid w:val="00A16A97"/>
    <w:rsid w:val="00AD55EB"/>
    <w:rsid w:val="00AF77A4"/>
    <w:rsid w:val="00B15BF2"/>
    <w:rsid w:val="00BD4BB6"/>
    <w:rsid w:val="00C850DD"/>
    <w:rsid w:val="00CF0149"/>
    <w:rsid w:val="00D8154F"/>
    <w:rsid w:val="00DE5F39"/>
    <w:rsid w:val="00DF4A17"/>
    <w:rsid w:val="00E00BF3"/>
    <w:rsid w:val="00E61758"/>
    <w:rsid w:val="00E647AE"/>
    <w:rsid w:val="00F26378"/>
    <w:rsid w:val="00F3226A"/>
    <w:rsid w:val="00FF6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4A688A-0CED-405F-A385-3C2A55AC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D5DE3"/>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7D5DE3"/>
    <w:rPr>
      <w:rFonts w:cs="Times New Roman"/>
    </w:rPr>
  </w:style>
  <w:style w:type="character" w:styleId="a6">
    <w:name w:val="Hyperlink"/>
    <w:uiPriority w:val="99"/>
    <w:rsid w:val="00AF77A4"/>
    <w:rPr>
      <w:rFonts w:cs="Times New Roman"/>
      <w:color w:val="0000FF"/>
      <w:u w:val="single"/>
    </w:rPr>
  </w:style>
  <w:style w:type="paragraph" w:styleId="a7">
    <w:name w:val="Normal (Web)"/>
    <w:basedOn w:val="a"/>
    <w:uiPriority w:val="99"/>
    <w:rsid w:val="00376986"/>
    <w:pPr>
      <w:spacing w:before="100" w:beforeAutospacing="1" w:after="100" w:afterAutospacing="1"/>
    </w:pPr>
  </w:style>
  <w:style w:type="paragraph" w:customStyle="1" w:styleId="a8">
    <w:name w:val="А"/>
    <w:basedOn w:val="a"/>
    <w:qFormat/>
    <w:rsid w:val="00854079"/>
    <w:pPr>
      <w:spacing w:line="360" w:lineRule="auto"/>
      <w:ind w:firstLine="709"/>
      <w:contextualSpacing/>
      <w:jc w:val="both"/>
    </w:pPr>
    <w:rPr>
      <w:sz w:val="28"/>
    </w:rPr>
  </w:style>
  <w:style w:type="paragraph" w:styleId="a9">
    <w:name w:val="footer"/>
    <w:basedOn w:val="a"/>
    <w:link w:val="aa"/>
    <w:uiPriority w:val="99"/>
    <w:rsid w:val="00DF4A17"/>
    <w:pPr>
      <w:tabs>
        <w:tab w:val="center" w:pos="4677"/>
        <w:tab w:val="right" w:pos="9355"/>
      </w:tabs>
    </w:pPr>
  </w:style>
  <w:style w:type="character" w:customStyle="1" w:styleId="aa">
    <w:name w:val="Нижний колонтитул Знак"/>
    <w:link w:val="a9"/>
    <w:uiPriority w:val="99"/>
    <w:locked/>
    <w:rsid w:val="00DF4A1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940099">
      <w:marLeft w:val="0"/>
      <w:marRight w:val="0"/>
      <w:marTop w:val="0"/>
      <w:marBottom w:val="0"/>
      <w:divBdr>
        <w:top w:val="none" w:sz="0" w:space="0" w:color="auto"/>
        <w:left w:val="none" w:sz="0" w:space="0" w:color="auto"/>
        <w:bottom w:val="none" w:sz="0" w:space="0" w:color="auto"/>
        <w:right w:val="none" w:sz="0" w:space="0" w:color="auto"/>
      </w:divBdr>
    </w:div>
    <w:div w:id="733940100">
      <w:marLeft w:val="0"/>
      <w:marRight w:val="0"/>
      <w:marTop w:val="0"/>
      <w:marBottom w:val="0"/>
      <w:divBdr>
        <w:top w:val="none" w:sz="0" w:space="0" w:color="auto"/>
        <w:left w:val="none" w:sz="0" w:space="0" w:color="auto"/>
        <w:bottom w:val="none" w:sz="0" w:space="0" w:color="auto"/>
        <w:right w:val="none" w:sz="0" w:space="0" w:color="auto"/>
      </w:divBdr>
    </w:div>
    <w:div w:id="733940101">
      <w:marLeft w:val="0"/>
      <w:marRight w:val="0"/>
      <w:marTop w:val="0"/>
      <w:marBottom w:val="0"/>
      <w:divBdr>
        <w:top w:val="none" w:sz="0" w:space="0" w:color="auto"/>
        <w:left w:val="none" w:sz="0" w:space="0" w:color="auto"/>
        <w:bottom w:val="none" w:sz="0" w:space="0" w:color="auto"/>
        <w:right w:val="none" w:sz="0" w:space="0" w:color="auto"/>
      </w:divBdr>
    </w:div>
    <w:div w:id="733940102">
      <w:marLeft w:val="0"/>
      <w:marRight w:val="0"/>
      <w:marTop w:val="0"/>
      <w:marBottom w:val="0"/>
      <w:divBdr>
        <w:top w:val="none" w:sz="0" w:space="0" w:color="auto"/>
        <w:left w:val="none" w:sz="0" w:space="0" w:color="auto"/>
        <w:bottom w:val="none" w:sz="0" w:space="0" w:color="auto"/>
        <w:right w:val="none" w:sz="0" w:space="0" w:color="auto"/>
      </w:divBdr>
    </w:div>
    <w:div w:id="733940103">
      <w:marLeft w:val="0"/>
      <w:marRight w:val="0"/>
      <w:marTop w:val="0"/>
      <w:marBottom w:val="0"/>
      <w:divBdr>
        <w:top w:val="none" w:sz="0" w:space="0" w:color="auto"/>
        <w:left w:val="none" w:sz="0" w:space="0" w:color="auto"/>
        <w:bottom w:val="none" w:sz="0" w:space="0" w:color="auto"/>
        <w:right w:val="none" w:sz="0" w:space="0" w:color="auto"/>
      </w:divBdr>
    </w:div>
    <w:div w:id="733940104">
      <w:marLeft w:val="0"/>
      <w:marRight w:val="0"/>
      <w:marTop w:val="0"/>
      <w:marBottom w:val="0"/>
      <w:divBdr>
        <w:top w:val="none" w:sz="0" w:space="0" w:color="auto"/>
        <w:left w:val="none" w:sz="0" w:space="0" w:color="auto"/>
        <w:bottom w:val="none" w:sz="0" w:space="0" w:color="auto"/>
        <w:right w:val="none" w:sz="0" w:space="0" w:color="auto"/>
      </w:divBdr>
    </w:div>
    <w:div w:id="7339401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3560</Words>
  <Characters>20293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СПИСОК ИСПОЛЬЗУЕМОЙ   ЛИТЕРАТУРЫ</vt:lpstr>
    </vt:vector>
  </TitlesOfParts>
  <Company>WolfishLair</Company>
  <LinksUpToDate>false</LinksUpToDate>
  <CharactersWithSpaces>23806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ИСПОЛЬЗУЕМОЙ   ЛИТЕРАТУРЫ</dc:title>
  <dc:subject/>
  <dc:creator>Mufasa</dc:creator>
  <cp:keywords/>
  <dc:description/>
  <cp:lastModifiedBy>admin</cp:lastModifiedBy>
  <cp:revision>2</cp:revision>
  <cp:lastPrinted>2009-11-03T14:07:00Z</cp:lastPrinted>
  <dcterms:created xsi:type="dcterms:W3CDTF">2014-02-28T05:19:00Z</dcterms:created>
  <dcterms:modified xsi:type="dcterms:W3CDTF">2014-02-28T05:19:00Z</dcterms:modified>
</cp:coreProperties>
</file>