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28" w:rsidRPr="00BA24AD" w:rsidRDefault="003D3328" w:rsidP="00BA24AD">
      <w:pPr>
        <w:spacing w:line="360" w:lineRule="auto"/>
        <w:ind w:firstLine="709"/>
        <w:jc w:val="center"/>
        <w:rPr>
          <w:sz w:val="28"/>
          <w:szCs w:val="28"/>
        </w:rPr>
      </w:pPr>
      <w:r w:rsidRPr="00BA24AD">
        <w:rPr>
          <w:sz w:val="28"/>
          <w:szCs w:val="28"/>
        </w:rPr>
        <w:t>Введение</w:t>
      </w:r>
    </w:p>
    <w:p w:rsidR="003D3328" w:rsidRPr="00BA24AD" w:rsidRDefault="003D3328" w:rsidP="00BA24AD">
      <w:pPr>
        <w:spacing w:line="360" w:lineRule="auto"/>
        <w:ind w:firstLine="709"/>
        <w:jc w:val="both"/>
        <w:rPr>
          <w:sz w:val="28"/>
          <w:szCs w:val="28"/>
        </w:rPr>
      </w:pPr>
    </w:p>
    <w:p w:rsidR="00CC3227" w:rsidRPr="00BA24AD" w:rsidRDefault="00CC3227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bCs/>
          <w:sz w:val="28"/>
          <w:szCs w:val="28"/>
        </w:rPr>
        <w:t>Промышленное производство</w:t>
      </w:r>
      <w:r w:rsidRPr="00BA24AD">
        <w:rPr>
          <w:sz w:val="28"/>
          <w:szCs w:val="28"/>
        </w:rPr>
        <w:t xml:space="preserve"> нефтепродуктов состоит из следующих основных этапов: </w:t>
      </w:r>
      <w:r w:rsidRPr="00BA24AD">
        <w:rPr>
          <w:bCs/>
          <w:sz w:val="28"/>
          <w:szCs w:val="28"/>
        </w:rPr>
        <w:t>первичная, вторичная переработка нефти</w:t>
      </w:r>
      <w:r w:rsidRPr="00BA24AD">
        <w:rPr>
          <w:sz w:val="28"/>
          <w:szCs w:val="28"/>
        </w:rPr>
        <w:t xml:space="preserve"> и процессы </w:t>
      </w:r>
      <w:r w:rsidRPr="00BA24AD">
        <w:rPr>
          <w:bCs/>
          <w:sz w:val="28"/>
          <w:szCs w:val="28"/>
        </w:rPr>
        <w:t>смешения</w:t>
      </w:r>
      <w:r w:rsidRPr="00BA24AD">
        <w:rPr>
          <w:sz w:val="28"/>
          <w:szCs w:val="28"/>
        </w:rPr>
        <w:t xml:space="preserve"> (компаундирования).</w:t>
      </w:r>
    </w:p>
    <w:p w:rsidR="00CC3227" w:rsidRPr="00BA24AD" w:rsidRDefault="00CC3227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bCs/>
          <w:sz w:val="28"/>
          <w:szCs w:val="28"/>
        </w:rPr>
        <w:t>Первичная переработка</w:t>
      </w:r>
      <w:r w:rsidRPr="00BA24AD">
        <w:rPr>
          <w:sz w:val="28"/>
          <w:szCs w:val="28"/>
        </w:rPr>
        <w:t xml:space="preserve"> (прямая перегонка) — разделение нефти на отдельные фракции (части) по температурам кипения при нагревании в специальных ректификационных колоннах. В результате получаются бензиновые, керосиновые, дизельные фракции, которые используются для получения соответствующих видов топлив, а также мазут. </w:t>
      </w:r>
    </w:p>
    <w:p w:rsidR="00CC3227" w:rsidRPr="00BA24AD" w:rsidRDefault="00CC3227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bCs/>
          <w:sz w:val="28"/>
          <w:szCs w:val="28"/>
        </w:rPr>
        <w:t>Вторичная переработка</w:t>
      </w:r>
      <w:r w:rsidRPr="00BA24AD">
        <w:rPr>
          <w:sz w:val="28"/>
          <w:szCs w:val="28"/>
        </w:rPr>
        <w:t xml:space="preserve"> (деструктивные процессы от лат. destructio — нарушение, разрушение структуры) изменяет химический состав и структуру углеводородов. Эти процессы позволяют увеличить выход бензиновых фракций из нефти до 60%. </w:t>
      </w:r>
    </w:p>
    <w:p w:rsidR="003D3328" w:rsidRPr="00BA24AD" w:rsidRDefault="00CC3227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bCs/>
          <w:sz w:val="28"/>
          <w:szCs w:val="28"/>
        </w:rPr>
        <w:t>Смешение</w:t>
      </w:r>
      <w:r w:rsidRPr="00BA24AD">
        <w:rPr>
          <w:sz w:val="28"/>
          <w:szCs w:val="28"/>
        </w:rPr>
        <w:t xml:space="preserve"> прямогонных фракций с компонентами вторичных процессов и присадок является завершающим процессом получения товарных автомобильных бензинов и дизтоплив.</w:t>
      </w:r>
    </w:p>
    <w:p w:rsidR="00CC3227" w:rsidRPr="00BA24AD" w:rsidRDefault="00CC3227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Цель курсовой работы – изучить процесс компаундирования как процесс получения товарных продуктов из нефти.</w:t>
      </w:r>
    </w:p>
    <w:p w:rsidR="003D3328" w:rsidRPr="00BA24AD" w:rsidRDefault="003D3328" w:rsidP="00BA24AD">
      <w:pPr>
        <w:spacing w:line="360" w:lineRule="auto"/>
        <w:ind w:firstLine="709"/>
        <w:jc w:val="both"/>
        <w:rPr>
          <w:sz w:val="28"/>
          <w:szCs w:val="28"/>
        </w:rPr>
      </w:pPr>
    </w:p>
    <w:p w:rsidR="00E775F9" w:rsidRPr="00BA24AD" w:rsidRDefault="00BA24AD" w:rsidP="00BA24A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3227" w:rsidRPr="00BA24AD">
        <w:rPr>
          <w:sz w:val="28"/>
          <w:szCs w:val="28"/>
        </w:rPr>
        <w:t xml:space="preserve">1. </w:t>
      </w:r>
      <w:r w:rsidR="00AF2DAF" w:rsidRPr="00BA24AD">
        <w:rPr>
          <w:sz w:val="28"/>
          <w:szCs w:val="28"/>
        </w:rPr>
        <w:t>Нефтепродукты как результат</w:t>
      </w:r>
      <w:r w:rsidR="00E72CE1" w:rsidRPr="00BA24AD">
        <w:rPr>
          <w:sz w:val="28"/>
          <w:szCs w:val="28"/>
        </w:rPr>
        <w:t xml:space="preserve"> нефтеперерабатывающего производства</w:t>
      </w:r>
    </w:p>
    <w:p w:rsidR="00E775F9" w:rsidRPr="00BA24AD" w:rsidRDefault="00E775F9" w:rsidP="00BA24AD">
      <w:pPr>
        <w:spacing w:line="360" w:lineRule="auto"/>
        <w:ind w:firstLine="709"/>
        <w:jc w:val="both"/>
        <w:rPr>
          <w:sz w:val="28"/>
          <w:szCs w:val="28"/>
        </w:rPr>
      </w:pPr>
    </w:p>
    <w:p w:rsidR="00E775F9" w:rsidRPr="00BA24AD" w:rsidRDefault="00E775F9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Нефтепродукты - смеси углеводородов и некоторых их производных, а также индивидуальные химические соединения, получаемые при переработке нефти и используемые в качестве топлив, смазочных материалов, электроизоляционных сред, растворителей, дорожных покрытий, нефтехимического сырья и для других целей. Значительная часть нефтепродуктов представляет собой смеси отдельных углеводородных компонентов, содержащие различные добавки и присадки, улучшающие свойства нефтепродуктов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 xml:space="preserve">и повышающие стабильность их эксплуатационных характеристик. </w:t>
      </w:r>
    </w:p>
    <w:p w:rsidR="00E775F9" w:rsidRPr="00BA24AD" w:rsidRDefault="00E775F9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Топлива (газообразные и жидкие) составляют одну из главных групп нефтепродуктов. Масла нефтяные составляют вторую по объёму и значению группу нефтепродуктов. Нефтяные технические битумы составляют третью по объёму производства группу товарных нефтепродуктов, имеющих широкое применение в народном хозяйстве: дорожные, строительные битумы и др. Значительную группу нефтепродуктов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 xml:space="preserve">составляют так называемые твёрдые углеводороды: парафины, церезины, вазелины, </w:t>
      </w:r>
      <w:r w:rsidRPr="00BA24AD">
        <w:rPr>
          <w:rStyle w:val="spelle"/>
          <w:sz w:val="28"/>
          <w:szCs w:val="28"/>
        </w:rPr>
        <w:t>петролатумы</w:t>
      </w:r>
      <w:r w:rsidRPr="00BA24AD">
        <w:rPr>
          <w:sz w:val="28"/>
          <w:szCs w:val="28"/>
        </w:rPr>
        <w:t xml:space="preserve">, озокериты и др. </w:t>
      </w:r>
      <w:r w:rsidR="001533D7" w:rsidRPr="00BA24AD">
        <w:rPr>
          <w:sz w:val="28"/>
          <w:szCs w:val="28"/>
        </w:rPr>
        <w:t>Товарными нефтепродуктами</w:t>
      </w:r>
      <w:r w:rsidRPr="00BA24AD">
        <w:rPr>
          <w:sz w:val="28"/>
          <w:szCs w:val="28"/>
        </w:rPr>
        <w:t xml:space="preserve"> являются также различные растворители, нефтяной кокс, сажа, </w:t>
      </w:r>
      <w:r w:rsidRPr="00BA24AD">
        <w:rPr>
          <w:rStyle w:val="spelle"/>
          <w:sz w:val="28"/>
          <w:szCs w:val="28"/>
        </w:rPr>
        <w:t>деэмульгаторы</w:t>
      </w:r>
      <w:r w:rsidRPr="00BA24AD">
        <w:rPr>
          <w:sz w:val="28"/>
          <w:szCs w:val="28"/>
        </w:rPr>
        <w:t xml:space="preserve"> и пр.</w:t>
      </w:r>
      <w:r w:rsidR="00637958" w:rsidRP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Н</w:t>
      </w:r>
      <w:r w:rsidR="002C2CF1" w:rsidRPr="00BA24AD">
        <w:rPr>
          <w:sz w:val="28"/>
          <w:szCs w:val="28"/>
        </w:rPr>
        <w:t>ефтепродукты</w:t>
      </w:r>
      <w:r w:rsidRPr="00BA24AD">
        <w:rPr>
          <w:sz w:val="28"/>
          <w:szCs w:val="28"/>
        </w:rPr>
        <w:t>, получаемые путём разделения фракций пиролиза нефти (бензол, толуол, ксилол, нафталин, зелёное масло и др.), применяются в основном как нефтехимическое сырьё. В качестве химического сырья используются также газы нефтепереработки и многие др. продукты термической и каталитической переработки нефти.</w:t>
      </w:r>
    </w:p>
    <w:p w:rsidR="00AF2DAF" w:rsidRPr="00BA24AD" w:rsidRDefault="00E72CE1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Процесс переработки нефти можно разделить на 3 основных этапа: </w:t>
      </w:r>
    </w:p>
    <w:p w:rsidR="00E72CE1" w:rsidRPr="00BA24AD" w:rsidRDefault="00E72CE1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1. Разделение нефтяного сырья на фракции, различающиеся по интервалам температур кипения </w:t>
      </w:r>
      <w:r w:rsidRPr="00BA24AD">
        <w:rPr>
          <w:i/>
          <w:iCs/>
          <w:sz w:val="28"/>
          <w:szCs w:val="28"/>
        </w:rPr>
        <w:t>(первичная переработка)</w:t>
      </w:r>
      <w:r w:rsidRPr="00BA24AD">
        <w:rPr>
          <w:sz w:val="28"/>
          <w:szCs w:val="28"/>
        </w:rPr>
        <w:t xml:space="preserve">; </w:t>
      </w:r>
    </w:p>
    <w:p w:rsidR="00E72CE1" w:rsidRPr="00BA24AD" w:rsidRDefault="00E72CE1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2. Переработка полученных фракций путем химических превращений содержащихся в них углеводородов и выработка компонентов товарных нефтепродуктов </w:t>
      </w:r>
      <w:r w:rsidRPr="00BA24AD">
        <w:rPr>
          <w:i/>
          <w:iCs/>
          <w:sz w:val="28"/>
          <w:szCs w:val="28"/>
        </w:rPr>
        <w:t>(вторичная переработка)</w:t>
      </w:r>
      <w:r w:rsidRPr="00BA24AD">
        <w:rPr>
          <w:sz w:val="28"/>
          <w:szCs w:val="28"/>
        </w:rPr>
        <w:t xml:space="preserve">; </w:t>
      </w:r>
    </w:p>
    <w:p w:rsidR="00E72CE1" w:rsidRPr="00BA24AD" w:rsidRDefault="00E72CE1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3. Смешение компонентов с вовлечением, при необходимости, различных присадок, с получением товарных нефтепродуктов с заданными показателями качества </w:t>
      </w:r>
      <w:r w:rsidRPr="00BA24AD">
        <w:rPr>
          <w:i/>
          <w:iCs/>
          <w:sz w:val="28"/>
          <w:szCs w:val="28"/>
        </w:rPr>
        <w:t>(товарное производство)</w:t>
      </w:r>
      <w:r w:rsidRPr="00BA24AD">
        <w:rPr>
          <w:sz w:val="28"/>
          <w:szCs w:val="28"/>
        </w:rPr>
        <w:t xml:space="preserve">. </w:t>
      </w:r>
    </w:p>
    <w:p w:rsidR="002C2CF1" w:rsidRDefault="002C2CF1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В ходе о</w:t>
      </w:r>
      <w:r w:rsidR="00B00818" w:rsidRPr="00BA24AD">
        <w:rPr>
          <w:sz w:val="28"/>
          <w:szCs w:val="28"/>
        </w:rPr>
        <w:t>сновны</w:t>
      </w:r>
      <w:r w:rsidRPr="00BA24AD">
        <w:rPr>
          <w:sz w:val="28"/>
          <w:szCs w:val="28"/>
        </w:rPr>
        <w:t>х</w:t>
      </w:r>
      <w:r w:rsidR="00B00818" w:rsidRPr="00BA24AD">
        <w:rPr>
          <w:sz w:val="28"/>
          <w:szCs w:val="28"/>
        </w:rPr>
        <w:t xml:space="preserve"> технологически</w:t>
      </w:r>
      <w:r w:rsidRPr="00BA24AD">
        <w:rPr>
          <w:sz w:val="28"/>
          <w:szCs w:val="28"/>
        </w:rPr>
        <w:t>х</w:t>
      </w:r>
      <w:r w:rsidR="00B00818" w:rsidRPr="00BA24AD">
        <w:rPr>
          <w:sz w:val="28"/>
          <w:szCs w:val="28"/>
        </w:rPr>
        <w:t xml:space="preserve"> процесс</w:t>
      </w:r>
      <w:r w:rsidRPr="00BA24AD">
        <w:rPr>
          <w:sz w:val="28"/>
          <w:szCs w:val="28"/>
        </w:rPr>
        <w:t>ов</w:t>
      </w:r>
      <w:r w:rsidR="00B00818" w:rsidRPr="00BA24AD">
        <w:rPr>
          <w:sz w:val="28"/>
          <w:szCs w:val="28"/>
        </w:rPr>
        <w:t xml:space="preserve"> топливного производ</w:t>
      </w:r>
      <w:r w:rsidRPr="00BA24AD">
        <w:rPr>
          <w:sz w:val="28"/>
          <w:szCs w:val="28"/>
        </w:rPr>
        <w:t xml:space="preserve">ства, применяемых на нефтеперерабатывающих заводах России, </w:t>
      </w:r>
      <w:r w:rsidR="00B00818" w:rsidRPr="00BA24AD">
        <w:rPr>
          <w:sz w:val="28"/>
          <w:szCs w:val="28"/>
        </w:rPr>
        <w:t>вырабатываются только компоненты моторных, авиационных и котельных топлив с различными показателями качества. Например, октановое число прямогонного бензина составляет около 65, риформата - 95-100, бензина коксования - 60. Другие показатели качества (например, фракционный состав, содержание серы) у компонентов также различаются. Для получения же товарных нефтепродуктов организуется смешение полученных компонентов в соответствующих емкостях НПЗ в соотношениях, которые обеспечивают нормируемые показатели качества.</w:t>
      </w:r>
      <w:r w:rsidR="00BA24AD">
        <w:rPr>
          <w:sz w:val="28"/>
          <w:szCs w:val="28"/>
        </w:rPr>
        <w:t xml:space="preserve"> </w:t>
      </w:r>
      <w:r w:rsidR="00B00818" w:rsidRPr="00BA24AD">
        <w:rPr>
          <w:sz w:val="28"/>
          <w:szCs w:val="28"/>
        </w:rPr>
        <w:t>Расчёт рецептуры смешения (компаундирования) компонентов осуществляется при помощи соответствующих модулей математических моделей, используемых для планирования производства по НПЗ в целом. Исходными данными для моделирования являются прогнозные остатки сырья, компонентов и товарной продукции, план реализации нефтепродуктов в разрезе ассортимента, плановый объём поставок нефти. Таким образом возможно рассчитать наиболее эффективные соотношения между компонентами при смешении.</w:t>
      </w:r>
      <w:r w:rsidR="00637958" w:rsidRPr="00BA24AD">
        <w:rPr>
          <w:sz w:val="28"/>
          <w:szCs w:val="28"/>
        </w:rPr>
        <w:t xml:space="preserve"> </w:t>
      </w:r>
      <w:r w:rsidR="00B00818" w:rsidRPr="00BA24AD">
        <w:rPr>
          <w:sz w:val="28"/>
          <w:szCs w:val="28"/>
        </w:rPr>
        <w:t>Зачастую на заводах используются устоявшиеся рецептуры смешения, которые корректируются при изменении технологической схемы.</w:t>
      </w:r>
      <w:r w:rsidR="00637958" w:rsidRPr="00BA24AD">
        <w:rPr>
          <w:sz w:val="28"/>
          <w:szCs w:val="28"/>
        </w:rPr>
        <w:t xml:space="preserve"> </w:t>
      </w:r>
      <w:r w:rsidR="00B00818" w:rsidRPr="00BA24AD">
        <w:rPr>
          <w:sz w:val="28"/>
          <w:szCs w:val="28"/>
        </w:rPr>
        <w:t>Компоненты нефтепродуктов в заданном соотношении закачиваются в ёмкость для смешения, куда также могут подаваться присадки. Полученные товарные нефтепродукты проходят контроль качества и откачиваются в соответствующие ёмкости товарно-сырьевой базы, откуда отгружаются потребителю.</w:t>
      </w:r>
    </w:p>
    <w:p w:rsidR="00861E56" w:rsidRPr="00BA24AD" w:rsidRDefault="00BA24AD" w:rsidP="00BA24A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2DAF" w:rsidRPr="00BA24AD">
        <w:rPr>
          <w:sz w:val="28"/>
          <w:szCs w:val="28"/>
        </w:rPr>
        <w:t xml:space="preserve">2. </w:t>
      </w:r>
      <w:r w:rsidR="00CC3227" w:rsidRPr="00BA24AD">
        <w:rPr>
          <w:sz w:val="28"/>
          <w:szCs w:val="28"/>
        </w:rPr>
        <w:t>Компаундирование</w:t>
      </w:r>
    </w:p>
    <w:p w:rsidR="0055768E" w:rsidRPr="00BA24AD" w:rsidRDefault="0055768E" w:rsidP="00BA24AD">
      <w:pPr>
        <w:spacing w:line="360" w:lineRule="auto"/>
        <w:ind w:firstLine="709"/>
        <w:jc w:val="both"/>
        <w:rPr>
          <w:sz w:val="28"/>
          <w:szCs w:val="28"/>
        </w:rPr>
      </w:pPr>
    </w:p>
    <w:p w:rsidR="002C2CF1" w:rsidRPr="00BA24AD" w:rsidRDefault="002C2CF1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В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схеме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современного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нефтеперерабатывающего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завода,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одним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их ведущих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процессов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является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процесс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компаундирования.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Этот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процесс обеспечивает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получение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высокооктанового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бензина,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отвечающего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всем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требованиям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ГОСТ.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В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то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же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время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для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повышения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качества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получаемого бензина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и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его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выхода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постоянно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ведётся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поиск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путей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совершенствования технологии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данного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процесса.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Эта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задача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решается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как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дорогостоящими экспериментальными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способами (использование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высокооктановых компонентов;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применение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антидетонационных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присадок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и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т.д</w:t>
      </w:r>
      <w:r w:rsidR="00AF2DAF" w:rsidRPr="00BA24AD">
        <w:rPr>
          <w:sz w:val="28"/>
          <w:szCs w:val="28"/>
        </w:rPr>
        <w:t>.</w:t>
      </w:r>
      <w:r w:rsidRPr="00BA24AD">
        <w:rPr>
          <w:sz w:val="28"/>
          <w:szCs w:val="28"/>
        </w:rPr>
        <w:t>),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так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и методами математического моделирования.</w:t>
      </w:r>
    </w:p>
    <w:p w:rsidR="00861E56" w:rsidRPr="00BA24AD" w:rsidRDefault="0055768E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Д</w:t>
      </w:r>
      <w:r w:rsidR="00861E56" w:rsidRPr="00BA24AD">
        <w:rPr>
          <w:sz w:val="28"/>
          <w:szCs w:val="28"/>
        </w:rPr>
        <w:t>авление насыщенного пара – одна из наиболее важных переменных, имеющих значение при компаундировании бензина. Давление насыщенного пара –</w:t>
      </w:r>
      <w:r w:rsidR="00BA24AD">
        <w:rPr>
          <w:sz w:val="28"/>
          <w:szCs w:val="28"/>
        </w:rPr>
        <w:t xml:space="preserve"> </w:t>
      </w:r>
      <w:r w:rsidR="00861E56" w:rsidRPr="00BA24AD">
        <w:rPr>
          <w:sz w:val="28"/>
          <w:szCs w:val="28"/>
        </w:rPr>
        <w:t>это мера поверхностного давления, которое необходимо, чтобы жидкость не испарялась. Для легкокипящего углеводорода</w:t>
      </w:r>
      <w:r w:rsidR="00BA24AD">
        <w:rPr>
          <w:sz w:val="28"/>
          <w:szCs w:val="28"/>
        </w:rPr>
        <w:t xml:space="preserve"> </w:t>
      </w:r>
      <w:r w:rsidR="00861E56" w:rsidRPr="00BA24AD">
        <w:rPr>
          <w:sz w:val="28"/>
          <w:szCs w:val="28"/>
        </w:rPr>
        <w:t>типа пропана давление паров очень высоко,</w:t>
      </w:r>
      <w:r w:rsidR="00BA24AD">
        <w:rPr>
          <w:sz w:val="28"/>
          <w:szCs w:val="28"/>
        </w:rPr>
        <w:t xml:space="preserve"> </w:t>
      </w:r>
      <w:r w:rsidR="00861E56" w:rsidRPr="00BA24AD">
        <w:rPr>
          <w:sz w:val="28"/>
          <w:szCs w:val="28"/>
        </w:rPr>
        <w:t>так как</w:t>
      </w:r>
      <w:r w:rsidR="00BA24AD">
        <w:rPr>
          <w:sz w:val="28"/>
          <w:szCs w:val="28"/>
        </w:rPr>
        <w:t xml:space="preserve"> </w:t>
      </w:r>
      <w:r w:rsidR="00861E56" w:rsidRPr="00BA24AD">
        <w:rPr>
          <w:sz w:val="28"/>
          <w:szCs w:val="28"/>
        </w:rPr>
        <w:t>этот углеводород очень летуч. Более высококипящий углеводород,</w:t>
      </w:r>
      <w:r w:rsidR="00BA24AD">
        <w:rPr>
          <w:sz w:val="28"/>
          <w:szCs w:val="28"/>
        </w:rPr>
        <w:t xml:space="preserve"> </w:t>
      </w:r>
      <w:r w:rsidR="00861E56" w:rsidRPr="00BA24AD">
        <w:rPr>
          <w:sz w:val="28"/>
          <w:szCs w:val="28"/>
        </w:rPr>
        <w:t>такой как газойль, характеризуется почти нулевым давлением насыщенных паров, так как при комнатной температуре он испаряется крайне медленно. Для увеличения давления паров следует добавлять бутаны. Бутан получается</w:t>
      </w:r>
      <w:r w:rsidR="00BA24AD">
        <w:rPr>
          <w:sz w:val="28"/>
          <w:szCs w:val="28"/>
        </w:rPr>
        <w:t xml:space="preserve"> </w:t>
      </w:r>
      <w:r w:rsidR="00861E56" w:rsidRPr="00BA24AD">
        <w:rPr>
          <w:sz w:val="28"/>
          <w:szCs w:val="28"/>
        </w:rPr>
        <w:t xml:space="preserve">как побочный продукт различных процессов на нефтеперерабатывающем заводе. Кроме того, его выделяют из природного газа. Каким-то образом эти два весьма негибких источника обеспечивают производство бутана в </w:t>
      </w:r>
      <w:r w:rsidRPr="00BA24AD">
        <w:rPr>
          <w:sz w:val="28"/>
          <w:szCs w:val="28"/>
        </w:rPr>
        <w:t>количестве, необходимом для ком</w:t>
      </w:r>
      <w:r w:rsidR="00861E56" w:rsidRPr="00BA24AD">
        <w:rPr>
          <w:sz w:val="28"/>
          <w:szCs w:val="28"/>
        </w:rPr>
        <w:t>паундирования бензина.</w:t>
      </w:r>
    </w:p>
    <w:p w:rsidR="00647188" w:rsidRPr="00BA24AD" w:rsidRDefault="00647188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Октановое число показывает, будет ли бензин детонировать в двигателе. За бензин с октановым числом 100 был условно принят изооктан. Нормальный гептан, который детонирует при значительно меньшей степени сжатия, был принят за бензин с октановым числом 0. Каждому компоненту бензина можно поставить в соответствие смесь изооктана и н-гептана определенного состава. </w:t>
      </w:r>
    </w:p>
    <w:p w:rsidR="00647188" w:rsidRPr="00BA24AD" w:rsidRDefault="00647188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Октановым числом считается процентная доля изооктана в смеси, детонирующей при той же степени сжатия.</w:t>
      </w:r>
      <w:r w:rsidR="0055768E" w:rsidRP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Конс</w:t>
      </w:r>
      <w:r w:rsidR="0055768E" w:rsidRPr="00BA24AD">
        <w:rPr>
          <w:sz w:val="28"/>
          <w:szCs w:val="28"/>
        </w:rPr>
        <w:t>трукция двигателя обычно рассчи</w:t>
      </w:r>
      <w:r w:rsidRPr="00BA24AD">
        <w:rPr>
          <w:sz w:val="28"/>
          <w:szCs w:val="28"/>
        </w:rPr>
        <w:t xml:space="preserve">тана на то или иное поведение топлива. Степень сжатия топлива в двигателе определяет мощность, которую тот способен </w:t>
      </w:r>
      <w:r w:rsidR="0055768E" w:rsidRPr="00BA24AD">
        <w:rPr>
          <w:sz w:val="28"/>
          <w:szCs w:val="28"/>
        </w:rPr>
        <w:t>развить. Чем больше степень сжа</w:t>
      </w:r>
      <w:r w:rsidRPr="00BA24AD">
        <w:rPr>
          <w:sz w:val="28"/>
          <w:szCs w:val="28"/>
        </w:rPr>
        <w:t xml:space="preserve">тия, тем длиннее рабочий такт и тем более мощным является двигатель. Таким образом, на машины разного размера устанавливают двигатели различной конструкции, которым требуется бензин с разными октановыми числами. </w:t>
      </w:r>
    </w:p>
    <w:p w:rsidR="00647188" w:rsidRPr="00BA24AD" w:rsidRDefault="00647188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Чтобы упростить задачу достижения необходимого октанового числа, в бензин добавляли соединения свинца –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тетраэтилсвинец (ТЭС) или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тетраметилсвинец (ТМС). Эти соединения увеличивают октановое число бензина, не влияя при этом на другие его свойства. Как это ни парадоксально, свинец добавляют в бензин, чтобы подавить воспламенение. Некоторая сложность возникает из-за того, что чем больше концентрация свинцовой присадки, тем менее эффективна ее последняя порция, то есть октановое число нелинейно</w:t>
      </w:r>
      <w:r w:rsidR="0055768E" w:rsidRP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зависит от концентрации присадки.</w:t>
      </w:r>
    </w:p>
    <w:p w:rsidR="00647188" w:rsidRPr="00BA24AD" w:rsidRDefault="00647188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В конце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70-х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годов нефтепереработчики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стали искать другие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способы повышения октанового числа. В наст</w:t>
      </w:r>
      <w:r w:rsidR="0055768E" w:rsidRPr="00BA24AD">
        <w:rPr>
          <w:sz w:val="28"/>
          <w:szCs w:val="28"/>
        </w:rPr>
        <w:t>оящее время нефтехимическая про</w:t>
      </w:r>
      <w:r w:rsidRPr="00BA24AD">
        <w:rPr>
          <w:sz w:val="28"/>
          <w:szCs w:val="28"/>
        </w:rPr>
        <w:t>мышленность предоставляет для этого несколько продуктов: метанол, этанол, трет-бутиловый спирт (ТБС) и метил-трет-бутиловый эфир (МТБЭ).</w:t>
      </w:r>
    </w:p>
    <w:p w:rsidR="00647188" w:rsidRPr="00BA24AD" w:rsidRDefault="00647188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Интерес к спиртам обусловлен соотношением между их себестоимостью и их полезными свойст</w:t>
      </w:r>
      <w:r w:rsidR="0055768E" w:rsidRPr="00BA24AD">
        <w:rPr>
          <w:sz w:val="28"/>
          <w:szCs w:val="28"/>
        </w:rPr>
        <w:t>вами в качестве компонентов бен</w:t>
      </w:r>
      <w:r w:rsidRPr="00BA24AD">
        <w:rPr>
          <w:sz w:val="28"/>
          <w:szCs w:val="28"/>
        </w:rPr>
        <w:t xml:space="preserve">зина, конкретнее их способностью повышать октановое число. Но их влияние не столь прямолинейно, как, например, влияние алкилата или риформата. Добавление спиртов и кислородсодержащих веществ действует немонотонно. Например, небольшие добавки (до 2-3%) спирта резко поднимают ДПР смеси. При дальнейшем прибавлении (до 5, 10 или 15% по объему) изменений не происходит. Также в некоторых случаях эффект свинцового антидетонатора оказывается отрицательным. </w:t>
      </w:r>
    </w:p>
    <w:p w:rsidR="00637958" w:rsidRPr="00BA24AD" w:rsidRDefault="006B19D2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24AD">
        <w:rPr>
          <w:sz w:val="28"/>
          <w:szCs w:val="28"/>
        </w:rPr>
        <w:t>Для компаун</w:t>
      </w:r>
      <w:r w:rsidR="00637958" w:rsidRPr="00BA24AD">
        <w:rPr>
          <w:sz w:val="28"/>
          <w:szCs w:val="28"/>
        </w:rPr>
        <w:t>дирования бензинов используются, например, блоки</w:t>
      </w:r>
      <w:r w:rsidR="00BA24AD">
        <w:rPr>
          <w:sz w:val="28"/>
          <w:szCs w:val="28"/>
        </w:rPr>
        <w:t xml:space="preserve"> </w:t>
      </w:r>
      <w:r w:rsidR="00637958" w:rsidRPr="00BA24AD">
        <w:rPr>
          <w:sz w:val="28"/>
          <w:szCs w:val="28"/>
        </w:rPr>
        <w:t xml:space="preserve">компаундирования ООО «Ренотек». Этот блок предназначен для приготовления товарных нефтепродуктов в режиме интенсивного перемешивания различных компонентов в диспергаторе для достижения качественных показателей, соответствующим требованиям стандартов. </w:t>
      </w:r>
    </w:p>
    <w:p w:rsidR="00637958" w:rsidRPr="00BA24AD" w:rsidRDefault="00637958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24AD">
        <w:rPr>
          <w:sz w:val="28"/>
          <w:szCs w:val="28"/>
        </w:rPr>
        <w:t>Блок компаундирования устанавливается на складе нефтепродуктов и производит путем смешивания компонентов и вводом присадок следующие продукты: бензин автомобильный по ГОСТ Р 51105-97; топливо реактивное по ГОСТ 10227-86; дизельное топливо по ГОСТ 305-82; другие виды моторных топлив и топливные смеси, выпускаемые по ОСТ, ТУ и т.д.; масла моторные по ГОСТ 10541-78 и другие нефтепродукты.</w:t>
      </w:r>
    </w:p>
    <w:p w:rsidR="00637958" w:rsidRPr="00BA24AD" w:rsidRDefault="00637958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24AD">
        <w:rPr>
          <w:sz w:val="28"/>
          <w:szCs w:val="28"/>
        </w:rPr>
        <w:t>Блоки компаундирования выпускаются согласно ТУ в 7 исполнениях, учитывающих вязкость приготавливаемых нефтепродуктов и необходимость предварительного подогрева. Для работы в условиях низких температур изготавливается северное исполнение блока.</w:t>
      </w:r>
    </w:p>
    <w:p w:rsidR="00637958" w:rsidRPr="00BA24AD" w:rsidRDefault="00637958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24AD">
        <w:rPr>
          <w:sz w:val="28"/>
          <w:szCs w:val="28"/>
        </w:rPr>
        <w:t>Блок компаундирования состоит из двух модулей: Б1 – модуль насосов компонентов топлив и присадок; Б2 – модуль управления. Модуль управления изготавливается на основе современных микроэлектронных компонентов зарубежного производства, что обеспечивает высокую точность объемного дозирования, и может сопрягаться с персональным компьютером. Трубопроводы, соединяющие: модуль Б1 с резервуарами склада нефтепродуктов, поддоны модуля Б1 с системой канализации, для прокладки кабелей между модулями Б1 и Б2, в комплект поставки не входят.</w:t>
      </w:r>
    </w:p>
    <w:p w:rsidR="00637958" w:rsidRPr="00BA24AD" w:rsidRDefault="00637958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24AD">
        <w:rPr>
          <w:sz w:val="28"/>
          <w:szCs w:val="28"/>
        </w:rPr>
        <w:t>Блок компаундирования размещается на наземном или подземном складе нефтепродуктов. Модуль Б1 устанавливается на площадке размещения резервуаров склада нефтепродуктов. Модуль Б2 устанавливается в операторном помещении на расстоянии не более 40м по горизонтали от модуля Б1.</w:t>
      </w:r>
    </w:p>
    <w:p w:rsidR="0007594A" w:rsidRPr="00BA24AD" w:rsidRDefault="0007594A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24AD">
        <w:rPr>
          <w:sz w:val="28"/>
          <w:szCs w:val="28"/>
        </w:rPr>
        <w:t>Технологический процесс представляет собой смешивание компонентов топлива и введение присадок с последующей гомогенизацией смеси.</w:t>
      </w:r>
      <w:r w:rsidR="00637958" w:rsidRP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Компоненты топлива и присадки насосами Н1..Н4 закачиваются в диспергатор Д1, где происходит тщательное перемешивание смеси.</w:t>
      </w:r>
      <w:r w:rsidR="00637958" w:rsidRP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Дозирование производится при помощи счетчиков Т1..Т3. Необходимое количество компонента устанавливается оператором на пульте управления модуля Б2.</w:t>
      </w:r>
      <w:r w:rsidR="00637958" w:rsidRP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Автоматика поддерживает расход каждого компонента или присадки в пропорции к расходу базового компонента с точностью 0,5% об.</w:t>
      </w:r>
    </w:p>
    <w:p w:rsidR="0007594A" w:rsidRPr="00BA24AD" w:rsidRDefault="0007594A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24AD">
        <w:rPr>
          <w:sz w:val="28"/>
          <w:szCs w:val="28"/>
        </w:rPr>
        <w:t>Работа блока может быть запрограммирована либо по необходимому количеству произведенного нефтепродукта, либо по времени работы.</w:t>
      </w:r>
      <w:r w:rsidR="00637958" w:rsidRP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В конце работы оператор может получить рапорт о работе блока за необходимый период времени с выводом на печать. В рапорте отражается: продолжительность работы, количество произведенного нефтепродукта, количество израсходованных компонентов и т.д.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Режим работы блока компаундирования – непрерывный, автоматический.</w:t>
      </w:r>
      <w:r w:rsidR="00637958" w:rsidRP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Количество обслуживающего персонала – 2.</w:t>
      </w:r>
      <w:r w:rsidR="00637958" w:rsidRP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Количество смешиваемых компонентов – до 4.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Благодаря усовершенствованной конструкции блок компаундирования не производит выбросов углеводородных газов через дыхательные клапаны, количество запорной арматуры и фланцевых соединений сведено к минимуму.</w:t>
      </w:r>
    </w:p>
    <w:p w:rsidR="0007594A" w:rsidRDefault="0007594A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24AD">
        <w:rPr>
          <w:sz w:val="28"/>
          <w:szCs w:val="28"/>
        </w:rPr>
        <w:t>Аппарат смешивания блока не требует регистрации в органах Ростехнадзора.</w:t>
      </w:r>
    </w:p>
    <w:p w:rsidR="00BA24AD" w:rsidRPr="00BA24AD" w:rsidRDefault="00BA24AD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07594A" w:rsidRPr="00BA24AD" w:rsidRDefault="0007594A" w:rsidP="00BA24AD">
      <w:pPr>
        <w:spacing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BA24AD">
        <w:rPr>
          <w:bCs/>
          <w:i/>
          <w:sz w:val="28"/>
          <w:szCs w:val="28"/>
        </w:rPr>
        <w:t>Технологическая схема</w:t>
      </w:r>
    </w:p>
    <w:p w:rsidR="0007594A" w:rsidRPr="00BA24AD" w:rsidRDefault="00823AA9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71pt">
            <v:imagedata r:id="rId7" o:title=""/>
          </v:shape>
        </w:pict>
      </w:r>
    </w:p>
    <w:p w:rsidR="0007594A" w:rsidRPr="00BA24AD" w:rsidRDefault="00BA24AD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594A" w:rsidRPr="00BA24AD">
        <w:rPr>
          <w:sz w:val="28"/>
          <w:szCs w:val="28"/>
        </w:rPr>
        <w:t>Высокое качество получаемого нефтепродукта достигается при условии, что сырье, поступающее на переработку, и дозируемые компоненты (присадки) соответствуют требованиям, установленным технологическим регламентом на компаундирование.</w:t>
      </w:r>
    </w:p>
    <w:p w:rsidR="0007594A" w:rsidRPr="00BA24AD" w:rsidRDefault="0007594A" w:rsidP="00BA24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24AD">
        <w:rPr>
          <w:sz w:val="28"/>
          <w:szCs w:val="28"/>
        </w:rPr>
        <w:t xml:space="preserve">Базовыми компонентами автомобильных бензинов могут быть: бензин прямой гонки; риформат; бензин крекинга; бензин пиролиза; полимербензин; алкилат; изомеризат; бутан. Высокооктановые кислородсодержащие компоненты: МТБЭ, фетерол; ТАМЭ; этанол; метанол; изопропиловый спирт и т.д. В качестве присадок, повышающих октановое число бензина, можно рекомендовать: </w:t>
      </w:r>
      <w:r w:rsidRPr="00BA24AD">
        <w:rPr>
          <w:sz w:val="28"/>
          <w:szCs w:val="28"/>
          <w:lang w:val="en-US"/>
        </w:rPr>
        <w:t>N</w:t>
      </w:r>
      <w:r w:rsidRPr="00BA24AD">
        <w:rPr>
          <w:sz w:val="28"/>
          <w:szCs w:val="28"/>
        </w:rPr>
        <w:t>-метиланилин технический; «Экстралин»; «АДА»; «ДАКС»; «БВД»; «Феррада»; «Автовэм».</w:t>
      </w:r>
    </w:p>
    <w:p w:rsidR="00637958" w:rsidRPr="00BA24AD" w:rsidRDefault="00637958" w:rsidP="00BA24AD">
      <w:pPr>
        <w:spacing w:line="360" w:lineRule="auto"/>
        <w:ind w:firstLine="709"/>
        <w:jc w:val="both"/>
        <w:rPr>
          <w:sz w:val="28"/>
          <w:szCs w:val="28"/>
        </w:rPr>
      </w:pPr>
    </w:p>
    <w:p w:rsidR="003D3328" w:rsidRPr="00BA24AD" w:rsidRDefault="00BA24AD" w:rsidP="00BA24A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3328" w:rsidRPr="00BA24AD">
        <w:rPr>
          <w:sz w:val="28"/>
          <w:szCs w:val="28"/>
        </w:rPr>
        <w:t>Заключение</w:t>
      </w:r>
    </w:p>
    <w:p w:rsidR="003D3328" w:rsidRPr="00BA24AD" w:rsidRDefault="003D3328" w:rsidP="00BA24AD">
      <w:pPr>
        <w:spacing w:line="360" w:lineRule="auto"/>
        <w:ind w:firstLine="709"/>
        <w:jc w:val="both"/>
        <w:rPr>
          <w:sz w:val="28"/>
          <w:szCs w:val="28"/>
        </w:rPr>
      </w:pPr>
    </w:p>
    <w:p w:rsidR="00AF2DAF" w:rsidRPr="00BA24AD" w:rsidRDefault="00575E8C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Компаундирование – это:</w:t>
      </w:r>
    </w:p>
    <w:p w:rsidR="00AF2DAF" w:rsidRPr="00BA24AD" w:rsidRDefault="00575E8C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- производство товарных </w:t>
      </w:r>
      <w:r w:rsidR="00641995" w:rsidRPr="00BA24AD">
        <w:rPr>
          <w:sz w:val="28"/>
          <w:szCs w:val="28"/>
        </w:rPr>
        <w:t>продуктов</w:t>
      </w:r>
      <w:r w:rsidRPr="00BA24AD">
        <w:rPr>
          <w:sz w:val="28"/>
          <w:szCs w:val="28"/>
        </w:rPr>
        <w:t xml:space="preserve"> из сырья методом вовлечения в его состав добавок и компонентов в заданных объемах согласно технологической рецептуры по ТУ, соответствующие требованиям ГОСТ Р 51313;</w:t>
      </w:r>
    </w:p>
    <w:p w:rsidR="003D3328" w:rsidRPr="00BA24AD" w:rsidRDefault="00575E8C" w:rsidP="00BA24AD">
      <w:pPr>
        <w:spacing w:line="360" w:lineRule="auto"/>
        <w:ind w:firstLine="709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- повышение октанового числа товарных </w:t>
      </w:r>
      <w:r w:rsidR="00641995" w:rsidRPr="00BA24AD">
        <w:rPr>
          <w:sz w:val="28"/>
          <w:szCs w:val="28"/>
        </w:rPr>
        <w:t>продуктов</w:t>
      </w:r>
      <w:r w:rsidRPr="00BA24AD">
        <w:rPr>
          <w:sz w:val="28"/>
          <w:szCs w:val="28"/>
        </w:rPr>
        <w:t xml:space="preserve"> методом вовлечения в состав товарных </w:t>
      </w:r>
      <w:r w:rsidR="00641995" w:rsidRPr="00BA24AD">
        <w:rPr>
          <w:sz w:val="28"/>
          <w:szCs w:val="28"/>
        </w:rPr>
        <w:t>продукт</w:t>
      </w:r>
      <w:r w:rsidRPr="00BA24AD">
        <w:rPr>
          <w:sz w:val="28"/>
          <w:szCs w:val="28"/>
        </w:rPr>
        <w:t>ов добавок и компонентов в заданных объемах согласно ТУ и соответствующие требованиям ГОСТ Р 51313.</w:t>
      </w:r>
    </w:p>
    <w:p w:rsidR="003D3328" w:rsidRPr="00BA24AD" w:rsidRDefault="003D3328" w:rsidP="00BA24AD">
      <w:pPr>
        <w:spacing w:line="360" w:lineRule="auto"/>
        <w:ind w:firstLine="709"/>
        <w:jc w:val="both"/>
        <w:rPr>
          <w:sz w:val="28"/>
          <w:szCs w:val="28"/>
        </w:rPr>
      </w:pPr>
    </w:p>
    <w:p w:rsidR="003D3328" w:rsidRPr="00BA24AD" w:rsidRDefault="00BA24AD" w:rsidP="00BA24A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3328" w:rsidRPr="00BA24AD">
        <w:rPr>
          <w:sz w:val="28"/>
          <w:szCs w:val="28"/>
        </w:rPr>
        <w:t>Список литературы</w:t>
      </w:r>
    </w:p>
    <w:p w:rsidR="003D3328" w:rsidRPr="00BA24AD" w:rsidRDefault="003D3328" w:rsidP="00BA24AD">
      <w:pPr>
        <w:spacing w:line="360" w:lineRule="auto"/>
        <w:ind w:firstLine="709"/>
        <w:jc w:val="both"/>
        <w:rPr>
          <w:sz w:val="28"/>
          <w:szCs w:val="28"/>
        </w:rPr>
      </w:pPr>
    </w:p>
    <w:p w:rsidR="006B19D2" w:rsidRPr="00BA24AD" w:rsidRDefault="006B19D2" w:rsidP="00BA2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Аксенов В.С., Камьянов В.Ф.// Нефтехимия. 1980. - № 3. </w:t>
      </w:r>
    </w:p>
    <w:p w:rsidR="006B19D2" w:rsidRPr="00BA24AD" w:rsidRDefault="006B19D2" w:rsidP="00BA2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Загряцкая Л.М., Земцов В.П., Масагутов Р.М. и др.// Нефтепереработка и нефтехимия. - 1973. - № 2. - С.39. </w:t>
      </w:r>
    </w:p>
    <w:p w:rsidR="006B19D2" w:rsidRPr="00BA24AD" w:rsidRDefault="006B19D2" w:rsidP="00BA2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Золотова Н.В., Гервиц Л.А., Денисов Е.Т.// Нефтехимия. - 1975. - № 1. </w:t>
      </w:r>
    </w:p>
    <w:p w:rsidR="006B19D2" w:rsidRPr="00BA24AD" w:rsidRDefault="006B19D2" w:rsidP="00BA2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24AD">
        <w:rPr>
          <w:sz w:val="28"/>
          <w:szCs w:val="28"/>
        </w:rPr>
        <w:t>Интенсификация химической переработки</w:t>
      </w:r>
      <w:r w:rsid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нефтяных компонентов: Сборник. - Казань: КГТУ, 1994.</w:t>
      </w:r>
    </w:p>
    <w:p w:rsidR="006B19D2" w:rsidRPr="00BA24AD" w:rsidRDefault="006B19D2" w:rsidP="00BA2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Черножуков Н.И. Технология переработки нефти и газа. - М.: Химия, 1978. 423 с. </w:t>
      </w:r>
    </w:p>
    <w:p w:rsidR="006B19D2" w:rsidRPr="00BA24AD" w:rsidRDefault="00E72CE1" w:rsidP="00BA2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24AD">
        <w:rPr>
          <w:sz w:val="28"/>
          <w:szCs w:val="28"/>
        </w:rPr>
        <w:t xml:space="preserve">Шарипов А.Х.// Нефтехимия. </w:t>
      </w:r>
      <w:r w:rsidR="006B19D2" w:rsidRPr="00BA24AD">
        <w:rPr>
          <w:sz w:val="28"/>
          <w:szCs w:val="28"/>
        </w:rPr>
        <w:t xml:space="preserve">- </w:t>
      </w:r>
      <w:r w:rsidRPr="00BA24AD">
        <w:rPr>
          <w:sz w:val="28"/>
          <w:szCs w:val="28"/>
        </w:rPr>
        <w:t>1988.</w:t>
      </w:r>
      <w:r w:rsidR="006B19D2" w:rsidRPr="00BA24AD">
        <w:rPr>
          <w:sz w:val="28"/>
          <w:szCs w:val="28"/>
        </w:rPr>
        <w:t xml:space="preserve"> -</w:t>
      </w:r>
      <w:r w:rsidR="00BA24AD" w:rsidRPr="00BA24AD">
        <w:rPr>
          <w:sz w:val="28"/>
          <w:szCs w:val="28"/>
        </w:rPr>
        <w:t xml:space="preserve"> </w:t>
      </w:r>
      <w:r w:rsidRPr="00BA24AD">
        <w:rPr>
          <w:sz w:val="28"/>
          <w:szCs w:val="28"/>
        </w:rPr>
        <w:t>№ 6.</w:t>
      </w:r>
      <w:r w:rsidR="00BA24AD" w:rsidRPr="00BA24AD">
        <w:rPr>
          <w:sz w:val="28"/>
          <w:szCs w:val="28"/>
        </w:rPr>
        <w:t xml:space="preserve"> </w:t>
      </w:r>
      <w:bookmarkStart w:id="0" w:name="_GoBack"/>
      <w:bookmarkEnd w:id="0"/>
    </w:p>
    <w:sectPr w:rsidR="006B19D2" w:rsidRPr="00BA24AD" w:rsidSect="00BA24AD"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D5" w:rsidRDefault="00EB78D5">
      <w:r>
        <w:separator/>
      </w:r>
    </w:p>
  </w:endnote>
  <w:endnote w:type="continuationSeparator" w:id="0">
    <w:p w:rsidR="00EB78D5" w:rsidRDefault="00EB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4A" w:rsidRDefault="0007594A" w:rsidP="00EA4453">
    <w:pPr>
      <w:pStyle w:val="a6"/>
      <w:framePr w:wrap="around" w:vAnchor="text" w:hAnchor="margin" w:xAlign="center" w:y="1"/>
      <w:rPr>
        <w:rStyle w:val="a8"/>
      </w:rPr>
    </w:pPr>
  </w:p>
  <w:p w:rsidR="0007594A" w:rsidRDefault="000759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D5" w:rsidRDefault="00EB78D5">
      <w:r>
        <w:separator/>
      </w:r>
    </w:p>
  </w:footnote>
  <w:footnote w:type="continuationSeparator" w:id="0">
    <w:p w:rsidR="00EB78D5" w:rsidRDefault="00EB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D16"/>
    <w:multiLevelType w:val="hybridMultilevel"/>
    <w:tmpl w:val="AFA4D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328"/>
    <w:rsid w:val="0007594A"/>
    <w:rsid w:val="001533D7"/>
    <w:rsid w:val="002C2CF1"/>
    <w:rsid w:val="003D3328"/>
    <w:rsid w:val="0055768E"/>
    <w:rsid w:val="00575E8C"/>
    <w:rsid w:val="00637958"/>
    <w:rsid w:val="00641995"/>
    <w:rsid w:val="00647188"/>
    <w:rsid w:val="006B19D2"/>
    <w:rsid w:val="007210C6"/>
    <w:rsid w:val="00823AA9"/>
    <w:rsid w:val="00861E56"/>
    <w:rsid w:val="00A92735"/>
    <w:rsid w:val="00AF2DAF"/>
    <w:rsid w:val="00B00818"/>
    <w:rsid w:val="00BA24AD"/>
    <w:rsid w:val="00BD66F0"/>
    <w:rsid w:val="00CC3227"/>
    <w:rsid w:val="00E3114D"/>
    <w:rsid w:val="00E72CE1"/>
    <w:rsid w:val="00E775F9"/>
    <w:rsid w:val="00EA4453"/>
    <w:rsid w:val="00EB78D5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023BC67-659C-4CBB-9859-5F561C1D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72CE1"/>
    <w:pPr>
      <w:pBdr>
        <w:bottom w:val="dashed" w:sz="6" w:space="4" w:color="000000"/>
      </w:pBdr>
      <w:outlineLvl w:val="0"/>
    </w:pPr>
    <w:rPr>
      <w:b/>
      <w:bCs/>
      <w:color w:val="20202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3D3328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3D3328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3D332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3D3328"/>
    <w:rPr>
      <w:rFonts w:cs="Times New Roman"/>
    </w:rPr>
  </w:style>
  <w:style w:type="character" w:styleId="a9">
    <w:name w:val="Strong"/>
    <w:uiPriority w:val="22"/>
    <w:qFormat/>
    <w:rsid w:val="00B00818"/>
    <w:rPr>
      <w:rFonts w:cs="Times New Roman"/>
      <w:b/>
      <w:bCs/>
    </w:rPr>
  </w:style>
  <w:style w:type="paragraph" w:styleId="aa">
    <w:name w:val="Normal (Web)"/>
    <w:basedOn w:val="a"/>
    <w:uiPriority w:val="99"/>
    <w:rsid w:val="00E72CE1"/>
    <w:pPr>
      <w:spacing w:before="100" w:beforeAutospacing="1" w:after="100" w:afterAutospacing="1"/>
    </w:pPr>
  </w:style>
  <w:style w:type="character" w:styleId="ab">
    <w:name w:val="Hyperlink"/>
    <w:uiPriority w:val="99"/>
    <w:rsid w:val="00E72CE1"/>
    <w:rPr>
      <w:rFonts w:cs="Times New Roman"/>
      <w:color w:val="0000FF"/>
      <w:u w:val="single"/>
    </w:rPr>
  </w:style>
  <w:style w:type="character" w:customStyle="1" w:styleId="spelle">
    <w:name w:val="spelle"/>
    <w:rsid w:val="00647188"/>
    <w:rPr>
      <w:rFonts w:cs="Times New Roman"/>
    </w:rPr>
  </w:style>
  <w:style w:type="character" w:customStyle="1" w:styleId="grame">
    <w:name w:val="grame"/>
    <w:rsid w:val="00647188"/>
    <w:rPr>
      <w:rFonts w:cs="Times New Roman"/>
    </w:rPr>
  </w:style>
  <w:style w:type="paragraph" w:customStyle="1" w:styleId="txtbold">
    <w:name w:val="txt_bold"/>
    <w:basedOn w:val="a"/>
    <w:rsid w:val="00575E8C"/>
    <w:pPr>
      <w:spacing w:before="100" w:beforeAutospacing="1" w:after="100" w:afterAutospacing="1"/>
      <w:jc w:val="center"/>
    </w:pPr>
    <w:rPr>
      <w:b/>
      <w:bCs/>
      <w:color w:val="003366"/>
    </w:rPr>
  </w:style>
  <w:style w:type="paragraph" w:styleId="ac">
    <w:name w:val="header"/>
    <w:basedOn w:val="a"/>
    <w:link w:val="ad"/>
    <w:uiPriority w:val="99"/>
    <w:rsid w:val="00A92735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A9273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9029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031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903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9039">
              <w:marLeft w:val="2700"/>
              <w:marRight w:val="2550"/>
              <w:marTop w:val="150"/>
              <w:marBottom w:val="150"/>
              <w:divBdr>
                <w:top w:val="double" w:sz="6" w:space="8" w:color="000000"/>
                <w:left w:val="double" w:sz="6" w:space="8" w:color="000000"/>
                <w:bottom w:val="double" w:sz="6" w:space="8" w:color="000000"/>
                <w:right w:val="double" w:sz="6" w:space="8" w:color="000000"/>
              </w:divBdr>
              <w:divsChild>
                <w:div w:id="2169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90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9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903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9043">
              <w:marLeft w:val="2700"/>
              <w:marRight w:val="2550"/>
              <w:marTop w:val="150"/>
              <w:marBottom w:val="150"/>
              <w:divBdr>
                <w:top w:val="double" w:sz="6" w:space="8" w:color="000000"/>
                <w:left w:val="double" w:sz="6" w:space="8" w:color="000000"/>
                <w:bottom w:val="double" w:sz="6" w:space="8" w:color="000000"/>
                <w:right w:val="double" w:sz="6" w:space="8" w:color="000000"/>
              </w:divBdr>
              <w:divsChild>
                <w:div w:id="2169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903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939040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042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homenet-9</Company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Марина</dc:creator>
  <cp:keywords/>
  <dc:description/>
  <cp:lastModifiedBy>Irina</cp:lastModifiedBy>
  <cp:revision>2</cp:revision>
  <dcterms:created xsi:type="dcterms:W3CDTF">2014-08-10T16:11:00Z</dcterms:created>
  <dcterms:modified xsi:type="dcterms:W3CDTF">2014-08-10T16:11:00Z</dcterms:modified>
</cp:coreProperties>
</file>