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BD" w:rsidRPr="00DB2943" w:rsidRDefault="00E625BD" w:rsidP="00C805D6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DB2943">
        <w:rPr>
          <w:rFonts w:ascii="Times New Roman" w:hAnsi="Times New Roman" w:cs="Times New Roman"/>
          <w:b/>
          <w:bCs/>
          <w:sz w:val="28"/>
          <w:szCs w:val="32"/>
        </w:rPr>
        <w:t>Проектирование мероприятий по борьбе с сорняками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Задание: Дать обоснование мерам борьбы с сорняками, представить карту засоренности полей севооборота на основании состава и численности сорняков.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943">
        <w:rPr>
          <w:rFonts w:ascii="Times New Roman" w:hAnsi="Times New Roman" w:cs="Times New Roman"/>
          <w:i/>
          <w:iCs/>
          <w:sz w:val="28"/>
          <w:szCs w:val="28"/>
        </w:rPr>
        <w:t>Севооборот: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Клевер на сено 1 г.п.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Клевер на сено 2 г.п.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Озимая рожь + рапс на зеленую массу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Кукуруза на силос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Кормовые корнеплоды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Ячмень + клевер на сено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943">
        <w:rPr>
          <w:rFonts w:ascii="Times New Roman" w:hAnsi="Times New Roman" w:cs="Times New Roman"/>
          <w:i/>
          <w:iCs/>
          <w:sz w:val="28"/>
          <w:szCs w:val="28"/>
        </w:rPr>
        <w:t>Степень и характер засоренности полей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1812"/>
        <w:gridCol w:w="4220"/>
      </w:tblGrid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№ поля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Балл засоренности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Тип засоренности</w:t>
            </w:r>
          </w:p>
        </w:tc>
      </w:tr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1 (до 10%)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4 – корневищно-малолетний</w:t>
            </w:r>
          </w:p>
        </w:tc>
      </w:tr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3 (до 50 %)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1 – малолетний</w:t>
            </w:r>
          </w:p>
        </w:tc>
      </w:tr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2 (до 25%)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1 – малолетний</w:t>
            </w:r>
          </w:p>
        </w:tc>
      </w:tr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1 (до 10%)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7 – корнеотпрысково-корневищно-малолетний</w:t>
            </w:r>
          </w:p>
        </w:tc>
      </w:tr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4 (свыше 50 %)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3 – корнеотпрысковый</w:t>
            </w:r>
          </w:p>
        </w:tc>
      </w:tr>
      <w:tr w:rsidR="00E625BD" w:rsidRPr="00DB2943" w:rsidTr="00DB2943">
        <w:trPr>
          <w:trHeight w:val="23"/>
        </w:trPr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4 (свыше 50%)</w:t>
            </w:r>
          </w:p>
        </w:tc>
        <w:tc>
          <w:tcPr>
            <w:tcW w:w="0" w:type="auto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DB2943">
              <w:rPr>
                <w:rFonts w:ascii="Times New Roman" w:hAnsi="Times New Roman" w:cs="Times New Roman"/>
                <w:sz w:val="20"/>
                <w:szCs w:val="28"/>
              </w:rPr>
              <w:t>7 – корнеотпрысково-корневищно-малолетний</w:t>
            </w:r>
          </w:p>
        </w:tc>
      </w:tr>
    </w:tbl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943">
        <w:rPr>
          <w:rFonts w:ascii="Times New Roman" w:hAnsi="Times New Roman" w:cs="Times New Roman"/>
          <w:i/>
          <w:iCs/>
          <w:sz w:val="28"/>
          <w:szCs w:val="28"/>
        </w:rPr>
        <w:t>Система мер борьбы с сорными растениями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321"/>
        <w:gridCol w:w="1529"/>
        <w:gridCol w:w="1485"/>
        <w:gridCol w:w="1469"/>
        <w:gridCol w:w="1802"/>
      </w:tblGrid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№ поля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Чередование культур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Предупре-дительные меры</w:t>
            </w: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Механические меры</w:t>
            </w: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Химические меры (дозы и сроки применения гербицида)</w:t>
            </w: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Фитоценоти-ческие меры</w:t>
            </w:r>
          </w:p>
        </w:tc>
      </w:tr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Клевер на сено 1 г.п.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Очистка посевного материала; подготовка и хранение орг. удобрений; снижение засоренности при уборке; очистка почвообр. и зерноуб. машин и тары</w:t>
            </w: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Истощение; удушение; глубокая заделка; провокация; механическое удаление; боронование</w:t>
            </w: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—</w:t>
            </w: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Севооборот; минеральные удобрения; высокая конкурентоспособность, аллелопатия</w:t>
            </w:r>
          </w:p>
        </w:tc>
      </w:tr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Клевер на сено 2 г.п.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- / - / -</w:t>
            </w: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- / - / -</w:t>
            </w: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- / - / -</w:t>
            </w: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- / - / -</w:t>
            </w:r>
          </w:p>
        </w:tc>
      </w:tr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Озимая рожь + рапс на зеленую массу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Очистка посевного материала; очистка раб. органов машин; снижение засоренности при уборке; уничтожение сорняков на не с/х угодьях; подготовка кормов к скармливанию</w:t>
            </w: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Глубокая заделка</w:t>
            </w: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—</w:t>
            </w: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Кукуруза на силос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—</w:t>
            </w: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Кормовые корнеплоды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Очистка машин, орг. удобрения; снижение засоренности при уборке</w:t>
            </w: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Глубокая обработка; междурядная обработка</w:t>
            </w: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«Торга» концентрат эмульсии, расход: 2-3 л/га, опрыскивание растений при высоте сорняков 10-15 см</w:t>
            </w: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Севооборот; аллелопатия; норма высева</w:t>
            </w:r>
          </w:p>
        </w:tc>
      </w:tr>
      <w:tr w:rsidR="00E625BD" w:rsidRPr="00DB2943" w:rsidTr="00DB2943">
        <w:trPr>
          <w:trHeight w:val="23"/>
        </w:trPr>
        <w:tc>
          <w:tcPr>
            <w:tcW w:w="616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321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Ячмень + клевер на сено</w:t>
            </w:r>
          </w:p>
        </w:tc>
        <w:tc>
          <w:tcPr>
            <w:tcW w:w="152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2943">
              <w:rPr>
                <w:rFonts w:ascii="Times New Roman" w:hAnsi="Times New Roman" w:cs="Times New Roman"/>
                <w:sz w:val="20"/>
                <w:szCs w:val="24"/>
              </w:rPr>
              <w:t>Очистка посевного материала; снижение засоренности при уборке; подготовка корма; уничтожение сорняков на не с/х угодьях; очистка раб.органов машины</w:t>
            </w:r>
          </w:p>
        </w:tc>
        <w:tc>
          <w:tcPr>
            <w:tcW w:w="1485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69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2" w:type="dxa"/>
          </w:tcPr>
          <w:p w:rsidR="00E625BD" w:rsidRPr="00DB2943" w:rsidRDefault="00E625BD" w:rsidP="00DB2943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943">
        <w:rPr>
          <w:rFonts w:ascii="Times New Roman" w:hAnsi="Times New Roman" w:cs="Times New Roman"/>
          <w:i/>
          <w:iCs/>
          <w:sz w:val="28"/>
          <w:szCs w:val="28"/>
        </w:rPr>
        <w:t>Обоснование мер борьбы с сорняками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hAnsi="Times New Roman" w:cs="Times New Roman"/>
          <w:sz w:val="28"/>
          <w:szCs w:val="28"/>
          <w:lang w:eastAsia="ru-RU"/>
        </w:rPr>
        <w:t>Предупредительные меры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2943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Предупредительные меры борьбы с сорняками направлены на применение профилактических мероприятий, которые обеспечивают исключение всех источников и способов поступления сорняков на поля. 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Очистка посевного материала;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Подготовка и хранение органических удобрений (около года в буртах);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Подготовка кормов к скармливанию (размалывать, замачивать, запаривать)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Снижение засоренности после уборки (не высокий срез при уборке зерновых, своевременное использование ботвоуборочных и силосоуборочных машин в посевах пропашных);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Очистка от земли и семян сорняков рабочих органов комбайнов и почвообрабатывающих машин;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Снижение засоренности при орошении;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Уничтожение сорняков на участке не сельскохозяйственного использования.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 xml:space="preserve">Механические меры 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Для уничтожения жизнеспособных семян и плодов сорных растений используют 2 способа: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Провокация – создание благоприятных условий для прорастания сорняков на чистых парах или перед посевом культур;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Глубокая заделка семян в почву, после чего семена или совсем не прорастают или их проростки гибнут, не достигая поверхности, проводится в чистых парах или после уборки культуры.</w:t>
      </w:r>
    </w:p>
    <w:p w:rsidR="00E625BD" w:rsidRPr="00DB2943" w:rsidRDefault="00E625BD" w:rsidP="00DB2943">
      <w:pPr>
        <w:pStyle w:val="a4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Для уничтожения жизнеспособных вегетативных органов размножения применяют: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Истощение;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Удушение;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Механическое удаление;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Высушивание корневищ;</w:t>
      </w:r>
    </w:p>
    <w:p w:rsidR="00E625BD" w:rsidRPr="00DB2943" w:rsidRDefault="00E625BD" w:rsidP="00DB2943">
      <w:pPr>
        <w:pStyle w:val="a4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Вымораживание.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43">
        <w:rPr>
          <w:rFonts w:ascii="Times New Roman" w:hAnsi="Times New Roman" w:cs="Times New Roman"/>
          <w:sz w:val="28"/>
          <w:szCs w:val="28"/>
        </w:rPr>
        <w:t>Метод истощения применяют для уничтожения корнеотпрысковых и корневищных сорняков с глубоким залеганием корневой системы. Истощение корневой системы достигается систематическим подрезанием появляющихся на поверхности побегов. Применяется на чистых парах.</w:t>
      </w:r>
      <w:r w:rsidR="00DB2943" w:rsidRPr="00DB2943">
        <w:rPr>
          <w:rFonts w:ascii="Times New Roman" w:hAnsi="Times New Roman" w:cs="Times New Roman"/>
          <w:sz w:val="28"/>
          <w:szCs w:val="28"/>
        </w:rPr>
        <w:t xml:space="preserve"> </w:t>
      </w:r>
      <w:r w:rsidRPr="00DB2943">
        <w:rPr>
          <w:rFonts w:ascii="Times New Roman" w:hAnsi="Times New Roman" w:cs="Times New Roman"/>
          <w:sz w:val="28"/>
          <w:szCs w:val="28"/>
        </w:rPr>
        <w:t>Удушение применяется для уничтожения корневищных и корнеотпрысковых сорняков, у которых вегетативные органы размножения находятся в пахотном слое. Оно заключается в размельчении корневищ на отрезки 15-20 см. Проводится осенью после уборки культуры и на чистых парах. Механическое удаление применяют для очищения почвы от корневищ перед посевом или в чистых парах. Высушивание корневищ используется в засушливых районах, Вымораживание проводится путем глубокой обработки осенью в малоснежных районах.</w:t>
      </w: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5BD" w:rsidRPr="00DB2943" w:rsidRDefault="00E625BD" w:rsidP="00DB2943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2943">
        <w:rPr>
          <w:rFonts w:ascii="Times New Roman" w:hAnsi="Times New Roman" w:cs="Times New Roman"/>
          <w:i/>
          <w:iCs/>
          <w:sz w:val="28"/>
          <w:szCs w:val="28"/>
        </w:rPr>
        <w:t>Карта засоренности полей</w:t>
      </w:r>
    </w:p>
    <w:p w:rsidR="00B72AC0" w:rsidRPr="002858EC" w:rsidRDefault="00915FD9" w:rsidP="00B72AC0">
      <w:pPr>
        <w:spacing w:after="0"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pict>
          <v:group id="_x0000_s1026" style="position:absolute;margin-left:57.45pt;margin-top:10.3pt;width:318.75pt;height:154.5pt;z-index:251662336" coordorigin="2850,-1846" coordsize="6375,3090">
            <v:oval id="_x0000_s1027" style="position:absolute;left:2850;top:-1846;width:6375;height:3090">
              <v:fill opacity="0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890;top:-1696;width:15;height:2850" o:connectortype="straight"/>
            <v:shape id="_x0000_s1029" type="#_x0000_t32" style="position:absolute;left:7155;top:-1696;width:30;height:2850" o:connectortype="straight"/>
          </v:group>
        </w:pict>
      </w:r>
    </w:p>
    <w:p w:rsidR="00B72AC0" w:rsidRPr="00B72AC0" w:rsidRDefault="00B72AC0" w:rsidP="00B72A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3F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72AC0">
        <w:rPr>
          <w:rFonts w:ascii="Times New Roman" w:hAnsi="Times New Roman" w:cs="Times New Roman"/>
          <w:sz w:val="28"/>
          <w:szCs w:val="28"/>
          <w:lang w:val="en-US"/>
        </w:rPr>
        <w:t>1                                3                                2</w:t>
      </w:r>
    </w:p>
    <w:p w:rsidR="00B72AC0" w:rsidRPr="00B72AC0" w:rsidRDefault="00B72AC0" w:rsidP="00B72A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2AC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285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2AC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2858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2AC0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2858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2A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2AC0" w:rsidRPr="00B72AC0" w:rsidRDefault="00B72AC0" w:rsidP="00B72A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2A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1                                       4                                       4</w:t>
      </w:r>
    </w:p>
    <w:p w:rsidR="00B72AC0" w:rsidRPr="00356844" w:rsidRDefault="00B72AC0" w:rsidP="00B72AC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72AC0" w:rsidRPr="00356844" w:rsidRDefault="00915FD9" w:rsidP="00B72A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30" type="#_x0000_t32" style="position:absolute;margin-left:57.45pt;margin-top:-45.85pt;width:318.75pt;height:3.75pt;z-index:251663360" o:connectortype="straight">
            <w10:anchorlock/>
          </v:shape>
        </w:pict>
      </w:r>
      <w:r w:rsidR="00B72AC0" w:rsidRPr="002858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IV       </w:t>
      </w:r>
      <w:r w:rsidR="00B72AC0" w:rsidRPr="00356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2AC0" w:rsidRPr="002858E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72AC0" w:rsidRPr="003568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72AC0" w:rsidRPr="002858EC"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B72AC0" w:rsidRPr="00356844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B72AC0" w:rsidRPr="002858EC">
        <w:rPr>
          <w:rFonts w:ascii="Times New Roman" w:hAnsi="Times New Roman" w:cs="Times New Roman"/>
          <w:sz w:val="28"/>
          <w:szCs w:val="28"/>
          <w:lang w:val="en-US"/>
        </w:rPr>
        <w:t xml:space="preserve">    VI</w:t>
      </w:r>
    </w:p>
    <w:p w:rsidR="00B72AC0" w:rsidRPr="00356844" w:rsidRDefault="00B72AC0" w:rsidP="00B72A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684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2858E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bookmarkStart w:id="0" w:name="_GoBack"/>
      <w:bookmarkEnd w:id="0"/>
    </w:p>
    <w:sectPr w:rsidR="00B72AC0" w:rsidRPr="00356844" w:rsidSect="00DB29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450"/>
    <w:multiLevelType w:val="hybridMultilevel"/>
    <w:tmpl w:val="E4948EE4"/>
    <w:lvl w:ilvl="0" w:tplc="BA225E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62EB3"/>
    <w:multiLevelType w:val="hybridMultilevel"/>
    <w:tmpl w:val="4D52B33C"/>
    <w:lvl w:ilvl="0" w:tplc="BA225E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CB3470"/>
    <w:multiLevelType w:val="hybridMultilevel"/>
    <w:tmpl w:val="81728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1383"/>
    <w:multiLevelType w:val="hybridMultilevel"/>
    <w:tmpl w:val="829863C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88A6A2D"/>
    <w:multiLevelType w:val="hybridMultilevel"/>
    <w:tmpl w:val="1A9051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F40"/>
    <w:rsid w:val="0001463E"/>
    <w:rsid w:val="00016B8C"/>
    <w:rsid w:val="00035806"/>
    <w:rsid w:val="000E472B"/>
    <w:rsid w:val="001678E1"/>
    <w:rsid w:val="001F4514"/>
    <w:rsid w:val="002858EC"/>
    <w:rsid w:val="00314B14"/>
    <w:rsid w:val="00353CF4"/>
    <w:rsid w:val="00356844"/>
    <w:rsid w:val="003633B8"/>
    <w:rsid w:val="003E0EAA"/>
    <w:rsid w:val="00423740"/>
    <w:rsid w:val="00446F21"/>
    <w:rsid w:val="00471945"/>
    <w:rsid w:val="004C15F2"/>
    <w:rsid w:val="00586F40"/>
    <w:rsid w:val="005949C2"/>
    <w:rsid w:val="0076447C"/>
    <w:rsid w:val="00827D4E"/>
    <w:rsid w:val="008A33DD"/>
    <w:rsid w:val="00915FD9"/>
    <w:rsid w:val="00AD6C0D"/>
    <w:rsid w:val="00B72AC0"/>
    <w:rsid w:val="00C805D6"/>
    <w:rsid w:val="00C81A6D"/>
    <w:rsid w:val="00D0525A"/>
    <w:rsid w:val="00D83F0F"/>
    <w:rsid w:val="00DB2943"/>
    <w:rsid w:val="00E625BD"/>
    <w:rsid w:val="00EB53C1"/>
    <w:rsid w:val="00F4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  <w14:defaultImageDpi w14:val="0"/>
  <w15:docId w15:val="{703EC73D-73DB-4789-AE3C-E50FB6B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4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49C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644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0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3813</Characters>
  <Application>Microsoft Office Word</Application>
  <DocSecurity>0</DocSecurity>
  <Lines>31</Lines>
  <Paragraphs>8</Paragraphs>
  <ScaleCrop>false</ScaleCrop>
  <Company>Microsoft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2014-03-29T07:32:00Z</dcterms:created>
  <dcterms:modified xsi:type="dcterms:W3CDTF">2014-03-29T07:32:00Z</dcterms:modified>
</cp:coreProperties>
</file>