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E2" w:rsidRPr="0035276B" w:rsidRDefault="00995BE2" w:rsidP="0035276B">
      <w:pPr>
        <w:pStyle w:val="aff3"/>
      </w:pPr>
      <w:r w:rsidRPr="0035276B">
        <w:t>МОСКОВСКИЙ ГОСУДАРСТВЕННЫЙ УНИВЕРСИТЕТ</w:t>
      </w:r>
    </w:p>
    <w:p w:rsidR="0035276B" w:rsidRDefault="00995BE2" w:rsidP="0035276B">
      <w:pPr>
        <w:pStyle w:val="aff3"/>
      </w:pPr>
      <w:r w:rsidRPr="0035276B">
        <w:t>ТЕХНОЛОГИЙ И УПРАВЛЕНИЯ</w:t>
      </w:r>
    </w:p>
    <w:p w:rsidR="0035276B" w:rsidRDefault="0035276B" w:rsidP="0035276B">
      <w:pPr>
        <w:pStyle w:val="aff3"/>
        <w:rPr>
          <w:i/>
          <w:iCs/>
        </w:rPr>
      </w:pPr>
    </w:p>
    <w:p w:rsidR="0035276B" w:rsidRDefault="0035276B" w:rsidP="0035276B">
      <w:pPr>
        <w:pStyle w:val="aff3"/>
        <w:rPr>
          <w:i/>
          <w:iCs/>
        </w:rPr>
      </w:pPr>
    </w:p>
    <w:p w:rsidR="0035276B" w:rsidRDefault="0035276B" w:rsidP="0035276B">
      <w:pPr>
        <w:pStyle w:val="aff3"/>
        <w:rPr>
          <w:i/>
          <w:iCs/>
        </w:rPr>
      </w:pPr>
    </w:p>
    <w:p w:rsidR="0035276B" w:rsidRDefault="0035276B" w:rsidP="0035276B">
      <w:pPr>
        <w:pStyle w:val="aff3"/>
        <w:rPr>
          <w:i/>
          <w:iCs/>
        </w:rPr>
      </w:pPr>
    </w:p>
    <w:p w:rsidR="0035276B" w:rsidRDefault="0035276B" w:rsidP="0035276B">
      <w:pPr>
        <w:pStyle w:val="aff3"/>
        <w:rPr>
          <w:i/>
          <w:iCs/>
        </w:rPr>
      </w:pPr>
    </w:p>
    <w:p w:rsidR="0035276B" w:rsidRDefault="0035276B" w:rsidP="0035276B">
      <w:pPr>
        <w:pStyle w:val="aff3"/>
        <w:rPr>
          <w:i/>
          <w:iCs/>
        </w:rPr>
      </w:pPr>
    </w:p>
    <w:p w:rsidR="0035276B" w:rsidRDefault="0035276B" w:rsidP="0035276B">
      <w:pPr>
        <w:pStyle w:val="aff3"/>
        <w:rPr>
          <w:i/>
          <w:iCs/>
        </w:rPr>
      </w:pPr>
    </w:p>
    <w:p w:rsidR="0035276B" w:rsidRDefault="0035276B" w:rsidP="0035276B">
      <w:pPr>
        <w:pStyle w:val="aff3"/>
        <w:rPr>
          <w:i/>
          <w:iCs/>
        </w:rPr>
      </w:pPr>
    </w:p>
    <w:p w:rsidR="0035276B" w:rsidRDefault="00995BE2" w:rsidP="0035276B">
      <w:pPr>
        <w:pStyle w:val="aff3"/>
        <w:rPr>
          <w:i/>
          <w:iCs/>
        </w:rPr>
      </w:pPr>
      <w:r w:rsidRPr="0035276B">
        <w:rPr>
          <w:i/>
          <w:iCs/>
        </w:rPr>
        <w:t>Контрольная работа</w:t>
      </w:r>
    </w:p>
    <w:p w:rsidR="0035276B" w:rsidRDefault="00302978" w:rsidP="0035276B">
      <w:pPr>
        <w:pStyle w:val="aff3"/>
      </w:pPr>
      <w:r w:rsidRPr="0035276B">
        <w:t>Предмет</w:t>
      </w:r>
      <w:r w:rsidR="0035276B" w:rsidRPr="0035276B">
        <w:t xml:space="preserve">: </w:t>
      </w:r>
      <w:r w:rsidRPr="0035276B">
        <w:t>Финансовая среда предпринимательства и предпринимательские риски</w:t>
      </w:r>
      <w:r w:rsidR="0035276B" w:rsidRPr="0035276B">
        <w:t>.</w:t>
      </w:r>
    </w:p>
    <w:p w:rsidR="0035276B" w:rsidRDefault="00302978" w:rsidP="0035276B">
      <w:pPr>
        <w:pStyle w:val="aff3"/>
        <w:rPr>
          <w:i/>
          <w:iCs/>
        </w:rPr>
      </w:pPr>
      <w:r w:rsidRPr="0035276B">
        <w:rPr>
          <w:i/>
          <w:iCs/>
        </w:rPr>
        <w:t>Тема</w:t>
      </w:r>
      <w:r w:rsidR="0035276B" w:rsidRPr="0035276B">
        <w:rPr>
          <w:i/>
          <w:iCs/>
        </w:rPr>
        <w:t>:</w:t>
      </w:r>
      <w:r w:rsidR="0035276B">
        <w:rPr>
          <w:i/>
          <w:iCs/>
        </w:rPr>
        <w:t xml:space="preserve"> "</w:t>
      </w:r>
      <w:r w:rsidRPr="0035276B">
        <w:rPr>
          <w:i/>
          <w:iCs/>
        </w:rPr>
        <w:t>Проектирование портфеля идентифицированных</w:t>
      </w:r>
      <w:r w:rsidR="0035276B">
        <w:rPr>
          <w:i/>
          <w:iCs/>
        </w:rPr>
        <w:t xml:space="preserve"> </w:t>
      </w:r>
      <w:r w:rsidRPr="0035276B">
        <w:rPr>
          <w:i/>
          <w:iCs/>
        </w:rPr>
        <w:t>финансовых рисков предприятия</w:t>
      </w:r>
      <w:r w:rsidR="0035276B">
        <w:rPr>
          <w:i/>
          <w:iCs/>
        </w:rPr>
        <w:t>"</w:t>
      </w:r>
    </w:p>
    <w:p w:rsidR="0035276B" w:rsidRDefault="0035276B" w:rsidP="0035276B">
      <w:pPr>
        <w:pStyle w:val="aff3"/>
      </w:pPr>
    </w:p>
    <w:p w:rsidR="0035276B" w:rsidRDefault="0035276B" w:rsidP="0035276B">
      <w:pPr>
        <w:pStyle w:val="aff3"/>
      </w:pPr>
    </w:p>
    <w:p w:rsidR="0035276B" w:rsidRDefault="0035276B" w:rsidP="0035276B">
      <w:pPr>
        <w:pStyle w:val="aff3"/>
      </w:pPr>
    </w:p>
    <w:p w:rsidR="0035276B" w:rsidRDefault="0035276B" w:rsidP="0035276B">
      <w:pPr>
        <w:pStyle w:val="aff3"/>
      </w:pPr>
    </w:p>
    <w:p w:rsidR="0035276B" w:rsidRDefault="00995BE2" w:rsidP="0035276B">
      <w:pPr>
        <w:pStyle w:val="aff3"/>
        <w:jc w:val="left"/>
      </w:pPr>
      <w:r w:rsidRPr="0035276B">
        <w:t>Выполнил</w:t>
      </w:r>
      <w:r w:rsidR="0035276B" w:rsidRPr="0035276B">
        <w:t xml:space="preserve">: </w:t>
      </w:r>
      <w:r w:rsidRPr="0035276B">
        <w:t xml:space="preserve">студент </w:t>
      </w:r>
      <w:r w:rsidR="00A83167" w:rsidRPr="0035276B">
        <w:rPr>
          <w:lang w:val="en-US"/>
        </w:rPr>
        <w:t>V</w:t>
      </w:r>
      <w:r w:rsidRPr="0035276B">
        <w:t xml:space="preserve"> курса</w:t>
      </w:r>
    </w:p>
    <w:p w:rsidR="00995BE2" w:rsidRPr="0035276B" w:rsidRDefault="00995BE2" w:rsidP="0035276B">
      <w:pPr>
        <w:pStyle w:val="aff3"/>
        <w:jc w:val="left"/>
      </w:pPr>
      <w:r w:rsidRPr="0035276B">
        <w:t>Факультета</w:t>
      </w:r>
      <w:r w:rsidR="0035276B" w:rsidRPr="0035276B">
        <w:t xml:space="preserve">: </w:t>
      </w:r>
      <w:r w:rsidRPr="0035276B">
        <w:t>экономики и предпринимательства</w:t>
      </w:r>
    </w:p>
    <w:p w:rsidR="00995BE2" w:rsidRPr="0035276B" w:rsidRDefault="00995BE2" w:rsidP="0035276B">
      <w:pPr>
        <w:pStyle w:val="aff3"/>
        <w:jc w:val="left"/>
      </w:pPr>
      <w:r w:rsidRPr="0035276B">
        <w:t>Специальность</w:t>
      </w:r>
      <w:r w:rsidR="0035276B" w:rsidRPr="0035276B">
        <w:t xml:space="preserve">: </w:t>
      </w:r>
      <w:r w:rsidRPr="0035276B">
        <w:t>финансы и кредит, ПФО, гр</w:t>
      </w:r>
      <w:r w:rsidR="0035276B" w:rsidRPr="0035276B">
        <w:t xml:space="preserve">. </w:t>
      </w:r>
      <w:r w:rsidRPr="0035276B">
        <w:t>Б</w:t>
      </w:r>
    </w:p>
    <w:p w:rsidR="0035276B" w:rsidRDefault="00995BE2" w:rsidP="0035276B">
      <w:pPr>
        <w:pStyle w:val="aff3"/>
        <w:jc w:val="left"/>
      </w:pPr>
      <w:r w:rsidRPr="0035276B">
        <w:t>Мазова Кристина Андреевна</w:t>
      </w:r>
    </w:p>
    <w:p w:rsidR="0035276B" w:rsidRPr="0035276B" w:rsidRDefault="00995BE2" w:rsidP="0035276B">
      <w:pPr>
        <w:pStyle w:val="aff3"/>
        <w:jc w:val="left"/>
      </w:pPr>
      <w:r w:rsidRPr="0035276B">
        <w:t>Преподаватель</w:t>
      </w:r>
    </w:p>
    <w:p w:rsidR="0035276B" w:rsidRDefault="0035276B" w:rsidP="0035276B">
      <w:pPr>
        <w:pStyle w:val="aff3"/>
      </w:pPr>
    </w:p>
    <w:p w:rsidR="0035276B" w:rsidRDefault="0035276B" w:rsidP="0035276B">
      <w:pPr>
        <w:pStyle w:val="aff3"/>
      </w:pPr>
    </w:p>
    <w:p w:rsidR="0035276B" w:rsidRDefault="0035276B" w:rsidP="0035276B">
      <w:pPr>
        <w:pStyle w:val="aff3"/>
      </w:pPr>
    </w:p>
    <w:p w:rsidR="0035276B" w:rsidRDefault="0035276B" w:rsidP="0035276B">
      <w:pPr>
        <w:pStyle w:val="aff3"/>
      </w:pPr>
    </w:p>
    <w:p w:rsidR="00995BE2" w:rsidRPr="0035276B" w:rsidRDefault="008A5C74" w:rsidP="0035276B">
      <w:pPr>
        <w:pStyle w:val="aff3"/>
      </w:pPr>
      <w:r w:rsidRPr="0035276B">
        <w:t>Москва, 200</w:t>
      </w:r>
      <w:r w:rsidR="00055915" w:rsidRPr="0035276B">
        <w:t>9</w:t>
      </w:r>
      <w:r w:rsidR="00995BE2" w:rsidRPr="0035276B">
        <w:t xml:space="preserve"> год</w:t>
      </w:r>
    </w:p>
    <w:p w:rsidR="0035276B" w:rsidRDefault="0035276B" w:rsidP="0035276B">
      <w:pPr>
        <w:pStyle w:val="afd"/>
      </w:pPr>
      <w:r>
        <w:br w:type="page"/>
      </w:r>
      <w:r w:rsidR="002A452A" w:rsidRPr="0035276B">
        <w:t>План</w:t>
      </w:r>
    </w:p>
    <w:p w:rsidR="0035276B" w:rsidRDefault="0035276B" w:rsidP="0035276B">
      <w:pPr>
        <w:ind w:firstLine="709"/>
      </w:pPr>
    </w:p>
    <w:p w:rsidR="0035276B" w:rsidRDefault="0035276B">
      <w:pPr>
        <w:pStyle w:val="26"/>
        <w:rPr>
          <w:smallCaps w:val="0"/>
          <w:noProof/>
          <w:sz w:val="24"/>
          <w:szCs w:val="24"/>
        </w:rPr>
      </w:pPr>
      <w:r w:rsidRPr="00C72445">
        <w:rPr>
          <w:rStyle w:val="af5"/>
          <w:noProof/>
        </w:rPr>
        <w:t>Введение</w:t>
      </w:r>
    </w:p>
    <w:p w:rsidR="0035276B" w:rsidRDefault="0035276B">
      <w:pPr>
        <w:pStyle w:val="26"/>
        <w:rPr>
          <w:smallCaps w:val="0"/>
          <w:noProof/>
          <w:sz w:val="24"/>
          <w:szCs w:val="24"/>
        </w:rPr>
      </w:pPr>
      <w:r w:rsidRPr="00C72445">
        <w:rPr>
          <w:rStyle w:val="af5"/>
          <w:noProof/>
        </w:rPr>
        <w:t>Сущность идентификации отдельных видов риска</w:t>
      </w:r>
    </w:p>
    <w:p w:rsidR="0035276B" w:rsidRDefault="0035276B">
      <w:pPr>
        <w:pStyle w:val="26"/>
        <w:rPr>
          <w:smallCaps w:val="0"/>
          <w:noProof/>
          <w:sz w:val="24"/>
          <w:szCs w:val="24"/>
        </w:rPr>
      </w:pPr>
      <w:r w:rsidRPr="00C72445">
        <w:rPr>
          <w:rStyle w:val="af5"/>
          <w:noProof/>
        </w:rPr>
        <w:t>Этапы идентификации отдельных видов финансовых рисков</w:t>
      </w:r>
    </w:p>
    <w:p w:rsidR="0035276B" w:rsidRDefault="0035276B">
      <w:pPr>
        <w:pStyle w:val="26"/>
        <w:rPr>
          <w:smallCaps w:val="0"/>
          <w:noProof/>
          <w:sz w:val="24"/>
          <w:szCs w:val="24"/>
        </w:rPr>
      </w:pPr>
      <w:r w:rsidRPr="00C72445">
        <w:rPr>
          <w:rStyle w:val="af5"/>
          <w:noProof/>
        </w:rPr>
        <w:t>Проектирование портфеля идентифицированных финансовых рисков</w:t>
      </w:r>
    </w:p>
    <w:p w:rsidR="0035276B" w:rsidRDefault="0035276B">
      <w:pPr>
        <w:pStyle w:val="26"/>
        <w:rPr>
          <w:smallCaps w:val="0"/>
          <w:noProof/>
          <w:sz w:val="24"/>
          <w:szCs w:val="24"/>
        </w:rPr>
      </w:pPr>
      <w:r w:rsidRPr="00C72445">
        <w:rPr>
          <w:rStyle w:val="af5"/>
          <w:noProof/>
        </w:rPr>
        <w:t>Заключение</w:t>
      </w:r>
    </w:p>
    <w:p w:rsidR="0035276B" w:rsidRDefault="0035276B">
      <w:pPr>
        <w:pStyle w:val="26"/>
        <w:rPr>
          <w:smallCaps w:val="0"/>
          <w:noProof/>
          <w:sz w:val="24"/>
          <w:szCs w:val="24"/>
        </w:rPr>
      </w:pPr>
      <w:r w:rsidRPr="00C72445">
        <w:rPr>
          <w:rStyle w:val="af5"/>
          <w:noProof/>
        </w:rPr>
        <w:t>Список литературы</w:t>
      </w:r>
    </w:p>
    <w:p w:rsidR="0035276B" w:rsidRPr="0035276B" w:rsidRDefault="0035276B" w:rsidP="0035276B">
      <w:pPr>
        <w:ind w:firstLine="709"/>
      </w:pPr>
    </w:p>
    <w:p w:rsidR="0035276B" w:rsidRDefault="0035276B" w:rsidP="0035276B">
      <w:pPr>
        <w:pStyle w:val="2"/>
      </w:pPr>
      <w:r>
        <w:br w:type="page"/>
      </w:r>
      <w:bookmarkStart w:id="0" w:name="_Toc259614659"/>
      <w:r w:rsidR="002E544D" w:rsidRPr="0035276B">
        <w:t>Введение</w:t>
      </w:r>
      <w:bookmarkEnd w:id="0"/>
    </w:p>
    <w:p w:rsidR="0035276B" w:rsidRDefault="0035276B" w:rsidP="0035276B">
      <w:pPr>
        <w:ind w:firstLine="709"/>
      </w:pPr>
    </w:p>
    <w:p w:rsidR="0035276B" w:rsidRDefault="002E544D" w:rsidP="0035276B">
      <w:pPr>
        <w:ind w:firstLine="709"/>
      </w:pPr>
      <w:r w:rsidRPr="0035276B">
        <w:t>Причиной возникновения рисков являются неопределенности, существующие в каждом проекте</w:t>
      </w:r>
      <w:r w:rsidR="0035276B" w:rsidRPr="0035276B">
        <w:t xml:space="preserve">. </w:t>
      </w:r>
      <w:r w:rsidRPr="0035276B">
        <w:t>Риски могут быть “известные”</w:t>
      </w:r>
      <w:r w:rsidR="0035276B" w:rsidRPr="0035276B">
        <w:t xml:space="preserve"> - </w:t>
      </w:r>
      <w:r w:rsidRPr="0035276B">
        <w:t>те, которые определены, оценены, для которых возможно планирование</w:t>
      </w:r>
      <w:r w:rsidR="0035276B" w:rsidRPr="0035276B">
        <w:t xml:space="preserve">. </w:t>
      </w:r>
      <w:r w:rsidRPr="0035276B">
        <w:t xml:space="preserve">Риски “неизвестные” </w:t>
      </w:r>
      <w:r w:rsidR="0035276B">
        <w:t>-</w:t>
      </w:r>
      <w:r w:rsidRPr="0035276B">
        <w:t xml:space="preserve"> те, которые не идентифицированы и не могут быть спрогнозированы</w:t>
      </w:r>
      <w:r w:rsidR="0035276B" w:rsidRPr="0035276B">
        <w:t xml:space="preserve">. </w:t>
      </w:r>
      <w:r w:rsidRPr="0035276B">
        <w:t>Хотя специфические риски и условия их возникновения не определены, менеджеры проекта знают, исходя из прошлого опыта, что большую часть рисков можно предвидеть</w:t>
      </w:r>
      <w:r w:rsidR="0035276B" w:rsidRPr="0035276B">
        <w:t>.</w:t>
      </w:r>
    </w:p>
    <w:p w:rsidR="0035276B" w:rsidRDefault="002E544D" w:rsidP="0035276B">
      <w:pPr>
        <w:ind w:firstLine="709"/>
      </w:pPr>
      <w:r w:rsidRPr="0035276B">
        <w:t>Реализуя проекты, имеющие высокую степень неопределенности в таких элементах, как цели и технологии их достижения многие компании уделяют внимание разработке и применению корпоративных методов управления рисками</w:t>
      </w:r>
      <w:r w:rsidR="0035276B" w:rsidRPr="0035276B">
        <w:t xml:space="preserve">. </w:t>
      </w:r>
      <w:r w:rsidRPr="0035276B">
        <w:t>Данные методы учитывают как специфику проектов, так и корпоративных методов управления</w:t>
      </w:r>
      <w:r w:rsidR="0035276B" w:rsidRPr="0035276B">
        <w:t>.</w:t>
      </w:r>
    </w:p>
    <w:p w:rsidR="0035276B" w:rsidRDefault="002E544D" w:rsidP="0035276B">
      <w:pPr>
        <w:ind w:firstLine="709"/>
      </w:pPr>
      <w:r w:rsidRPr="0035276B">
        <w:t xml:space="preserve">Управление рисками </w:t>
      </w:r>
      <w:r w:rsidR="0035276B">
        <w:t>-</w:t>
      </w:r>
      <w:r w:rsidRPr="0035276B">
        <w:t xml:space="preserve"> это процессы, связанные с идентификацией, анализом рисков и принятием решений, которые включают максимизацию положительных и минимизацию отрицательных последствий наступления рисковых событий</w:t>
      </w:r>
      <w:r w:rsidR="0035276B" w:rsidRPr="0035276B">
        <w:t xml:space="preserve">. </w:t>
      </w:r>
      <w:r w:rsidRPr="0035276B">
        <w:t>Процесс управления рисками проекта обычно включает выполнение следующих процедур</w:t>
      </w:r>
      <w:r w:rsidR="0035276B" w:rsidRPr="0035276B">
        <w:t>:</w:t>
      </w:r>
    </w:p>
    <w:p w:rsidR="0035276B" w:rsidRDefault="002E544D" w:rsidP="0035276B">
      <w:pPr>
        <w:ind w:firstLine="709"/>
      </w:pPr>
      <w:r w:rsidRPr="0035276B">
        <w:t xml:space="preserve">Планирование управления рисками </w:t>
      </w:r>
      <w:r w:rsidR="0035276B">
        <w:t>-</w:t>
      </w:r>
      <w:r w:rsidRPr="0035276B">
        <w:t xml:space="preserve"> выбор подходов и планирование деятельности по управлению рисками проекта</w:t>
      </w:r>
      <w:r w:rsidR="0035276B" w:rsidRPr="0035276B">
        <w:t>.</w:t>
      </w:r>
    </w:p>
    <w:p w:rsidR="0035276B" w:rsidRDefault="002E544D" w:rsidP="0035276B">
      <w:pPr>
        <w:ind w:firstLine="709"/>
      </w:pPr>
      <w:r w:rsidRPr="0035276B">
        <w:t xml:space="preserve">Идентификация рисков </w:t>
      </w:r>
      <w:r w:rsidR="0035276B">
        <w:t>-</w:t>
      </w:r>
      <w:r w:rsidRPr="0035276B">
        <w:t xml:space="preserve"> определение рисков, способных повлиять на проект, и документирование их характеристик</w:t>
      </w:r>
      <w:r w:rsidR="0035276B" w:rsidRPr="0035276B">
        <w:t>.</w:t>
      </w:r>
    </w:p>
    <w:p w:rsidR="0035276B" w:rsidRDefault="002E544D" w:rsidP="0035276B">
      <w:pPr>
        <w:ind w:firstLine="709"/>
      </w:pPr>
      <w:r w:rsidRPr="0035276B">
        <w:t xml:space="preserve">Качественная оценка рисков </w:t>
      </w:r>
      <w:r w:rsidR="0035276B">
        <w:t>-</w:t>
      </w:r>
      <w:r w:rsidRPr="0035276B">
        <w:t xml:space="preserve"> качественный анализ рисков и условий их возникновения с целью определения их влияния на успех проекта</w:t>
      </w:r>
      <w:r w:rsidR="0035276B" w:rsidRPr="0035276B">
        <w:t>.</w:t>
      </w:r>
    </w:p>
    <w:p w:rsidR="0035276B" w:rsidRDefault="002E544D" w:rsidP="0035276B">
      <w:pPr>
        <w:ind w:firstLine="709"/>
      </w:pPr>
      <w:r w:rsidRPr="0035276B">
        <w:t xml:space="preserve">Количественная оценка </w:t>
      </w:r>
      <w:r w:rsidR="0035276B">
        <w:t>-</w:t>
      </w:r>
      <w:r w:rsidRPr="0035276B">
        <w:t xml:space="preserve"> количественный анализ вероятности возникновения и влияния последствий рисков на проект</w:t>
      </w:r>
      <w:r w:rsidR="0035276B" w:rsidRPr="0035276B">
        <w:t>.</w:t>
      </w:r>
    </w:p>
    <w:p w:rsidR="0035276B" w:rsidRDefault="002E544D" w:rsidP="0035276B">
      <w:pPr>
        <w:ind w:firstLine="709"/>
      </w:pPr>
      <w:r w:rsidRPr="0035276B">
        <w:t>Планирование реагирования на риски</w:t>
      </w:r>
      <w:r w:rsidR="0035276B">
        <w:t>-</w:t>
      </w:r>
      <w:r w:rsidRPr="0035276B">
        <w:t xml:space="preserve"> определение процедур и методов по ослаблению отрицательных последствий рисковых событий и использованию возможных преимуществ</w:t>
      </w:r>
      <w:r w:rsidR="0035276B" w:rsidRPr="0035276B">
        <w:t>.</w:t>
      </w:r>
    </w:p>
    <w:p w:rsidR="0035276B" w:rsidRDefault="002E544D" w:rsidP="0035276B">
      <w:pPr>
        <w:ind w:firstLine="709"/>
      </w:pPr>
      <w:r w:rsidRPr="0035276B">
        <w:t>Мониторинг и контроль рисков</w:t>
      </w:r>
      <w:r w:rsidR="0035276B" w:rsidRPr="0035276B">
        <w:t xml:space="preserve"> - </w:t>
      </w:r>
      <w:r w:rsidRPr="0035276B">
        <w:t>мониторинг рисков, определение остающихся рисков, выполнение плана управления рисками проекта и оценка эффективности действий по минимизации рисков</w:t>
      </w:r>
      <w:r w:rsidR="0035276B" w:rsidRPr="0035276B">
        <w:t>.</w:t>
      </w:r>
    </w:p>
    <w:p w:rsidR="0035276B" w:rsidRDefault="002E544D" w:rsidP="0035276B">
      <w:pPr>
        <w:ind w:firstLine="709"/>
      </w:pPr>
      <w:r w:rsidRPr="0035276B">
        <w:t>Все эти процедуры взаимодействуют друг с другом, а также с другими процедурами</w:t>
      </w:r>
      <w:r w:rsidR="0035276B" w:rsidRPr="0035276B">
        <w:t xml:space="preserve">. </w:t>
      </w:r>
      <w:r w:rsidRPr="0035276B">
        <w:t>Каждая процедура выполняется, по крайней мере, один раз в каждом проекте</w:t>
      </w:r>
      <w:r w:rsidR="0035276B" w:rsidRPr="0035276B">
        <w:t xml:space="preserve">. </w:t>
      </w:r>
      <w:r w:rsidRPr="0035276B">
        <w:t>Несмотря на то, что процедуры, представленные здесь, рассматриваются как дискретные элементы с четко определенными характеристиками, на практике они могут частично совпадать и взаимодействовать</w:t>
      </w:r>
      <w:r w:rsidR="0035276B" w:rsidRPr="0035276B">
        <w:t xml:space="preserve">. </w:t>
      </w:r>
      <w:r w:rsidR="00DA29BC" w:rsidRPr="0035276B">
        <w:t xml:space="preserve">В своей работе я остановлюсь подробнее на одной из главных процедур управления рисками </w:t>
      </w:r>
      <w:r w:rsidR="0035276B">
        <w:t>-</w:t>
      </w:r>
      <w:r w:rsidR="00DA29BC" w:rsidRPr="0035276B">
        <w:t xml:space="preserve"> идентификации рисков, раскрою ее сущность, этапы и проектирование портфеля идентифицирования финансовых рисков</w:t>
      </w:r>
      <w:r w:rsidR="0035276B" w:rsidRPr="0035276B">
        <w:t>.</w:t>
      </w:r>
    </w:p>
    <w:p w:rsidR="0035276B" w:rsidRDefault="0035276B" w:rsidP="0035276B">
      <w:pPr>
        <w:pStyle w:val="2"/>
      </w:pPr>
      <w:r>
        <w:br w:type="page"/>
      </w:r>
      <w:bookmarkStart w:id="1" w:name="_Toc259614660"/>
      <w:r w:rsidR="002E544D" w:rsidRPr="0035276B">
        <w:t>Сущность идентификации отдельных видов риска</w:t>
      </w:r>
      <w:bookmarkEnd w:id="1"/>
    </w:p>
    <w:p w:rsidR="0035276B" w:rsidRPr="0035276B" w:rsidRDefault="0035276B" w:rsidP="0035276B">
      <w:pPr>
        <w:ind w:firstLine="709"/>
      </w:pPr>
    </w:p>
    <w:p w:rsidR="0035276B" w:rsidRDefault="00395EFC" w:rsidP="0035276B">
      <w:pPr>
        <w:ind w:firstLine="709"/>
      </w:pPr>
      <w:r w:rsidRPr="0035276B">
        <w:t>Для начала дадим определение самого риска</w:t>
      </w:r>
      <w:r w:rsidR="0035276B" w:rsidRPr="0035276B">
        <w:t xml:space="preserve">. </w:t>
      </w:r>
      <w:r w:rsidRPr="0035276B">
        <w:t>Риск</w:t>
      </w:r>
      <w:r w:rsidR="0035276B" w:rsidRPr="0035276B">
        <w:t xml:space="preserve"> - </w:t>
      </w:r>
      <w:r w:rsidRPr="0035276B">
        <w:t xml:space="preserve">потенциальная, численно измеримая угроза потери части своих ресурсов, недополучения доходов или появления дополнительных расходов и/или обратное </w:t>
      </w:r>
      <w:r w:rsidR="0035276B">
        <w:t>-</w:t>
      </w:r>
      <w:r w:rsidRPr="0035276B">
        <w:t xml:space="preserve"> возможность получения значительной выгоды</w:t>
      </w:r>
      <w:r w:rsidR="0035276B">
        <w:t xml:space="preserve"> (</w:t>
      </w:r>
      <w:r w:rsidRPr="0035276B">
        <w:t>дохода</w:t>
      </w:r>
      <w:r w:rsidR="0035276B" w:rsidRPr="0035276B">
        <w:t xml:space="preserve">) </w:t>
      </w:r>
      <w:r w:rsidRPr="0035276B">
        <w:t>в результате осуществления предпринимательской деятельности в условиях неопределенности</w:t>
      </w:r>
      <w:r w:rsidR="0035276B" w:rsidRPr="0035276B">
        <w:t>.</w:t>
      </w:r>
    </w:p>
    <w:p w:rsidR="0035276B" w:rsidRDefault="002E544D" w:rsidP="0035276B">
      <w:pPr>
        <w:ind w:firstLine="709"/>
      </w:pPr>
      <w:r w:rsidRPr="0035276B">
        <w:t>Идентификация рисков</w:t>
      </w:r>
      <w:r w:rsidR="0035276B" w:rsidRPr="0035276B">
        <w:t xml:space="preserve"> - </w:t>
      </w:r>
      <w:r w:rsidRPr="0035276B">
        <w:t>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  <w:r w:rsidR="0035276B" w:rsidRPr="0035276B">
        <w:t>.</w:t>
      </w:r>
    </w:p>
    <w:p w:rsidR="0035276B" w:rsidRDefault="00DA29BC" w:rsidP="0035276B">
      <w:pPr>
        <w:ind w:firstLine="709"/>
      </w:pPr>
      <w:r w:rsidRPr="0035276B">
        <w:t>Идентификация рисков определяет, какие риски способны повлиять на проект, и документирует характеристики этих рисков</w:t>
      </w:r>
      <w:r w:rsidR="0035276B" w:rsidRPr="0035276B">
        <w:t xml:space="preserve">. </w:t>
      </w:r>
      <w:r w:rsidRPr="0035276B">
        <w:t>Идентификация рисков не будет эффективной, если она не будет проводиться регулярно на протяжении реализации проекта</w:t>
      </w:r>
      <w:r w:rsidR="0035276B" w:rsidRPr="0035276B">
        <w:t>.</w:t>
      </w:r>
    </w:p>
    <w:p w:rsidR="0035276B" w:rsidRDefault="00DA29BC" w:rsidP="0035276B">
      <w:pPr>
        <w:ind w:firstLine="709"/>
      </w:pPr>
      <w:r w:rsidRPr="0035276B">
        <w:t>Идентификация рисков должна привлекать как можно больше участников</w:t>
      </w:r>
      <w:r w:rsidR="0035276B" w:rsidRPr="0035276B">
        <w:t xml:space="preserve">: </w:t>
      </w:r>
      <w:r w:rsidRPr="0035276B">
        <w:t>менеджеров проекта, заказчиков, пользователей, независимых специалистов</w:t>
      </w:r>
      <w:r w:rsidR="0035276B" w:rsidRPr="0035276B">
        <w:t>.</w:t>
      </w:r>
    </w:p>
    <w:p w:rsidR="0035276B" w:rsidRDefault="00DA29BC" w:rsidP="0035276B">
      <w:pPr>
        <w:ind w:firstLine="709"/>
      </w:pPr>
      <w:r w:rsidRPr="0035276B">
        <w:t>Идентификация рисков</w:t>
      </w:r>
      <w:r w:rsidR="0035276B" w:rsidRPr="0035276B">
        <w:t xml:space="preserve"> - </w:t>
      </w:r>
      <w:r w:rsidRPr="0035276B">
        <w:t>итерационный процесс</w:t>
      </w:r>
      <w:r w:rsidR="0035276B" w:rsidRPr="0035276B">
        <w:t xml:space="preserve">. </w:t>
      </w:r>
      <w:r w:rsidRPr="0035276B">
        <w:t>Вначале идентификация рисков может быть выполнена частью менеджеров проекта или группой аналитиков рисков</w:t>
      </w:r>
      <w:r w:rsidR="0035276B" w:rsidRPr="0035276B">
        <w:t xml:space="preserve">. </w:t>
      </w:r>
      <w:r w:rsidRPr="0035276B">
        <w:t>Далее идентификацией может заниматься основная группа менеджеров проекта</w:t>
      </w:r>
      <w:r w:rsidR="0035276B" w:rsidRPr="0035276B">
        <w:t xml:space="preserve">. </w:t>
      </w:r>
      <w:r w:rsidRPr="0035276B">
        <w:t>Для формирования объективной оценки в завершающей стадии процесса могут участвовать независимые специалисты</w:t>
      </w:r>
      <w:r w:rsidR="0035276B" w:rsidRPr="0035276B">
        <w:t xml:space="preserve">. </w:t>
      </w:r>
      <w:r w:rsidRPr="0035276B">
        <w:t>Возможное реагирование может быть определено в течение процесса идентификации рисков</w:t>
      </w:r>
      <w:r w:rsidR="0035276B" w:rsidRPr="0035276B">
        <w:t>.</w:t>
      </w:r>
    </w:p>
    <w:p w:rsidR="0035276B" w:rsidRDefault="00BA2522" w:rsidP="0035276B">
      <w:pPr>
        <w:ind w:firstLine="709"/>
      </w:pPr>
      <w:r w:rsidRPr="0035276B">
        <w:t>Идентификация рисковых событий в общепринятой практике, являясь начальным этапом оценки риска, представляет собой поиск источников риска и отбор их по степени значимости</w:t>
      </w:r>
      <w:r w:rsidR="0035276B" w:rsidRPr="0035276B">
        <w:t>.</w:t>
      </w:r>
    </w:p>
    <w:p w:rsidR="0035276B" w:rsidRDefault="00BA2522" w:rsidP="0035276B">
      <w:pPr>
        <w:ind w:firstLine="709"/>
      </w:pPr>
      <w:r w:rsidRPr="0035276B">
        <w:t>Современные методики снабжены мощным инструментарием выявления рисковых событий, характеризующих как проект в целом, так и отдельные его аспекты</w:t>
      </w:r>
      <w:r w:rsidR="0035276B" w:rsidRPr="0035276B">
        <w:t>.</w:t>
      </w:r>
    </w:p>
    <w:p w:rsidR="0035276B" w:rsidRDefault="0035276B" w:rsidP="0035276B">
      <w:pPr>
        <w:ind w:firstLine="709"/>
      </w:pPr>
    </w:p>
    <w:p w:rsidR="0035276B" w:rsidRPr="0035276B" w:rsidRDefault="00DA224C" w:rsidP="0035276B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142.5pt">
            <v:imagedata r:id="rId7" o:title=""/>
          </v:shape>
        </w:pict>
      </w:r>
    </w:p>
    <w:p w:rsidR="0035276B" w:rsidRDefault="0035276B" w:rsidP="0035276B">
      <w:pPr>
        <w:ind w:firstLine="709"/>
      </w:pPr>
    </w:p>
    <w:p w:rsidR="0035276B" w:rsidRDefault="00DA29BC" w:rsidP="0035276B">
      <w:pPr>
        <w:ind w:firstLine="709"/>
      </w:pPr>
      <w:r w:rsidRPr="0035276B">
        <w:t>Наиболее эффективным методом идентификации рисков является анализ окружения проекта</w:t>
      </w:r>
      <w:r w:rsidR="0035276B" w:rsidRPr="0035276B">
        <w:t xml:space="preserve">. </w:t>
      </w:r>
      <w:r w:rsidRPr="0035276B">
        <w:t>Из списка негативных событий вначале определяются наиболее правдоподобные с точки зрения эксперта в данном проекте</w:t>
      </w:r>
      <w:r w:rsidR="0035276B">
        <w:t xml:space="preserve"> (</w:t>
      </w:r>
      <w:r w:rsidRPr="0035276B">
        <w:t>отбор по возможности-вероятности наступления</w:t>
      </w:r>
      <w:r w:rsidR="0035276B" w:rsidRPr="0035276B">
        <w:t xml:space="preserve">). </w:t>
      </w:r>
      <w:r w:rsidRPr="0035276B">
        <w:t>Затем события, определенные с помощью экспертных оценок, отбираются по убыточности для проекта</w:t>
      </w:r>
      <w:r w:rsidR="0035276B" w:rsidRPr="0035276B">
        <w:t>.</w:t>
      </w:r>
    </w:p>
    <w:p w:rsidR="0035276B" w:rsidRDefault="00DA29BC" w:rsidP="0035276B">
      <w:pPr>
        <w:ind w:firstLine="709"/>
      </w:pPr>
      <w:r w:rsidRPr="0035276B">
        <w:t>Основными сложностями при идентификации факторов риска и неопределенности при проведении предпроектного обоснования инвестиций являются</w:t>
      </w:r>
      <w:r w:rsidR="0035276B" w:rsidRPr="0035276B">
        <w:t>:</w:t>
      </w:r>
    </w:p>
    <w:p w:rsidR="0035276B" w:rsidRDefault="00DA29BC" w:rsidP="0035276B">
      <w:pPr>
        <w:ind w:firstLine="709"/>
      </w:pPr>
      <w:r w:rsidRPr="0035276B">
        <w:t>отсутствие зависимости, в общем смысле, между событиями, убыточными для проекта в целом и событиями, убыточными для конкретного участника</w:t>
      </w:r>
      <w:r w:rsidR="0035276B" w:rsidRPr="0035276B">
        <w:t>;</w:t>
      </w:r>
    </w:p>
    <w:p w:rsidR="0035276B" w:rsidRDefault="00DA29BC" w:rsidP="0035276B">
      <w:pPr>
        <w:ind w:firstLine="709"/>
      </w:pPr>
      <w:r w:rsidRPr="0035276B">
        <w:t>при проведении идентификации рисковых событий сложность нахождения компромисс между чрезмерным количеством возможных событий и их неполным перечнем</w:t>
      </w:r>
      <w:r w:rsidR="0035276B" w:rsidRPr="0035276B">
        <w:t xml:space="preserve">. </w:t>
      </w:r>
      <w:r w:rsidRPr="0035276B">
        <w:t>В данном случае крайне важным становится профессионализм экспертов</w:t>
      </w:r>
      <w:r w:rsidR="0035276B" w:rsidRPr="0035276B">
        <w:t>.</w:t>
      </w:r>
    </w:p>
    <w:p w:rsidR="0035276B" w:rsidRDefault="00DA29BC" w:rsidP="0035276B">
      <w:pPr>
        <w:ind w:firstLine="709"/>
      </w:pPr>
      <w:r w:rsidRPr="0035276B">
        <w:t>Для устранения данных противоречий целесообразно проводить первоначальное выявление убыточных именно для конкретного участника событий, а затем из их числа</w:t>
      </w:r>
      <w:r w:rsidR="0035276B" w:rsidRPr="0035276B">
        <w:t xml:space="preserve"> - </w:t>
      </w:r>
      <w:r w:rsidRPr="0035276B">
        <w:t>наиболее возможные с учетом специфики участия в проекте</w:t>
      </w:r>
      <w:r w:rsidR="0035276B" w:rsidRPr="0035276B">
        <w:t>.</w:t>
      </w:r>
    </w:p>
    <w:p w:rsidR="0035276B" w:rsidRDefault="00DA29BC" w:rsidP="0035276B">
      <w:pPr>
        <w:ind w:firstLine="709"/>
      </w:pPr>
      <w:r w:rsidRPr="0035276B">
        <w:t>При идентификации рисковых событий конкретного участника на основе модели контрактных взаимоотношений три основные группы рисковых событий</w:t>
      </w:r>
      <w:r w:rsidR="0035276B">
        <w:t xml:space="preserve"> (</w:t>
      </w:r>
      <w:r w:rsidRPr="0035276B">
        <w:t>рост инвестиционных расходов, рост затрат на производство, падение доходов</w:t>
      </w:r>
      <w:r w:rsidR="0035276B" w:rsidRPr="0035276B">
        <w:t xml:space="preserve">) </w:t>
      </w:r>
      <w:r w:rsidRPr="0035276B">
        <w:t>предлагается выявлять в зависимости от того, какими из следующих факторов они обусловлены</w:t>
      </w:r>
      <w:r w:rsidR="0035276B" w:rsidRPr="0035276B">
        <w:t xml:space="preserve">: </w:t>
      </w:r>
      <w:r w:rsidRPr="0035276B">
        <w:t>форс-мажорными обстоятельствами, невыполнением прочими участниками своих обязательств, невыполнение самим участником своих обязательств</w:t>
      </w:r>
      <w:r w:rsidR="0035276B" w:rsidRPr="0035276B">
        <w:t>.</w:t>
      </w:r>
    </w:p>
    <w:p w:rsidR="0035276B" w:rsidRDefault="00DA29BC" w:rsidP="0035276B">
      <w:pPr>
        <w:ind w:firstLine="709"/>
      </w:pPr>
      <w:r w:rsidRPr="0035276B">
        <w:t>Основным достоинством приведенной классификации негативных событий проекта является то, что она обладает ориентацией на убыточность событий проекта для отдельного участника, чего недостаточно полно учитывают современные экспертные методы</w:t>
      </w:r>
      <w:r w:rsidR="0035276B" w:rsidRPr="0035276B">
        <w:t xml:space="preserve">. </w:t>
      </w:r>
      <w:r w:rsidRPr="0035276B">
        <w:t>При этом особое внимание при идентификации рисковых событий уделяется возможным обострением взаимоотношений участников проекта</w:t>
      </w:r>
      <w:r w:rsidR="0035276B" w:rsidRPr="0035276B">
        <w:t>.</w:t>
      </w:r>
    </w:p>
    <w:p w:rsidR="0035276B" w:rsidRDefault="0035276B" w:rsidP="0035276B">
      <w:pPr>
        <w:ind w:firstLine="709"/>
        <w:rPr>
          <w:b/>
          <w:bCs/>
        </w:rPr>
      </w:pPr>
    </w:p>
    <w:p w:rsidR="0035276B" w:rsidRDefault="00395EFC" w:rsidP="0035276B">
      <w:pPr>
        <w:pStyle w:val="2"/>
      </w:pPr>
      <w:bookmarkStart w:id="2" w:name="_Toc259614661"/>
      <w:r w:rsidRPr="0035276B">
        <w:t>Этапы идентификации отдельных видов финансовых рисков</w:t>
      </w:r>
      <w:bookmarkEnd w:id="2"/>
    </w:p>
    <w:p w:rsidR="0035276B" w:rsidRDefault="0035276B" w:rsidP="0035276B">
      <w:pPr>
        <w:ind w:firstLine="709"/>
      </w:pPr>
    </w:p>
    <w:p w:rsidR="0035276B" w:rsidRDefault="005D0A57" w:rsidP="0035276B">
      <w:pPr>
        <w:ind w:firstLine="709"/>
      </w:pPr>
      <w:r w:rsidRPr="0035276B">
        <w:t>Процесс идентификации рисков, исходя из степени подробности исследования риска проходит следующие этапы</w:t>
      </w:r>
      <w:r w:rsidR="0035276B" w:rsidRPr="0035276B">
        <w:t>:</w:t>
      </w:r>
    </w:p>
    <w:p w:rsidR="0035276B" w:rsidRDefault="005D0A57" w:rsidP="0035276B">
      <w:pPr>
        <w:ind w:firstLine="709"/>
      </w:pPr>
      <w:r w:rsidRPr="0035276B">
        <w:t xml:space="preserve">осмысление риска, </w:t>
      </w:r>
      <w:r w:rsidR="0035276B">
        <w:t>т.е.</w:t>
      </w:r>
      <w:r w:rsidR="0035276B" w:rsidRPr="0035276B">
        <w:t xml:space="preserve"> </w:t>
      </w:r>
      <w:r w:rsidRPr="0035276B">
        <w:t>качественный анализ, сопровождаемый исследованием структурных характеристик риска</w:t>
      </w:r>
      <w:r w:rsidR="0035276B">
        <w:t xml:space="preserve"> (</w:t>
      </w:r>
      <w:r w:rsidRPr="0035276B">
        <w:t>опасность</w:t>
      </w:r>
      <w:r w:rsidR="0035276B" w:rsidRPr="0035276B">
        <w:t xml:space="preserve"> - </w:t>
      </w:r>
      <w:r w:rsidRPr="0035276B">
        <w:t>подверженность риску</w:t>
      </w:r>
      <w:r w:rsidR="0035276B" w:rsidRPr="0035276B">
        <w:t xml:space="preserve"> - </w:t>
      </w:r>
      <w:r w:rsidRPr="0035276B">
        <w:t>уязвимость</w:t>
      </w:r>
      <w:r w:rsidR="0035276B" w:rsidRPr="0035276B">
        <w:t xml:space="preserve">). </w:t>
      </w:r>
    </w:p>
    <w:p w:rsidR="0035276B" w:rsidRDefault="005D0A57" w:rsidP="0035276B">
      <w:pPr>
        <w:ind w:firstLine="709"/>
      </w:pPr>
      <w:r w:rsidRPr="0035276B">
        <w:t>Это очень важный этап, так как он определяет, с чем столкнется в дальнейшем менеджер по рискам, и тем самым задает границы, принятия решений в процессе риск-менеджмента</w:t>
      </w:r>
      <w:r w:rsidR="0035276B" w:rsidRPr="0035276B">
        <w:t>;</w:t>
      </w:r>
    </w:p>
    <w:p w:rsidR="0035276B" w:rsidRDefault="005D0A57" w:rsidP="0035276B">
      <w:pPr>
        <w:ind w:firstLine="709"/>
      </w:pPr>
      <w:r w:rsidRPr="0035276B">
        <w:t>анализ конкретных причин возникновения неблагоприятных событий и их отрицательных последствий</w:t>
      </w:r>
      <w:r w:rsidR="0035276B" w:rsidRPr="0035276B">
        <w:t xml:space="preserve">. </w:t>
      </w:r>
    </w:p>
    <w:p w:rsidR="0035276B" w:rsidRDefault="005D0A57" w:rsidP="0035276B">
      <w:pPr>
        <w:ind w:firstLine="709"/>
      </w:pPr>
      <w:r w:rsidRPr="0035276B">
        <w:t>Данный этап представляет собой подробное изучение отдельных рисков</w:t>
      </w:r>
      <w:r w:rsidR="0035276B">
        <w:t xml:space="preserve"> (</w:t>
      </w:r>
      <w:r w:rsidRPr="0035276B">
        <w:t>причинно-следственные связи между факторами риска, возникновением неблагоприятных событий и вызванным ими появлением ущерба</w:t>
      </w:r>
      <w:r w:rsidR="0035276B" w:rsidRPr="0035276B">
        <w:t xml:space="preserve">). </w:t>
      </w:r>
      <w:r w:rsidRPr="0035276B">
        <w:t>Такое исследование обеспечивает основу для принятия решений в рамках управления риском</w:t>
      </w:r>
      <w:r w:rsidR="0035276B" w:rsidRPr="0035276B">
        <w:t>;</w:t>
      </w:r>
    </w:p>
    <w:p w:rsidR="0035276B" w:rsidRDefault="005D0A57" w:rsidP="0035276B">
      <w:pPr>
        <w:ind w:firstLine="709"/>
      </w:pPr>
      <w:r w:rsidRPr="0035276B">
        <w:t>комплексный анализ рисков</w:t>
      </w:r>
      <w:r w:rsidR="0035276B" w:rsidRPr="0035276B">
        <w:t xml:space="preserve">. </w:t>
      </w:r>
      <w:r w:rsidRPr="0035276B">
        <w:t>Указанный этап предполагает изучение всей совокупности рисков в целом, что дает цельную, комплексную картину рисков, с которыми сталкивается банк</w:t>
      </w:r>
      <w:r w:rsidR="0035276B" w:rsidRPr="0035276B">
        <w:t xml:space="preserve">. </w:t>
      </w:r>
    </w:p>
    <w:p w:rsidR="0035276B" w:rsidRDefault="005D0A57" w:rsidP="0035276B">
      <w:pPr>
        <w:ind w:firstLine="709"/>
      </w:pPr>
      <w:r w:rsidRPr="0035276B">
        <w:t>Это позволяет проводить единую политику по управлению риском</w:t>
      </w:r>
      <w:r w:rsidR="0035276B" w:rsidRPr="0035276B">
        <w:t xml:space="preserve">. </w:t>
      </w:r>
    </w:p>
    <w:p w:rsidR="0035276B" w:rsidRDefault="005D0A57" w:rsidP="0035276B">
      <w:pPr>
        <w:ind w:firstLine="709"/>
      </w:pPr>
      <w:r w:rsidRPr="0035276B">
        <w:t>Подобное исследование включает также проведение таких процедур, как аудит безопасности, то есть всестороннее исследование бизнеса контрагента банка, методов принятия решений и используемых технологий с целью выявления и идентификации рисков, которым они подвержены</w:t>
      </w:r>
      <w:r w:rsidR="0035276B" w:rsidRPr="0035276B">
        <w:t>.</w:t>
      </w:r>
    </w:p>
    <w:p w:rsidR="0035276B" w:rsidRDefault="005D0A57" w:rsidP="0035276B">
      <w:pPr>
        <w:ind w:firstLine="709"/>
      </w:pPr>
      <w:r w:rsidRPr="0035276B">
        <w:t>Идентификацией, в первую очередь, охватываются риск кредитования контрагента или риск выплаты, расчетный риск и предрасчетный риск</w:t>
      </w:r>
      <w:r w:rsidR="0035276B" w:rsidRPr="0035276B">
        <w:t>.</w:t>
      </w:r>
    </w:p>
    <w:p w:rsidR="0035276B" w:rsidRDefault="005D0A57" w:rsidP="0035276B">
      <w:pPr>
        <w:ind w:firstLine="709"/>
      </w:pPr>
      <w:r w:rsidRPr="0035276B">
        <w:t>Риск кредитования контрагента или риск выплаты заключается в возможности не возвращения контрагентом банку основной суммы долга по истечении срока кредита, векселя, поручительства</w:t>
      </w:r>
      <w:r w:rsidR="0035276B" w:rsidRPr="0035276B">
        <w:t>.</w:t>
      </w:r>
    </w:p>
    <w:p w:rsidR="0035276B" w:rsidRDefault="005D0A57" w:rsidP="0035276B">
      <w:pPr>
        <w:ind w:firstLine="709"/>
      </w:pPr>
      <w:r w:rsidRPr="0035276B">
        <w:t>Расчетный риск возникает в случаях, когда осуществляется передача определенных инструментов</w:t>
      </w:r>
      <w:r w:rsidR="0035276B">
        <w:t xml:space="preserve"> (</w:t>
      </w:r>
      <w:r w:rsidRPr="0035276B">
        <w:t>например, денежных средств или финансовых инструментов</w:t>
      </w:r>
      <w:r w:rsidR="0035276B" w:rsidRPr="0035276B">
        <w:t xml:space="preserve">) </w:t>
      </w:r>
      <w:r w:rsidRPr="0035276B">
        <w:t>на условиях предоплаты, либо предпоставки с нашей стороны</w:t>
      </w:r>
      <w:r w:rsidR="0035276B" w:rsidRPr="0035276B">
        <w:t xml:space="preserve">. </w:t>
      </w:r>
    </w:p>
    <w:p w:rsidR="0035276B" w:rsidRDefault="005D0A57" w:rsidP="0035276B">
      <w:pPr>
        <w:ind w:firstLine="709"/>
      </w:pPr>
      <w:r w:rsidRPr="0035276B">
        <w:t>Риск заключается в том, что встречной поставки со стороны контрагента не происходит</w:t>
      </w:r>
      <w:r w:rsidR="0035276B" w:rsidRPr="0035276B">
        <w:t>.</w:t>
      </w:r>
    </w:p>
    <w:p w:rsidR="0035276B" w:rsidRDefault="005D0A57" w:rsidP="0035276B">
      <w:pPr>
        <w:ind w:firstLine="709"/>
      </w:pPr>
      <w:r w:rsidRPr="0035276B">
        <w:t>Предрасчетный риск</w:t>
      </w:r>
      <w:r w:rsidR="0035276B" w:rsidRPr="0035276B">
        <w:t xml:space="preserve"> - </w:t>
      </w:r>
      <w:r w:rsidRPr="0035276B">
        <w:t>риск того, что контрагент не выполнит своих обязательств по сделке до расчетов и банку придется заменить данный контракт сделкой с другим контрагентом по существующей</w:t>
      </w:r>
      <w:r w:rsidR="0035276B">
        <w:t xml:space="preserve"> (</w:t>
      </w:r>
      <w:r w:rsidRPr="0035276B">
        <w:t>и возможно неблагоприятной</w:t>
      </w:r>
      <w:r w:rsidR="0035276B" w:rsidRPr="0035276B">
        <w:t xml:space="preserve">) </w:t>
      </w:r>
      <w:r w:rsidRPr="0035276B">
        <w:t>рыночной цене</w:t>
      </w:r>
      <w:r w:rsidR="0035276B" w:rsidRPr="0035276B">
        <w:t>.</w:t>
      </w:r>
    </w:p>
    <w:p w:rsidR="0035276B" w:rsidRDefault="005D0A57" w:rsidP="0035276B">
      <w:pPr>
        <w:ind w:firstLine="709"/>
      </w:pPr>
      <w:r w:rsidRPr="0035276B">
        <w:t>Идентификация факторов кредитного риска может осуществляться в разрезе конкретной единичной сделки, кредитного портфеля или для определенного направления кредитной деятельности банка</w:t>
      </w:r>
      <w:r w:rsidR="0035276B" w:rsidRPr="0035276B">
        <w:t xml:space="preserve">. </w:t>
      </w:r>
    </w:p>
    <w:p w:rsidR="0035276B" w:rsidRDefault="005D0A57" w:rsidP="0035276B">
      <w:pPr>
        <w:ind w:firstLine="709"/>
      </w:pPr>
      <w:r w:rsidRPr="0035276B">
        <w:t>В первом случае речь идет об элементарном рисковом событии, во втором</w:t>
      </w:r>
      <w:r w:rsidR="0035276B" w:rsidRPr="0035276B">
        <w:t xml:space="preserve"> - </w:t>
      </w:r>
      <w:r w:rsidRPr="0035276B">
        <w:t>о сложном событии, состоящем из нескольких элементарных</w:t>
      </w:r>
      <w:r w:rsidR="0035276B" w:rsidRPr="0035276B">
        <w:t>.</w:t>
      </w:r>
    </w:p>
    <w:p w:rsidR="0035276B" w:rsidRDefault="007A5C28" w:rsidP="0035276B">
      <w:pPr>
        <w:ind w:firstLine="709"/>
      </w:pPr>
      <w:r w:rsidRPr="0035276B">
        <w:t>Процесс идентификации отдельных видов финансовых рисков осуществляется по следующим трем этапам</w:t>
      </w:r>
      <w:r w:rsidR="0035276B" w:rsidRPr="0035276B">
        <w:t>:</w:t>
      </w:r>
    </w:p>
    <w:p w:rsidR="0035276B" w:rsidRDefault="007A0CB9" w:rsidP="0035276B">
      <w:pPr>
        <w:ind w:firstLine="709"/>
      </w:pPr>
      <w:r w:rsidRPr="0035276B">
        <w:rPr>
          <w:i/>
          <w:iCs/>
        </w:rPr>
        <w:t>На первой стадии</w:t>
      </w:r>
      <w:r w:rsidRPr="0035276B">
        <w:t xml:space="preserve"> идентифицируются факторы риска, связанные с финансовой деятельностью предприятия в целом</w:t>
      </w:r>
      <w:r w:rsidR="0035276B" w:rsidRPr="0035276B">
        <w:t xml:space="preserve">. </w:t>
      </w:r>
      <w:r w:rsidRPr="0035276B">
        <w:t>в процессе этой идентификации факторы подразделяются на внешние и внутренние</w:t>
      </w:r>
      <w:r w:rsidR="0035276B" w:rsidRPr="0035276B">
        <w:t>.</w:t>
      </w:r>
    </w:p>
    <w:p w:rsidR="0035276B" w:rsidRDefault="007A0CB9" w:rsidP="0035276B">
      <w:pPr>
        <w:ind w:firstLine="709"/>
      </w:pPr>
      <w:r w:rsidRPr="0035276B">
        <w:rPr>
          <w:i/>
          <w:iCs/>
        </w:rPr>
        <w:t>На второй стадии</w:t>
      </w:r>
      <w:r w:rsidRPr="0035276B">
        <w:t xml:space="preserve"> в разрезе каждого направления финансовой деятельности</w:t>
      </w:r>
      <w:r w:rsidR="0035276B">
        <w:t xml:space="preserve"> (</w:t>
      </w:r>
      <w:r w:rsidRPr="0035276B">
        <w:t>отдельных видов финансовых операций</w:t>
      </w:r>
      <w:r w:rsidR="0035276B" w:rsidRPr="0035276B">
        <w:t xml:space="preserve">) </w:t>
      </w:r>
      <w:r w:rsidRPr="0035276B">
        <w:t>определяются присущие им внешние или систематические виды финансовых рисков</w:t>
      </w:r>
      <w:r w:rsidR="0035276B" w:rsidRPr="0035276B">
        <w:t xml:space="preserve">. </w:t>
      </w:r>
    </w:p>
    <w:p w:rsidR="0035276B" w:rsidRDefault="0035276B" w:rsidP="0035276B">
      <w:pPr>
        <w:ind w:firstLine="709"/>
      </w:pPr>
      <w:r>
        <w:t>В</w:t>
      </w:r>
      <w:r w:rsidR="007A0CB9" w:rsidRPr="0035276B">
        <w:t xml:space="preserve"> связи со спецификой финансовой деятельности предприятия отдельные из рассмотренных в процессе классификации видов систематических финансовых рисков из формируемого перечня исключаются</w:t>
      </w:r>
      <w:r>
        <w:t xml:space="preserve"> (</w:t>
      </w:r>
      <w:r w:rsidR="007A0CB9" w:rsidRPr="0035276B">
        <w:t>речь идет о валютном риске, если предприятие не осуществляет внешнеэкономической деятельности</w:t>
      </w:r>
      <w:r w:rsidRPr="0035276B">
        <w:t>).</w:t>
      </w:r>
    </w:p>
    <w:p w:rsidR="0035276B" w:rsidRDefault="007A0CB9" w:rsidP="0035276B">
      <w:pPr>
        <w:ind w:firstLine="709"/>
      </w:pPr>
      <w:r w:rsidRPr="0035276B">
        <w:rPr>
          <w:i/>
          <w:iCs/>
        </w:rPr>
        <w:t>На третьей стадии</w:t>
      </w:r>
      <w:r w:rsidRPr="0035276B">
        <w:t xml:space="preserve"> определяется перечень внутренних или несистематических</w:t>
      </w:r>
      <w:r w:rsidR="0035276B">
        <w:t xml:space="preserve"> (</w:t>
      </w:r>
      <w:r w:rsidRPr="0035276B">
        <w:t>специфических</w:t>
      </w:r>
      <w:r w:rsidR="0035276B" w:rsidRPr="0035276B">
        <w:t xml:space="preserve">) </w:t>
      </w:r>
      <w:r w:rsidRPr="0035276B">
        <w:t>финансовых рисков, присущих отдельным видам финансовой деятельности или намечаемых финансовых операций предприятия</w:t>
      </w:r>
      <w:r w:rsidR="0035276B">
        <w:t xml:space="preserve"> (</w:t>
      </w:r>
      <w:r w:rsidRPr="0035276B">
        <w:t xml:space="preserve">риск снижения финансовой устойчивости, риск неплатежеспособности, кредитный риск и </w:t>
      </w:r>
      <w:r w:rsidR="0035276B">
        <w:t>т.п.)</w:t>
      </w:r>
      <w:r w:rsidR="0035276B" w:rsidRPr="0035276B">
        <w:t>.</w:t>
      </w:r>
    </w:p>
    <w:p w:rsidR="0035276B" w:rsidRDefault="007A0CB9" w:rsidP="0035276B">
      <w:pPr>
        <w:ind w:firstLine="709"/>
      </w:pPr>
      <w:r w:rsidRPr="0035276B">
        <w:rPr>
          <w:i/>
          <w:iCs/>
        </w:rPr>
        <w:t>На четвертой стадии</w:t>
      </w:r>
      <w:r w:rsidRPr="0035276B">
        <w:t xml:space="preserve"> формируется предполагаемый общий портфель финансовых рисков, связанных с предстоящей финансовой деятельностью предприятия</w:t>
      </w:r>
      <w:r w:rsidR="0035276B">
        <w:t xml:space="preserve"> (</w:t>
      </w:r>
      <w:r w:rsidRPr="0035276B">
        <w:t>включающий возможные систематические и несистематические финансовые риски</w:t>
      </w:r>
      <w:r w:rsidR="0035276B" w:rsidRPr="0035276B">
        <w:t>).</w:t>
      </w:r>
    </w:p>
    <w:p w:rsidR="0035276B" w:rsidRDefault="00220CA6" w:rsidP="0035276B">
      <w:pPr>
        <w:ind w:firstLine="709"/>
      </w:pPr>
      <w:r w:rsidRPr="0035276B">
        <w:rPr>
          <w:i/>
          <w:iCs/>
        </w:rPr>
        <w:t>Н</w:t>
      </w:r>
      <w:r w:rsidR="007A0CB9" w:rsidRPr="0035276B">
        <w:rPr>
          <w:i/>
          <w:iCs/>
        </w:rPr>
        <w:t>а пятой стадии</w:t>
      </w:r>
      <w:r w:rsidR="007A0CB9" w:rsidRPr="0035276B">
        <w:t xml:space="preserve"> на основе портфеля идентифицированных финансовых рисков определяются сферы наиболее рисковых видов и направлений финансовой деятельности предприятия по критерию широты генерируемых ими рисков</w:t>
      </w:r>
      <w:r w:rsidR="0035276B" w:rsidRPr="0035276B">
        <w:t>.</w:t>
      </w:r>
    </w:p>
    <w:p w:rsidR="0035276B" w:rsidRDefault="0035276B" w:rsidP="0035276B">
      <w:pPr>
        <w:pStyle w:val="2"/>
      </w:pPr>
      <w:r>
        <w:br w:type="page"/>
      </w:r>
      <w:bookmarkStart w:id="3" w:name="_Toc259614662"/>
      <w:r w:rsidR="00ED783D" w:rsidRPr="0035276B">
        <w:t>Проектирование портфеля идентифицирован</w:t>
      </w:r>
      <w:r w:rsidR="001A6B9B" w:rsidRPr="0035276B">
        <w:t>ных</w:t>
      </w:r>
      <w:r w:rsidR="00ED783D" w:rsidRPr="0035276B">
        <w:t xml:space="preserve"> финансовых рисков</w:t>
      </w:r>
      <w:bookmarkEnd w:id="3"/>
    </w:p>
    <w:p w:rsidR="0035276B" w:rsidRDefault="0035276B" w:rsidP="0035276B">
      <w:pPr>
        <w:ind w:firstLine="709"/>
      </w:pPr>
    </w:p>
    <w:p w:rsidR="0035276B" w:rsidRDefault="0072775B" w:rsidP="0035276B">
      <w:pPr>
        <w:ind w:firstLine="709"/>
      </w:pPr>
      <w:r w:rsidRPr="0035276B">
        <w:t>Основой выявления факторов риска являются особенности и специфика предполагаемой предпринимательской деятельности и предпринимательской среды</w:t>
      </w:r>
      <w:r w:rsidR="0035276B" w:rsidRPr="0035276B">
        <w:t xml:space="preserve">. </w:t>
      </w:r>
    </w:p>
    <w:p w:rsidR="0035276B" w:rsidRDefault="0072775B" w:rsidP="0035276B">
      <w:pPr>
        <w:ind w:firstLine="709"/>
      </w:pPr>
      <w:r w:rsidRPr="0035276B">
        <w:t>Так как невозможно получить полную и достоверную информацию о рисках, окружающих предприятие, то желательно по крайней мере иметь свод известных факторов риска, знать природу причин их появления</w:t>
      </w:r>
      <w:r w:rsidR="0035276B" w:rsidRPr="0035276B">
        <w:t>.</w:t>
      </w:r>
      <w:r w:rsidR="0035276B">
        <w:t xml:space="preserve"> </w:t>
      </w:r>
    </w:p>
    <w:p w:rsidR="0035276B" w:rsidRDefault="0072775B" w:rsidP="0035276B">
      <w:pPr>
        <w:ind w:firstLine="709"/>
      </w:pPr>
      <w:r w:rsidRPr="0035276B">
        <w:t>Выявление факторов риска можно осуществлять в соответствии со структурой факторов риска, приведенной в таблице № 1</w:t>
      </w:r>
      <w:r w:rsidR="0035276B" w:rsidRPr="0035276B">
        <w:t>.</w:t>
      </w:r>
    </w:p>
    <w:p w:rsidR="0035276B" w:rsidRDefault="0035276B" w:rsidP="0035276B">
      <w:pPr>
        <w:ind w:firstLine="709"/>
      </w:pPr>
    </w:p>
    <w:p w:rsidR="0072775B" w:rsidRPr="0035276B" w:rsidRDefault="0072775B" w:rsidP="0035276B">
      <w:pPr>
        <w:ind w:firstLine="709"/>
      </w:pPr>
      <w:r w:rsidRPr="0035276B">
        <w:t>Таблица 1</w:t>
      </w:r>
      <w:r w:rsidR="0035276B" w:rsidRPr="0035276B">
        <w:t xml:space="preserve">. </w:t>
      </w:r>
      <w:r w:rsidRPr="0035276B">
        <w:t>Структура факторов риска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5022"/>
      </w:tblGrid>
      <w:tr w:rsidR="0072775B" w:rsidRPr="0035276B" w:rsidTr="005957EF">
        <w:trPr>
          <w:trHeight w:val="477"/>
          <w:jc w:val="center"/>
        </w:trPr>
        <w:tc>
          <w:tcPr>
            <w:tcW w:w="4233" w:type="dxa"/>
            <w:shd w:val="clear" w:color="auto" w:fill="auto"/>
          </w:tcPr>
          <w:p w:rsidR="0072775B" w:rsidRPr="0035276B" w:rsidRDefault="0072775B" w:rsidP="0035276B">
            <w:pPr>
              <w:pStyle w:val="afe"/>
            </w:pPr>
            <w:r w:rsidRPr="0035276B">
              <w:t>Внешние факторы риска</w:t>
            </w:r>
          </w:p>
        </w:tc>
        <w:tc>
          <w:tcPr>
            <w:tcW w:w="5022" w:type="dxa"/>
            <w:shd w:val="clear" w:color="auto" w:fill="auto"/>
          </w:tcPr>
          <w:p w:rsidR="0072775B" w:rsidRPr="0035276B" w:rsidRDefault="0072775B" w:rsidP="0035276B">
            <w:pPr>
              <w:pStyle w:val="afe"/>
            </w:pPr>
            <w:r w:rsidRPr="0035276B">
              <w:t>Внутренние факторы риска</w:t>
            </w:r>
          </w:p>
        </w:tc>
      </w:tr>
      <w:tr w:rsidR="0072775B" w:rsidRPr="0035276B" w:rsidTr="005957EF">
        <w:trPr>
          <w:jc w:val="center"/>
        </w:trPr>
        <w:tc>
          <w:tcPr>
            <w:tcW w:w="4233" w:type="dxa"/>
            <w:shd w:val="clear" w:color="auto" w:fill="auto"/>
          </w:tcPr>
          <w:p w:rsidR="0072775B" w:rsidRPr="005957EF" w:rsidRDefault="0072775B" w:rsidP="0035276B">
            <w:pPr>
              <w:pStyle w:val="afe"/>
              <w:rPr>
                <w:i/>
                <w:iCs/>
              </w:rPr>
            </w:pPr>
            <w:r w:rsidRPr="005957EF">
              <w:rPr>
                <w:i/>
                <w:iCs/>
              </w:rPr>
              <w:t>Факторы риска федерального уровня</w:t>
            </w:r>
          </w:p>
        </w:tc>
        <w:tc>
          <w:tcPr>
            <w:tcW w:w="5022" w:type="dxa"/>
            <w:shd w:val="clear" w:color="auto" w:fill="auto"/>
          </w:tcPr>
          <w:p w:rsidR="0072775B" w:rsidRPr="005957EF" w:rsidRDefault="0072775B" w:rsidP="0035276B">
            <w:pPr>
              <w:pStyle w:val="afe"/>
              <w:rPr>
                <w:i/>
                <w:iCs/>
              </w:rPr>
            </w:pPr>
            <w:r w:rsidRPr="005957EF">
              <w:rPr>
                <w:i/>
                <w:iCs/>
              </w:rPr>
              <w:t>Организационные</w:t>
            </w:r>
          </w:p>
        </w:tc>
      </w:tr>
      <w:tr w:rsidR="00302F2E" w:rsidRPr="0035276B" w:rsidTr="005957EF">
        <w:trPr>
          <w:jc w:val="center"/>
        </w:trPr>
        <w:tc>
          <w:tcPr>
            <w:tcW w:w="4233" w:type="dxa"/>
            <w:vMerge w:val="restart"/>
            <w:shd w:val="clear" w:color="auto" w:fill="auto"/>
          </w:tcPr>
          <w:p w:rsidR="0035276B" w:rsidRPr="005957EF" w:rsidRDefault="00302F2E" w:rsidP="0035276B">
            <w:pPr>
              <w:pStyle w:val="afe"/>
              <w:rPr>
                <w:i/>
                <w:iCs/>
              </w:rPr>
            </w:pPr>
            <w:r w:rsidRPr="005957EF">
              <w:rPr>
                <w:i/>
                <w:iCs/>
              </w:rPr>
              <w:t>1</w:t>
            </w:r>
            <w:r w:rsidR="0035276B" w:rsidRPr="005957EF">
              <w:rPr>
                <w:i/>
                <w:iCs/>
              </w:rPr>
              <w:t xml:space="preserve">. </w:t>
            </w:r>
            <w:r w:rsidRPr="005957EF">
              <w:rPr>
                <w:i/>
                <w:iCs/>
              </w:rPr>
              <w:t>Политические факторы риска</w:t>
            </w:r>
            <w:r w:rsidR="0035276B" w:rsidRPr="005957EF">
              <w:rPr>
                <w:i/>
                <w:iCs/>
              </w:rPr>
              <w:t>: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Риск потери контроля над фирмой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Невозможность осуществления хозяйственной деятельности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Риск запрета на экономические отношения с иностранными государствами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Риск налоговых изменений законодательства</w:t>
            </w:r>
          </w:p>
          <w:p w:rsidR="0035276B" w:rsidRDefault="00302F2E" w:rsidP="0035276B">
            <w:pPr>
              <w:pStyle w:val="afe"/>
            </w:pPr>
            <w:r w:rsidRPr="005957EF">
              <w:rPr>
                <w:i/>
                <w:iCs/>
              </w:rPr>
              <w:t>2</w:t>
            </w:r>
            <w:r w:rsidR="0035276B" w:rsidRPr="005957EF">
              <w:rPr>
                <w:i/>
                <w:iCs/>
              </w:rPr>
              <w:t xml:space="preserve">. </w:t>
            </w:r>
            <w:r w:rsidRPr="005957EF">
              <w:rPr>
                <w:i/>
                <w:iCs/>
              </w:rPr>
              <w:t>Социально-экономические факторы риска</w:t>
            </w:r>
            <w:r w:rsidR="0035276B" w:rsidRPr="0035276B">
              <w:t>: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Инфляционные факторы риска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Дефляционные факторы риска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Валютные факторы риска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Процентные факторы риска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Криминальные факторы риска</w:t>
            </w:r>
          </w:p>
        </w:tc>
        <w:tc>
          <w:tcPr>
            <w:tcW w:w="5022" w:type="dxa"/>
            <w:shd w:val="clear" w:color="auto" w:fill="auto"/>
          </w:tcPr>
          <w:p w:rsidR="00302F2E" w:rsidRPr="0035276B" w:rsidRDefault="00302F2E" w:rsidP="0035276B">
            <w:pPr>
              <w:pStyle w:val="afe"/>
            </w:pPr>
            <w:r w:rsidRPr="0035276B">
              <w:t>Организационные риски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Кадровые риски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Управленческие риски</w:t>
            </w:r>
          </w:p>
        </w:tc>
      </w:tr>
      <w:tr w:rsidR="00302F2E" w:rsidRPr="0035276B" w:rsidTr="005957EF">
        <w:trPr>
          <w:jc w:val="center"/>
        </w:trPr>
        <w:tc>
          <w:tcPr>
            <w:tcW w:w="4233" w:type="dxa"/>
            <w:vMerge/>
            <w:shd w:val="clear" w:color="auto" w:fill="auto"/>
          </w:tcPr>
          <w:p w:rsidR="00302F2E" w:rsidRPr="0035276B" w:rsidRDefault="00302F2E" w:rsidP="0035276B">
            <w:pPr>
              <w:pStyle w:val="afe"/>
            </w:pPr>
          </w:p>
        </w:tc>
        <w:tc>
          <w:tcPr>
            <w:tcW w:w="5022" w:type="dxa"/>
            <w:shd w:val="clear" w:color="auto" w:fill="auto"/>
          </w:tcPr>
          <w:p w:rsidR="00302F2E" w:rsidRPr="005957EF" w:rsidRDefault="00302F2E" w:rsidP="0035276B">
            <w:pPr>
              <w:pStyle w:val="afe"/>
              <w:rPr>
                <w:i/>
                <w:iCs/>
              </w:rPr>
            </w:pPr>
            <w:r w:rsidRPr="005957EF">
              <w:rPr>
                <w:i/>
                <w:iCs/>
              </w:rPr>
              <w:t>Финансовые факторы риска</w:t>
            </w:r>
          </w:p>
        </w:tc>
      </w:tr>
      <w:tr w:rsidR="00302F2E" w:rsidRPr="0035276B" w:rsidTr="005957EF">
        <w:trPr>
          <w:jc w:val="center"/>
        </w:trPr>
        <w:tc>
          <w:tcPr>
            <w:tcW w:w="4233" w:type="dxa"/>
            <w:vMerge/>
            <w:shd w:val="clear" w:color="auto" w:fill="auto"/>
          </w:tcPr>
          <w:p w:rsidR="00302F2E" w:rsidRPr="0035276B" w:rsidRDefault="00302F2E" w:rsidP="0035276B">
            <w:pPr>
              <w:pStyle w:val="afe"/>
            </w:pPr>
          </w:p>
        </w:tc>
        <w:tc>
          <w:tcPr>
            <w:tcW w:w="5022" w:type="dxa"/>
            <w:shd w:val="clear" w:color="auto" w:fill="auto"/>
          </w:tcPr>
          <w:p w:rsidR="00302F2E" w:rsidRPr="0035276B" w:rsidRDefault="00302F2E" w:rsidP="0035276B">
            <w:pPr>
              <w:pStyle w:val="afe"/>
            </w:pPr>
            <w:r w:rsidRPr="0035276B">
              <w:t>Риски ликвидности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Риски потери платежеспособности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Риски снижения финансовой устойчивости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Риски потери финансовой независимости</w:t>
            </w:r>
          </w:p>
        </w:tc>
      </w:tr>
      <w:tr w:rsidR="00302F2E" w:rsidRPr="0035276B" w:rsidTr="005957EF">
        <w:trPr>
          <w:jc w:val="center"/>
        </w:trPr>
        <w:tc>
          <w:tcPr>
            <w:tcW w:w="4233" w:type="dxa"/>
            <w:vMerge/>
            <w:shd w:val="clear" w:color="auto" w:fill="auto"/>
          </w:tcPr>
          <w:p w:rsidR="00302F2E" w:rsidRPr="0035276B" w:rsidRDefault="00302F2E" w:rsidP="0035276B">
            <w:pPr>
              <w:pStyle w:val="afe"/>
            </w:pPr>
          </w:p>
        </w:tc>
        <w:tc>
          <w:tcPr>
            <w:tcW w:w="5022" w:type="dxa"/>
            <w:shd w:val="clear" w:color="auto" w:fill="auto"/>
          </w:tcPr>
          <w:p w:rsidR="00302F2E" w:rsidRPr="005957EF" w:rsidRDefault="00302F2E" w:rsidP="0035276B">
            <w:pPr>
              <w:pStyle w:val="afe"/>
              <w:rPr>
                <w:i/>
                <w:iCs/>
              </w:rPr>
            </w:pPr>
            <w:r w:rsidRPr="005957EF">
              <w:rPr>
                <w:i/>
                <w:iCs/>
              </w:rPr>
              <w:t>Факторы риска, связанные с экономической деятельностью</w:t>
            </w:r>
          </w:p>
        </w:tc>
      </w:tr>
      <w:tr w:rsidR="00302F2E" w:rsidRPr="0035276B" w:rsidTr="005957EF">
        <w:trPr>
          <w:jc w:val="center"/>
        </w:trPr>
        <w:tc>
          <w:tcPr>
            <w:tcW w:w="4233" w:type="dxa"/>
            <w:vMerge/>
            <w:shd w:val="clear" w:color="auto" w:fill="auto"/>
          </w:tcPr>
          <w:p w:rsidR="00302F2E" w:rsidRPr="0035276B" w:rsidRDefault="00302F2E" w:rsidP="0035276B">
            <w:pPr>
              <w:pStyle w:val="afe"/>
            </w:pPr>
          </w:p>
        </w:tc>
        <w:tc>
          <w:tcPr>
            <w:tcW w:w="5022" w:type="dxa"/>
            <w:shd w:val="clear" w:color="auto" w:fill="auto"/>
          </w:tcPr>
          <w:p w:rsidR="00302F2E" w:rsidRPr="0035276B" w:rsidRDefault="00302F2E" w:rsidP="0035276B">
            <w:pPr>
              <w:pStyle w:val="afe"/>
            </w:pPr>
            <w:r w:rsidRPr="0035276B">
              <w:t>Риски упущенной выгоды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Риски банкротства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Операционные риски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Технологические риски</w:t>
            </w:r>
          </w:p>
          <w:p w:rsidR="00302F2E" w:rsidRPr="0035276B" w:rsidRDefault="00302F2E" w:rsidP="0035276B">
            <w:pPr>
              <w:pStyle w:val="afe"/>
            </w:pPr>
            <w:r w:rsidRPr="0035276B">
              <w:t>Инновационные риски</w:t>
            </w:r>
          </w:p>
        </w:tc>
      </w:tr>
      <w:tr w:rsidR="0072775B" w:rsidRPr="0035276B" w:rsidTr="005957EF">
        <w:trPr>
          <w:jc w:val="center"/>
        </w:trPr>
        <w:tc>
          <w:tcPr>
            <w:tcW w:w="4233" w:type="dxa"/>
            <w:shd w:val="clear" w:color="auto" w:fill="auto"/>
          </w:tcPr>
          <w:p w:rsidR="0072775B" w:rsidRPr="005957EF" w:rsidRDefault="00652B09" w:rsidP="0035276B">
            <w:pPr>
              <w:pStyle w:val="afe"/>
              <w:rPr>
                <w:i/>
                <w:iCs/>
              </w:rPr>
            </w:pPr>
            <w:r w:rsidRPr="005957EF">
              <w:rPr>
                <w:i/>
                <w:iCs/>
              </w:rPr>
              <w:t>Региональные факторы риска</w:t>
            </w:r>
          </w:p>
        </w:tc>
        <w:tc>
          <w:tcPr>
            <w:tcW w:w="5022" w:type="dxa"/>
            <w:shd w:val="clear" w:color="auto" w:fill="auto"/>
          </w:tcPr>
          <w:p w:rsidR="0072775B" w:rsidRPr="005957EF" w:rsidRDefault="00652B09" w:rsidP="0035276B">
            <w:pPr>
              <w:pStyle w:val="afe"/>
              <w:rPr>
                <w:i/>
                <w:iCs/>
              </w:rPr>
            </w:pPr>
            <w:r w:rsidRPr="005957EF">
              <w:rPr>
                <w:i/>
                <w:iCs/>
              </w:rPr>
              <w:t>Другие факторы</w:t>
            </w:r>
          </w:p>
        </w:tc>
      </w:tr>
      <w:tr w:rsidR="00652B09" w:rsidRPr="0035276B" w:rsidTr="005957EF">
        <w:trPr>
          <w:jc w:val="center"/>
        </w:trPr>
        <w:tc>
          <w:tcPr>
            <w:tcW w:w="4233" w:type="dxa"/>
            <w:shd w:val="clear" w:color="auto" w:fill="auto"/>
          </w:tcPr>
          <w:p w:rsidR="00652B09" w:rsidRPr="0035276B" w:rsidRDefault="00652B09" w:rsidP="0035276B">
            <w:pPr>
              <w:pStyle w:val="afe"/>
            </w:pPr>
            <w:r w:rsidRPr="0035276B">
              <w:t>Социально-демографические риски</w:t>
            </w:r>
          </w:p>
          <w:p w:rsidR="00652B09" w:rsidRPr="0035276B" w:rsidRDefault="00652B09" w:rsidP="0035276B">
            <w:pPr>
              <w:pStyle w:val="afe"/>
            </w:pPr>
            <w:r w:rsidRPr="0035276B">
              <w:t>Налоговые риски</w:t>
            </w:r>
          </w:p>
          <w:p w:rsidR="00652B09" w:rsidRPr="0035276B" w:rsidRDefault="00652B09" w:rsidP="0035276B">
            <w:pPr>
              <w:pStyle w:val="afe"/>
            </w:pPr>
            <w:r w:rsidRPr="0035276B">
              <w:t>Предпринимательские риски</w:t>
            </w:r>
          </w:p>
        </w:tc>
        <w:tc>
          <w:tcPr>
            <w:tcW w:w="5022" w:type="dxa"/>
            <w:vMerge w:val="restart"/>
            <w:shd w:val="clear" w:color="auto" w:fill="auto"/>
          </w:tcPr>
          <w:p w:rsidR="00652B09" w:rsidRPr="0035276B" w:rsidRDefault="00652B09" w:rsidP="0035276B">
            <w:pPr>
              <w:pStyle w:val="afe"/>
            </w:pPr>
            <w:r w:rsidRPr="0035276B">
              <w:t>Риски безопасности</w:t>
            </w:r>
          </w:p>
          <w:p w:rsidR="00652B09" w:rsidRPr="0035276B" w:rsidRDefault="00652B09" w:rsidP="0035276B">
            <w:pPr>
              <w:pStyle w:val="afe"/>
            </w:pPr>
            <w:r w:rsidRPr="0035276B">
              <w:t>Информационные риски</w:t>
            </w:r>
          </w:p>
        </w:tc>
      </w:tr>
      <w:tr w:rsidR="00652B09" w:rsidRPr="0035276B" w:rsidTr="005957EF">
        <w:trPr>
          <w:jc w:val="center"/>
        </w:trPr>
        <w:tc>
          <w:tcPr>
            <w:tcW w:w="4233" w:type="dxa"/>
            <w:shd w:val="clear" w:color="auto" w:fill="auto"/>
          </w:tcPr>
          <w:p w:rsidR="00652B09" w:rsidRPr="005957EF" w:rsidRDefault="00652B09" w:rsidP="0035276B">
            <w:pPr>
              <w:pStyle w:val="afe"/>
              <w:rPr>
                <w:i/>
                <w:iCs/>
              </w:rPr>
            </w:pPr>
            <w:r w:rsidRPr="005957EF">
              <w:rPr>
                <w:i/>
                <w:iCs/>
              </w:rPr>
              <w:t>Отраслевые факторы риска</w:t>
            </w:r>
          </w:p>
        </w:tc>
        <w:tc>
          <w:tcPr>
            <w:tcW w:w="5022" w:type="dxa"/>
            <w:vMerge/>
            <w:shd w:val="clear" w:color="auto" w:fill="auto"/>
          </w:tcPr>
          <w:p w:rsidR="00652B09" w:rsidRPr="0035276B" w:rsidRDefault="00652B09" w:rsidP="0035276B">
            <w:pPr>
              <w:pStyle w:val="afe"/>
            </w:pPr>
          </w:p>
        </w:tc>
      </w:tr>
      <w:tr w:rsidR="00652B09" w:rsidRPr="0035276B" w:rsidTr="005957EF">
        <w:trPr>
          <w:jc w:val="center"/>
        </w:trPr>
        <w:tc>
          <w:tcPr>
            <w:tcW w:w="4233" w:type="dxa"/>
            <w:shd w:val="clear" w:color="auto" w:fill="auto"/>
          </w:tcPr>
          <w:p w:rsidR="00652B09" w:rsidRPr="0035276B" w:rsidRDefault="00652B09" w:rsidP="0035276B">
            <w:pPr>
              <w:pStyle w:val="afe"/>
            </w:pPr>
            <w:r w:rsidRPr="0035276B">
              <w:t>Отраслевые риски</w:t>
            </w:r>
          </w:p>
          <w:p w:rsidR="00652B09" w:rsidRPr="0035276B" w:rsidRDefault="00652B09" w:rsidP="0035276B">
            <w:pPr>
              <w:pStyle w:val="afe"/>
            </w:pPr>
            <w:r w:rsidRPr="0035276B">
              <w:t>Риск положения предприятия в отрасли</w:t>
            </w:r>
          </w:p>
          <w:p w:rsidR="00652B09" w:rsidRPr="0035276B" w:rsidRDefault="00652B09" w:rsidP="0035276B">
            <w:pPr>
              <w:pStyle w:val="afe"/>
            </w:pPr>
            <w:r w:rsidRPr="0035276B">
              <w:t>Экологические риски</w:t>
            </w:r>
          </w:p>
        </w:tc>
        <w:tc>
          <w:tcPr>
            <w:tcW w:w="5022" w:type="dxa"/>
            <w:vMerge/>
            <w:shd w:val="clear" w:color="auto" w:fill="auto"/>
          </w:tcPr>
          <w:p w:rsidR="00652B09" w:rsidRPr="0035276B" w:rsidRDefault="00652B09" w:rsidP="0035276B">
            <w:pPr>
              <w:pStyle w:val="afe"/>
            </w:pPr>
          </w:p>
        </w:tc>
      </w:tr>
    </w:tbl>
    <w:p w:rsidR="00652B09" w:rsidRPr="0035276B" w:rsidRDefault="00652B09" w:rsidP="0035276B">
      <w:pPr>
        <w:ind w:firstLine="709"/>
      </w:pPr>
    </w:p>
    <w:p w:rsidR="0035276B" w:rsidRDefault="00652B09" w:rsidP="0035276B">
      <w:pPr>
        <w:ind w:firstLine="709"/>
      </w:pPr>
      <w:r w:rsidRPr="0035276B">
        <w:t>В таблице представлены основные области, в которых формируются факторы риска</w:t>
      </w:r>
      <w:r w:rsidR="0035276B" w:rsidRPr="0035276B">
        <w:t>.</w:t>
      </w:r>
    </w:p>
    <w:p w:rsidR="0035276B" w:rsidRDefault="00652B09" w:rsidP="0035276B">
      <w:pPr>
        <w:ind w:firstLine="709"/>
      </w:pPr>
      <w:r w:rsidRPr="0035276B">
        <w:t>Данная таблица полезна также и тем, что структурирует факторы риска не только по местам их возникновения, но и по степени управляемости</w:t>
      </w:r>
      <w:r w:rsidR="0035276B" w:rsidRPr="0035276B">
        <w:t xml:space="preserve">: </w:t>
      </w:r>
      <w:r w:rsidRPr="0035276B">
        <w:t>область факторов риска, находящаяся вне компании, как правило, неуправляема или слабо управляема, а вот область факторов риска внутри компании управляема в большей степени</w:t>
      </w:r>
      <w:r w:rsidR="0035276B" w:rsidRPr="0035276B">
        <w:t>.</w:t>
      </w:r>
    </w:p>
    <w:p w:rsidR="0035276B" w:rsidRDefault="00652B09" w:rsidP="0035276B">
      <w:pPr>
        <w:ind w:firstLine="709"/>
      </w:pPr>
      <w:r w:rsidRPr="0035276B">
        <w:t>После того как совокупность факторов риска выявлена, можно построить систему рисков применительно к конкретному виду деятельности, например в виде классификационной схемы</w:t>
      </w:r>
      <w:r w:rsidR="0035276B" w:rsidRPr="0035276B">
        <w:t>.</w:t>
      </w:r>
    </w:p>
    <w:p w:rsidR="0035276B" w:rsidRDefault="00652B09" w:rsidP="0035276B">
      <w:pPr>
        <w:ind w:firstLine="709"/>
      </w:pPr>
      <w:r w:rsidRPr="0035276B">
        <w:t>Идентификация факторов риска осуществляется предпринимателем для ответа на следующие вопросы</w:t>
      </w:r>
      <w:r w:rsidR="0035276B" w:rsidRPr="0035276B">
        <w:t>:</w:t>
      </w:r>
    </w:p>
    <w:p w:rsidR="0035276B" w:rsidRDefault="00652B09" w:rsidP="0035276B">
      <w:pPr>
        <w:ind w:firstLine="709"/>
      </w:pPr>
      <w:r w:rsidRPr="0035276B">
        <w:t>где сосредоточены основные факторы риска</w:t>
      </w:r>
      <w:r w:rsidR="0035276B" w:rsidRPr="0035276B">
        <w:t>;</w:t>
      </w:r>
    </w:p>
    <w:p w:rsidR="0035276B" w:rsidRDefault="00652B09" w:rsidP="0035276B">
      <w:pPr>
        <w:ind w:firstLine="709"/>
      </w:pPr>
      <w:r w:rsidRPr="0035276B">
        <w:t>какие из факторов риска наиболее опасны для данного вида деятельности</w:t>
      </w:r>
      <w:r w:rsidR="0035276B">
        <w:t xml:space="preserve"> (</w:t>
      </w:r>
      <w:r w:rsidRPr="0035276B">
        <w:t>принимаемого решения</w:t>
      </w:r>
      <w:r w:rsidR="0035276B" w:rsidRPr="0035276B">
        <w:t>);</w:t>
      </w:r>
    </w:p>
    <w:p w:rsidR="0035276B" w:rsidRDefault="00652B09" w:rsidP="0035276B">
      <w:pPr>
        <w:ind w:firstLine="709"/>
      </w:pPr>
      <w:r w:rsidRPr="0035276B">
        <w:t>какие из факторов риска являются управляемыми, а какие</w:t>
      </w:r>
      <w:r w:rsidR="0035276B" w:rsidRPr="0035276B">
        <w:t xml:space="preserve"> - </w:t>
      </w:r>
      <w:r w:rsidRPr="0035276B">
        <w:t>нет</w:t>
      </w:r>
      <w:r w:rsidR="0035276B" w:rsidRPr="0035276B">
        <w:t>.</w:t>
      </w:r>
    </w:p>
    <w:p w:rsidR="0035276B" w:rsidRDefault="00652B09" w:rsidP="0035276B">
      <w:pPr>
        <w:ind w:firstLine="709"/>
      </w:pPr>
      <w:r w:rsidRPr="0035276B">
        <w:t>Идентификация факторов риска предусматривает отнесение рисков к одной из трех основных категорий</w:t>
      </w:r>
      <w:r w:rsidR="0035276B" w:rsidRPr="0035276B">
        <w:t>:</w:t>
      </w:r>
    </w:p>
    <w:p w:rsidR="0035276B" w:rsidRDefault="00652B09" w:rsidP="0035276B">
      <w:pPr>
        <w:ind w:firstLine="709"/>
      </w:pPr>
      <w:r w:rsidRPr="0035276B">
        <w:t>опасные факторы риска</w:t>
      </w:r>
      <w:r w:rsidR="0035276B" w:rsidRPr="0035276B">
        <w:t>;</w:t>
      </w:r>
    </w:p>
    <w:p w:rsidR="0035276B" w:rsidRDefault="00652B09" w:rsidP="0035276B">
      <w:pPr>
        <w:ind w:firstLine="709"/>
      </w:pPr>
      <w:r w:rsidRPr="0035276B">
        <w:t>допустимые по степени опасности факторы риска</w:t>
      </w:r>
      <w:r w:rsidR="0035276B" w:rsidRPr="0035276B">
        <w:t>;</w:t>
      </w:r>
    </w:p>
    <w:p w:rsidR="0035276B" w:rsidRDefault="00652B09" w:rsidP="0035276B">
      <w:pPr>
        <w:ind w:firstLine="709"/>
      </w:pPr>
      <w:r w:rsidRPr="0035276B">
        <w:t>неопасные факторы риска</w:t>
      </w:r>
      <w:r w:rsidR="0035276B" w:rsidRPr="0035276B">
        <w:t>.</w:t>
      </w:r>
    </w:p>
    <w:p w:rsidR="0035276B" w:rsidRDefault="00652B09" w:rsidP="0035276B">
      <w:pPr>
        <w:ind w:firstLine="709"/>
      </w:pPr>
      <w:r w:rsidRPr="0035276B">
        <w:t>Идентификация факторов риска может осуществляться в разрезе конкретной операции или для некоторой сферы деятельности компании, например, финансовой</w:t>
      </w:r>
      <w:r w:rsidR="0035276B" w:rsidRPr="0035276B">
        <w:t xml:space="preserve">. </w:t>
      </w:r>
      <w:r w:rsidRPr="0035276B">
        <w:t>В первом случае речь идет об</w:t>
      </w:r>
      <w:r w:rsidR="0035276B">
        <w:t xml:space="preserve"> "</w:t>
      </w:r>
      <w:r w:rsidRPr="0035276B">
        <w:t>элементарном</w:t>
      </w:r>
      <w:r w:rsidR="0035276B">
        <w:t xml:space="preserve">" </w:t>
      </w:r>
      <w:r w:rsidRPr="0035276B">
        <w:t>рисковом событии, во втором</w:t>
      </w:r>
      <w:r w:rsidR="0035276B" w:rsidRPr="0035276B">
        <w:t xml:space="preserve"> - </w:t>
      </w:r>
      <w:r w:rsidRPr="0035276B">
        <w:t>о сложном событии, состоящем из нескольких элементарных</w:t>
      </w:r>
      <w:r w:rsidR="0035276B" w:rsidRPr="0035276B">
        <w:t>.</w:t>
      </w:r>
    </w:p>
    <w:p w:rsidR="0035276B" w:rsidRDefault="00652B09" w:rsidP="0035276B">
      <w:pPr>
        <w:ind w:firstLine="709"/>
      </w:pPr>
      <w:r w:rsidRPr="0035276B">
        <w:t>В таблице № 2 приведен пример портфеля идентифицированных факторов риска, в котором в столбцах указаны некоторые виды деятельности финансового менеджера, а в строках</w:t>
      </w:r>
      <w:r w:rsidR="0035276B" w:rsidRPr="0035276B">
        <w:t xml:space="preserve"> - </w:t>
      </w:r>
      <w:r w:rsidRPr="0035276B">
        <w:t>факторы риска, которые эти виды деятельности</w:t>
      </w:r>
      <w:r w:rsidR="0035276B">
        <w:t xml:space="preserve"> "</w:t>
      </w:r>
      <w:r w:rsidRPr="0035276B">
        <w:t>сопровождают</w:t>
      </w:r>
      <w:r w:rsidR="0035276B">
        <w:t>".</w:t>
      </w:r>
    </w:p>
    <w:p w:rsidR="0035276B" w:rsidRDefault="0035276B" w:rsidP="0035276B">
      <w:pPr>
        <w:ind w:firstLine="709"/>
      </w:pPr>
    </w:p>
    <w:p w:rsidR="00652B09" w:rsidRPr="0035276B" w:rsidRDefault="00652B09" w:rsidP="0035276B">
      <w:pPr>
        <w:ind w:left="708" w:firstLine="1"/>
      </w:pPr>
      <w:r w:rsidRPr="0035276B">
        <w:t>Таблица № 2</w:t>
      </w:r>
      <w:r w:rsidR="0035276B" w:rsidRPr="0035276B">
        <w:t xml:space="preserve">. </w:t>
      </w:r>
      <w:r w:rsidRPr="0035276B">
        <w:t>Портфель идентифицированных факторов риска компании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375"/>
        <w:gridCol w:w="810"/>
        <w:gridCol w:w="810"/>
        <w:gridCol w:w="709"/>
        <w:gridCol w:w="709"/>
        <w:gridCol w:w="710"/>
        <w:gridCol w:w="731"/>
        <w:gridCol w:w="731"/>
        <w:gridCol w:w="731"/>
      </w:tblGrid>
      <w:tr w:rsidR="0035276B" w:rsidRPr="0035276B" w:rsidTr="005957EF">
        <w:trPr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35276B" w:rsidRDefault="0008131B" w:rsidP="0035276B">
            <w:pPr>
              <w:pStyle w:val="afe"/>
            </w:pPr>
            <w:r w:rsidRPr="0035276B">
              <w:t xml:space="preserve">№ </w:t>
            </w:r>
          </w:p>
          <w:p w:rsidR="0008131B" w:rsidRPr="0035276B" w:rsidRDefault="0008131B" w:rsidP="0035276B">
            <w:pPr>
              <w:pStyle w:val="afe"/>
            </w:pPr>
            <w:r w:rsidRPr="0035276B">
              <w:t>п/п</w:t>
            </w:r>
          </w:p>
        </w:tc>
        <w:tc>
          <w:tcPr>
            <w:tcW w:w="2375" w:type="dxa"/>
            <w:vMerge w:val="restart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Факторы риска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Виды деятельности финансового менеджера</w:t>
            </w:r>
          </w:p>
        </w:tc>
      </w:tr>
      <w:tr w:rsidR="0035276B" w:rsidRPr="005957EF" w:rsidTr="005957EF">
        <w:trPr>
          <w:jc w:val="center"/>
        </w:trPr>
        <w:tc>
          <w:tcPr>
            <w:tcW w:w="577" w:type="dxa"/>
            <w:vMerge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2375" w:type="dxa"/>
            <w:vMerge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Инвестирование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Управление</w:t>
            </w:r>
          </w:p>
          <w:p w:rsidR="0008131B" w:rsidRPr="0035276B" w:rsidRDefault="0008131B" w:rsidP="0035276B">
            <w:pPr>
              <w:pStyle w:val="afe"/>
            </w:pPr>
            <w:r w:rsidRPr="0035276B">
              <w:t>оборотными активами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Управление капиталом</w:t>
            </w:r>
          </w:p>
        </w:tc>
      </w:tr>
      <w:tr w:rsidR="0035276B" w:rsidRPr="005957EF" w:rsidTr="005957EF">
        <w:trPr>
          <w:cantSplit/>
          <w:trHeight w:val="2452"/>
          <w:jc w:val="center"/>
        </w:trPr>
        <w:tc>
          <w:tcPr>
            <w:tcW w:w="577" w:type="dxa"/>
            <w:vMerge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2375" w:type="dxa"/>
            <w:vMerge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08131B" w:rsidRPr="0035276B" w:rsidRDefault="0008131B" w:rsidP="005957EF">
            <w:pPr>
              <w:pStyle w:val="afe"/>
              <w:ind w:left="113" w:right="113"/>
            </w:pPr>
            <w:r w:rsidRPr="0035276B">
              <w:t>В реальные активы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31B" w:rsidRPr="0035276B" w:rsidRDefault="0008131B" w:rsidP="005957EF">
            <w:pPr>
              <w:pStyle w:val="afe"/>
              <w:ind w:left="113" w:right="113"/>
            </w:pPr>
            <w:r w:rsidRPr="0035276B">
              <w:t>В финансовые активы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31B" w:rsidRPr="0035276B" w:rsidRDefault="0008131B" w:rsidP="005957EF">
            <w:pPr>
              <w:pStyle w:val="afe"/>
              <w:ind w:left="113" w:right="113"/>
            </w:pPr>
            <w:r w:rsidRPr="0035276B">
              <w:t xml:space="preserve">Запасами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31B" w:rsidRPr="0035276B" w:rsidRDefault="0008131B" w:rsidP="005957EF">
            <w:pPr>
              <w:pStyle w:val="afe"/>
              <w:ind w:left="113" w:right="113"/>
            </w:pPr>
            <w:r w:rsidRPr="0035276B">
              <w:t>Дебиторской задолженностью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31B" w:rsidRPr="0035276B" w:rsidRDefault="0008131B" w:rsidP="005957EF">
            <w:pPr>
              <w:pStyle w:val="afe"/>
              <w:ind w:left="113" w:right="113"/>
            </w:pPr>
            <w:r w:rsidRPr="0035276B">
              <w:t>Денежными</w:t>
            </w:r>
            <w:r w:rsidR="0035276B" w:rsidRPr="0035276B">
              <w:t xml:space="preserve"> </w:t>
            </w:r>
            <w:r w:rsidRPr="0035276B">
              <w:t>средствами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31B" w:rsidRPr="0035276B" w:rsidRDefault="0008131B" w:rsidP="005957EF">
            <w:pPr>
              <w:pStyle w:val="afe"/>
              <w:ind w:left="113" w:right="113"/>
            </w:pPr>
            <w:r w:rsidRPr="0035276B">
              <w:t>Собственным капиталом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31B" w:rsidRPr="0035276B" w:rsidRDefault="0008131B" w:rsidP="005957EF">
            <w:pPr>
              <w:pStyle w:val="afe"/>
              <w:ind w:left="113" w:right="113"/>
            </w:pPr>
            <w:r w:rsidRPr="0035276B">
              <w:t>Заемным капиталом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31B" w:rsidRPr="0035276B" w:rsidRDefault="0008131B" w:rsidP="005957EF">
            <w:pPr>
              <w:pStyle w:val="afe"/>
              <w:ind w:left="113" w:right="113"/>
            </w:pPr>
            <w:r w:rsidRPr="0035276B">
              <w:t>Кредиторской задолженностью</w:t>
            </w:r>
          </w:p>
        </w:tc>
      </w:tr>
      <w:tr w:rsidR="0008131B" w:rsidRPr="0035276B" w:rsidTr="005957EF">
        <w:trPr>
          <w:jc w:val="center"/>
        </w:trPr>
        <w:tc>
          <w:tcPr>
            <w:tcW w:w="8704" w:type="dxa"/>
            <w:gridSpan w:val="10"/>
            <w:shd w:val="clear" w:color="auto" w:fill="auto"/>
          </w:tcPr>
          <w:p w:rsidR="0008131B" w:rsidRPr="005957EF" w:rsidRDefault="0008131B" w:rsidP="0035276B">
            <w:pPr>
              <w:pStyle w:val="afe"/>
              <w:rPr>
                <w:i/>
                <w:iCs/>
              </w:rPr>
            </w:pPr>
            <w:r w:rsidRPr="005957EF">
              <w:rPr>
                <w:i/>
                <w:iCs/>
              </w:rPr>
              <w:t>Внешние</w:t>
            </w:r>
            <w:r w:rsidR="0035276B" w:rsidRPr="005957EF">
              <w:rPr>
                <w:i/>
                <w:iCs/>
              </w:rPr>
              <w:t xml:space="preserve"> (</w:t>
            </w:r>
            <w:r w:rsidRPr="005957EF">
              <w:rPr>
                <w:i/>
                <w:iCs/>
              </w:rPr>
              <w:t>систематические</w:t>
            </w:r>
            <w:r w:rsidR="0035276B" w:rsidRPr="005957EF">
              <w:rPr>
                <w:i/>
                <w:iCs/>
              </w:rPr>
              <w:t xml:space="preserve">) </w:t>
            </w:r>
            <w:r w:rsidRPr="005957EF">
              <w:rPr>
                <w:i/>
                <w:iCs/>
              </w:rPr>
              <w:t>факторы риска</w:t>
            </w:r>
          </w:p>
        </w:tc>
      </w:tr>
      <w:tr w:rsidR="0035276B" w:rsidRPr="005957EF" w:rsidTr="005957EF">
        <w:trPr>
          <w:jc w:val="center"/>
        </w:trPr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1</w:t>
            </w:r>
          </w:p>
        </w:tc>
        <w:tc>
          <w:tcPr>
            <w:tcW w:w="2375" w:type="dxa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Инфляционные</w:t>
            </w: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</w:tr>
      <w:tr w:rsidR="0035276B" w:rsidRPr="005957EF" w:rsidTr="005957EF">
        <w:trPr>
          <w:jc w:val="center"/>
        </w:trPr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2</w:t>
            </w:r>
          </w:p>
        </w:tc>
        <w:tc>
          <w:tcPr>
            <w:tcW w:w="2375" w:type="dxa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 xml:space="preserve">Процентные </w:t>
            </w: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</w:tr>
      <w:tr w:rsidR="0035276B" w:rsidRPr="005957EF" w:rsidTr="005957EF">
        <w:trPr>
          <w:jc w:val="center"/>
        </w:trPr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3</w:t>
            </w:r>
          </w:p>
        </w:tc>
        <w:tc>
          <w:tcPr>
            <w:tcW w:w="2375" w:type="dxa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 xml:space="preserve">Налоговые </w:t>
            </w: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</w:tr>
      <w:tr w:rsidR="0008131B" w:rsidRPr="0035276B" w:rsidTr="005957EF">
        <w:trPr>
          <w:jc w:val="center"/>
        </w:trPr>
        <w:tc>
          <w:tcPr>
            <w:tcW w:w="8704" w:type="dxa"/>
            <w:gridSpan w:val="10"/>
            <w:shd w:val="clear" w:color="auto" w:fill="auto"/>
          </w:tcPr>
          <w:p w:rsidR="0008131B" w:rsidRPr="005957EF" w:rsidRDefault="0008131B" w:rsidP="0035276B">
            <w:pPr>
              <w:pStyle w:val="afe"/>
              <w:rPr>
                <w:i/>
                <w:iCs/>
              </w:rPr>
            </w:pPr>
            <w:r w:rsidRPr="005957EF">
              <w:rPr>
                <w:i/>
                <w:iCs/>
              </w:rPr>
              <w:t>Внутренние</w:t>
            </w:r>
            <w:r w:rsidR="0035276B" w:rsidRPr="005957EF">
              <w:rPr>
                <w:i/>
                <w:iCs/>
              </w:rPr>
              <w:t xml:space="preserve"> (</w:t>
            </w:r>
            <w:r w:rsidRPr="005957EF">
              <w:rPr>
                <w:i/>
                <w:iCs/>
              </w:rPr>
              <w:t>несистематические</w:t>
            </w:r>
            <w:r w:rsidR="0035276B" w:rsidRPr="005957EF">
              <w:rPr>
                <w:i/>
                <w:iCs/>
              </w:rPr>
              <w:t xml:space="preserve">) </w:t>
            </w:r>
            <w:r w:rsidRPr="005957EF">
              <w:rPr>
                <w:i/>
                <w:iCs/>
              </w:rPr>
              <w:t>факторы риска</w:t>
            </w:r>
          </w:p>
        </w:tc>
      </w:tr>
      <w:tr w:rsidR="0035276B" w:rsidRPr="005957EF" w:rsidTr="005957EF">
        <w:trPr>
          <w:jc w:val="center"/>
        </w:trPr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1</w:t>
            </w:r>
          </w:p>
        </w:tc>
        <w:tc>
          <w:tcPr>
            <w:tcW w:w="2375" w:type="dxa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Неплатежес</w:t>
            </w:r>
            <w:r w:rsidR="0035276B">
              <w:t>по</w:t>
            </w:r>
            <w:r w:rsidRPr="0035276B">
              <w:t xml:space="preserve">собности </w:t>
            </w: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</w:tr>
      <w:tr w:rsidR="0035276B" w:rsidRPr="005957EF" w:rsidTr="005957EF">
        <w:trPr>
          <w:jc w:val="center"/>
        </w:trPr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2</w:t>
            </w:r>
          </w:p>
        </w:tc>
        <w:tc>
          <w:tcPr>
            <w:tcW w:w="2375" w:type="dxa"/>
            <w:shd w:val="clear" w:color="auto" w:fill="auto"/>
          </w:tcPr>
          <w:p w:rsidR="0035276B" w:rsidRDefault="0008131B" w:rsidP="0035276B">
            <w:pPr>
              <w:pStyle w:val="afe"/>
            </w:pPr>
            <w:r w:rsidRPr="0035276B">
              <w:t xml:space="preserve">Потери финансовой </w:t>
            </w:r>
          </w:p>
          <w:p w:rsidR="0008131B" w:rsidRPr="0035276B" w:rsidRDefault="0008131B" w:rsidP="0035276B">
            <w:pPr>
              <w:pStyle w:val="afe"/>
            </w:pPr>
            <w:r w:rsidRPr="0035276B">
              <w:t>устойчивости</w:t>
            </w: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</w:tr>
      <w:tr w:rsidR="0035276B" w:rsidRPr="005957EF" w:rsidTr="005957EF">
        <w:trPr>
          <w:jc w:val="center"/>
        </w:trPr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>3</w:t>
            </w:r>
          </w:p>
        </w:tc>
        <w:tc>
          <w:tcPr>
            <w:tcW w:w="2375" w:type="dxa"/>
            <w:shd w:val="clear" w:color="auto" w:fill="auto"/>
          </w:tcPr>
          <w:p w:rsidR="0008131B" w:rsidRPr="0035276B" w:rsidRDefault="0008131B" w:rsidP="0035276B">
            <w:pPr>
              <w:pStyle w:val="afe"/>
            </w:pPr>
            <w:r w:rsidRPr="0035276B">
              <w:t xml:space="preserve">Кредитные </w:t>
            </w: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08131B" w:rsidRPr="0035276B" w:rsidRDefault="0008131B" w:rsidP="0035276B">
            <w:pPr>
              <w:pStyle w:val="afe"/>
            </w:pPr>
          </w:p>
        </w:tc>
      </w:tr>
    </w:tbl>
    <w:p w:rsidR="00CF25AE" w:rsidRPr="0035276B" w:rsidRDefault="00CF25AE" w:rsidP="0035276B">
      <w:pPr>
        <w:ind w:firstLine="709"/>
      </w:pPr>
    </w:p>
    <w:p w:rsidR="0035276B" w:rsidRDefault="00CF25AE" w:rsidP="0035276B">
      <w:pPr>
        <w:ind w:firstLine="709"/>
      </w:pPr>
      <w:r w:rsidRPr="0035276B">
        <w:t>В прямоугольнике таблицы на пересечении видов деятельности с факторами риска можно или поставить знак того, что этот вид деятельности подвержен конкретному фактору риска, или нет</w:t>
      </w:r>
      <w:r w:rsidR="0035276B" w:rsidRPr="0035276B">
        <w:t>.</w:t>
      </w:r>
    </w:p>
    <w:p w:rsidR="0035276B" w:rsidRDefault="00CF25AE" w:rsidP="0035276B">
      <w:pPr>
        <w:ind w:firstLine="709"/>
      </w:pPr>
      <w:r w:rsidRPr="0035276B">
        <w:t>В данном прямоугольнике можно также поставить экспертную оценку в баллах степени опасности фактора риска, которая может быть потом использована для отнесения их в одну из групп</w:t>
      </w:r>
      <w:r w:rsidR="0035276B" w:rsidRPr="0035276B">
        <w:t xml:space="preserve">: </w:t>
      </w:r>
      <w:r w:rsidRPr="0035276B">
        <w:t>опасные, допустимые и неопасные</w:t>
      </w:r>
      <w:r w:rsidR="0035276B" w:rsidRPr="0035276B">
        <w:t>.</w:t>
      </w:r>
    </w:p>
    <w:p w:rsidR="0035276B" w:rsidRDefault="0035276B" w:rsidP="0035276B">
      <w:pPr>
        <w:pStyle w:val="2"/>
      </w:pPr>
      <w:r>
        <w:br w:type="page"/>
      </w:r>
      <w:bookmarkStart w:id="4" w:name="_Toc259614663"/>
      <w:r w:rsidR="00220CA6" w:rsidRPr="0035276B">
        <w:t>Заключение</w:t>
      </w:r>
      <w:bookmarkEnd w:id="4"/>
    </w:p>
    <w:p w:rsidR="0035276B" w:rsidRDefault="0035276B" w:rsidP="0035276B">
      <w:pPr>
        <w:ind w:firstLine="709"/>
      </w:pPr>
    </w:p>
    <w:p w:rsidR="0035276B" w:rsidRDefault="00220CA6" w:rsidP="0035276B">
      <w:pPr>
        <w:ind w:firstLine="709"/>
      </w:pPr>
      <w:r w:rsidRPr="0035276B">
        <w:t>Осуществление финансовой деятельности в современных условиях невозможно без специальных методов анализа и управления рисками</w:t>
      </w:r>
      <w:r w:rsidR="0035276B" w:rsidRPr="0035276B">
        <w:t xml:space="preserve">. </w:t>
      </w:r>
      <w:r w:rsidRPr="0035276B">
        <w:t>Функция управления финансовыми рисками приобретает все большую роль и становится одним из важнейших условий обеспечения финансовой стабильности предпринимательских организаций</w:t>
      </w:r>
      <w:r w:rsidR="0035276B" w:rsidRPr="0035276B">
        <w:t>.</w:t>
      </w:r>
    </w:p>
    <w:p w:rsidR="0035276B" w:rsidRDefault="00220CA6" w:rsidP="0035276B">
      <w:pPr>
        <w:ind w:firstLine="709"/>
      </w:pPr>
      <w:r w:rsidRPr="0035276B">
        <w:t>Последние 30-40 лет на Западе управление рисками развивалось как система понятий и дисциплин, целью которой является помощь в организации защиты от негативных финансовых последствий, непредвиденных событий или неблагоприятных обстоятельств, возникающих в процессе деятельности предпринимательской фирмы</w:t>
      </w:r>
      <w:r w:rsidR="0035276B" w:rsidRPr="0035276B">
        <w:t>.</w:t>
      </w:r>
    </w:p>
    <w:p w:rsidR="0035276B" w:rsidRDefault="00220CA6" w:rsidP="0035276B">
      <w:pPr>
        <w:ind w:firstLine="709"/>
      </w:pPr>
      <w:r w:rsidRPr="0035276B">
        <w:t>Управление финансовыми рисками фирмы представляет собой специфическую сферу финансового менеджмента, которая за рубежом в последние годы выделилась в особую сферу деятельности</w:t>
      </w:r>
      <w:r w:rsidR="0035276B" w:rsidRPr="0035276B">
        <w:t xml:space="preserve"> -</w:t>
      </w:r>
      <w:r w:rsidR="0035276B">
        <w:t xml:space="preserve"> "</w:t>
      </w:r>
      <w:r w:rsidRPr="0035276B">
        <w:t>риск-менеджмент</w:t>
      </w:r>
      <w:r w:rsidR="0035276B">
        <w:t xml:space="preserve">". </w:t>
      </w:r>
      <w:r w:rsidRPr="0035276B">
        <w:t>Управление финансовыми рисками включает в себя разработку и реализацию экономически обоснованных для фирмы рекомендаций и мероприятий, направленных на уменьшение исходного уровня риска при осуществлении финансовых сделок или финансовых операций до приемлемого финального уровня, и проектирование портфеля идентифицированных финансовых рисков предприятия играет немаловажную роль как начальная стадия управления рисками предприятия</w:t>
      </w:r>
      <w:r w:rsidR="0035276B" w:rsidRPr="0035276B">
        <w:t>.</w:t>
      </w:r>
    </w:p>
    <w:p w:rsidR="0035276B" w:rsidRDefault="0035276B" w:rsidP="0035276B">
      <w:pPr>
        <w:pStyle w:val="2"/>
      </w:pPr>
      <w:r>
        <w:br w:type="page"/>
      </w:r>
      <w:bookmarkStart w:id="5" w:name="_Toc259614664"/>
      <w:r w:rsidR="00220CA6" w:rsidRPr="0035276B">
        <w:t>Список литературы</w:t>
      </w:r>
      <w:bookmarkEnd w:id="5"/>
    </w:p>
    <w:p w:rsidR="0035276B" w:rsidRPr="0035276B" w:rsidRDefault="0035276B" w:rsidP="0035276B">
      <w:pPr>
        <w:ind w:firstLine="709"/>
      </w:pPr>
    </w:p>
    <w:p w:rsidR="0035276B" w:rsidRDefault="00BA2522" w:rsidP="0035276B">
      <w:pPr>
        <w:pStyle w:val="a0"/>
      </w:pPr>
      <w:r w:rsidRPr="0035276B">
        <w:t>Райзберг Б</w:t>
      </w:r>
      <w:r w:rsidR="0035276B">
        <w:t xml:space="preserve">.А., </w:t>
      </w:r>
      <w:r w:rsidRPr="0035276B">
        <w:t>Лозовский Л</w:t>
      </w:r>
      <w:r w:rsidR="0035276B">
        <w:t xml:space="preserve">.Ш., </w:t>
      </w:r>
      <w:r w:rsidRPr="0035276B">
        <w:t>Стародубцева Е</w:t>
      </w:r>
      <w:r w:rsidR="0035276B" w:rsidRPr="0035276B">
        <w:t>.</w:t>
      </w:r>
      <w:r w:rsidRPr="0035276B">
        <w:t>Б</w:t>
      </w:r>
      <w:r w:rsidR="0035276B">
        <w:t>.</w:t>
      </w:r>
    </w:p>
    <w:p w:rsidR="0035276B" w:rsidRDefault="0035276B" w:rsidP="0035276B">
      <w:pPr>
        <w:pStyle w:val="a0"/>
      </w:pPr>
      <w:r>
        <w:t>"</w:t>
      </w:r>
      <w:r w:rsidR="00BA2522" w:rsidRPr="0035276B">
        <w:t>Современный Экономический Словарь</w:t>
      </w:r>
      <w:r>
        <w:t>" (</w:t>
      </w:r>
      <w:r w:rsidR="00BA2522" w:rsidRPr="0035276B">
        <w:t>ИНФРА-М, 2006</w:t>
      </w:r>
      <w:r w:rsidRPr="0035276B">
        <w:t>).</w:t>
      </w:r>
    </w:p>
    <w:p w:rsidR="0035276B" w:rsidRDefault="00BA2522" w:rsidP="0035276B">
      <w:pPr>
        <w:pStyle w:val="a0"/>
      </w:pPr>
      <w:r w:rsidRPr="0035276B">
        <w:t>Справочно-правовая система</w:t>
      </w:r>
      <w:r w:rsidR="0035276B">
        <w:t xml:space="preserve"> "</w:t>
      </w:r>
      <w:r w:rsidRPr="0035276B">
        <w:t>Консультант-Плюс</w:t>
      </w:r>
      <w:r w:rsidR="0035276B">
        <w:t>".</w:t>
      </w:r>
    </w:p>
    <w:p w:rsidR="0035276B" w:rsidRDefault="00BA2522" w:rsidP="0035276B">
      <w:pPr>
        <w:pStyle w:val="a0"/>
      </w:pPr>
      <w:r w:rsidRPr="0035276B">
        <w:t>Станиславчик Е</w:t>
      </w:r>
      <w:r w:rsidR="0035276B">
        <w:t xml:space="preserve">.Н. </w:t>
      </w:r>
      <w:r w:rsidRPr="0035276B">
        <w:t>Основы финансового менеджмента</w:t>
      </w:r>
      <w:r w:rsidR="0035276B" w:rsidRPr="0035276B">
        <w:t>. -</w:t>
      </w:r>
      <w:r w:rsidR="0035276B">
        <w:t xml:space="preserve"> </w:t>
      </w:r>
      <w:r w:rsidRPr="0035276B">
        <w:t>М</w:t>
      </w:r>
      <w:r w:rsidR="0035276B">
        <w:t>.:</w:t>
      </w:r>
      <w:r w:rsidR="0035276B" w:rsidRPr="0035276B">
        <w:t xml:space="preserve"> </w:t>
      </w:r>
      <w:r w:rsidRPr="0035276B">
        <w:t>Ось-89, 2005, 128 с</w:t>
      </w:r>
      <w:r w:rsidR="0035276B" w:rsidRPr="0035276B">
        <w:t>.</w:t>
      </w:r>
    </w:p>
    <w:p w:rsidR="0035276B" w:rsidRDefault="00BA2522" w:rsidP="0035276B">
      <w:pPr>
        <w:pStyle w:val="a0"/>
      </w:pPr>
      <w:r w:rsidRPr="0035276B">
        <w:t>Финансовый менеджмент</w:t>
      </w:r>
      <w:r w:rsidR="0035276B" w:rsidRPr="0035276B">
        <w:t xml:space="preserve">: </w:t>
      </w:r>
      <w:r w:rsidRPr="0035276B">
        <w:t>Учебник</w:t>
      </w:r>
      <w:r w:rsidR="0035276B">
        <w:t xml:space="preserve"> </w:t>
      </w:r>
      <w:r w:rsidRPr="0035276B">
        <w:t>/ под ред</w:t>
      </w:r>
      <w:r w:rsidR="0035276B">
        <w:t xml:space="preserve">. Е.С. </w:t>
      </w:r>
      <w:r w:rsidRPr="0035276B">
        <w:t>Стояновой</w:t>
      </w:r>
      <w:r w:rsidR="0035276B" w:rsidRPr="0035276B">
        <w:t>. -</w:t>
      </w:r>
      <w:r w:rsidR="0035276B">
        <w:t xml:space="preserve"> </w:t>
      </w:r>
      <w:r w:rsidRPr="0035276B">
        <w:t>М</w:t>
      </w:r>
      <w:r w:rsidR="0035276B">
        <w:t>.:</w:t>
      </w:r>
      <w:r w:rsidR="0035276B" w:rsidRPr="0035276B">
        <w:t xml:space="preserve"> </w:t>
      </w:r>
      <w:r w:rsidRPr="0035276B">
        <w:t>Перспектива, 2004, 655с</w:t>
      </w:r>
      <w:r w:rsidR="0035276B" w:rsidRPr="0035276B">
        <w:t>.</w:t>
      </w:r>
    </w:p>
    <w:p w:rsidR="00395EFC" w:rsidRPr="0035276B" w:rsidRDefault="00BA2522" w:rsidP="0035276B">
      <w:pPr>
        <w:pStyle w:val="a0"/>
      </w:pPr>
      <w:r w:rsidRPr="0035276B">
        <w:t>Финансовый менеджмент</w:t>
      </w:r>
      <w:r w:rsidR="0035276B" w:rsidRPr="0035276B">
        <w:t xml:space="preserve">: </w:t>
      </w:r>
      <w:r w:rsidRPr="0035276B">
        <w:t>Учебник</w:t>
      </w:r>
      <w:r w:rsidR="0035276B">
        <w:t xml:space="preserve"> </w:t>
      </w:r>
      <w:r w:rsidRPr="0035276B">
        <w:t>/ под ред</w:t>
      </w:r>
      <w:r w:rsidR="0035276B">
        <w:t xml:space="preserve">. В.С. </w:t>
      </w:r>
      <w:r w:rsidRPr="0035276B">
        <w:t>Золотарева</w:t>
      </w:r>
      <w:r w:rsidR="0035276B" w:rsidRPr="0035276B">
        <w:t>. -</w:t>
      </w:r>
      <w:r w:rsidR="0035276B">
        <w:t xml:space="preserve"> </w:t>
      </w:r>
      <w:r w:rsidRPr="0035276B">
        <w:t>Ростов н/Д</w:t>
      </w:r>
      <w:r w:rsidR="0035276B" w:rsidRPr="0035276B">
        <w:t xml:space="preserve">: </w:t>
      </w:r>
      <w:r w:rsidRPr="0035276B">
        <w:t>Феникс, 2005, 224 с</w:t>
      </w:r>
      <w:r w:rsidR="0035276B" w:rsidRPr="0035276B">
        <w:t>.</w:t>
      </w:r>
      <w:bookmarkStart w:id="6" w:name="_GoBack"/>
      <w:bookmarkEnd w:id="6"/>
    </w:p>
    <w:sectPr w:rsidR="00395EFC" w:rsidRPr="0035276B" w:rsidSect="0035276B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EF" w:rsidRDefault="005957EF">
      <w:pPr>
        <w:ind w:firstLine="709"/>
      </w:pPr>
      <w:r>
        <w:separator/>
      </w:r>
    </w:p>
  </w:endnote>
  <w:endnote w:type="continuationSeparator" w:id="0">
    <w:p w:rsidR="005957EF" w:rsidRDefault="005957E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76B" w:rsidRDefault="0035276B" w:rsidP="0035276B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EF" w:rsidRDefault="005957EF">
      <w:pPr>
        <w:ind w:firstLine="709"/>
      </w:pPr>
      <w:r>
        <w:separator/>
      </w:r>
    </w:p>
  </w:footnote>
  <w:footnote w:type="continuationSeparator" w:id="0">
    <w:p w:rsidR="005957EF" w:rsidRDefault="005957E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76B" w:rsidRDefault="00C72445" w:rsidP="0035276B">
    <w:pPr>
      <w:pStyle w:val="a7"/>
      <w:framePr w:wrap="auto" w:vAnchor="text" w:hAnchor="margin" w:xAlign="right" w:y="1"/>
      <w:ind w:firstLine="0"/>
      <w:jc w:val="both"/>
      <w:rPr>
        <w:rStyle w:val="ad"/>
      </w:rPr>
    </w:pPr>
    <w:r>
      <w:rPr>
        <w:rStyle w:val="ad"/>
      </w:rPr>
      <w:t>2</w:t>
    </w:r>
  </w:p>
  <w:p w:rsidR="0035276B" w:rsidRDefault="0035276B" w:rsidP="0035276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A65270"/>
    <w:multiLevelType w:val="hybridMultilevel"/>
    <w:tmpl w:val="C376F6C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6C12440"/>
    <w:multiLevelType w:val="hybridMultilevel"/>
    <w:tmpl w:val="DF6A7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227D"/>
    <w:multiLevelType w:val="hybridMultilevel"/>
    <w:tmpl w:val="B614D16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7426E9A"/>
    <w:multiLevelType w:val="hybridMultilevel"/>
    <w:tmpl w:val="4F421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A2FFB"/>
    <w:multiLevelType w:val="hybridMultilevel"/>
    <w:tmpl w:val="061E1DA8"/>
    <w:lvl w:ilvl="0" w:tplc="6EEAA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04265"/>
    <w:multiLevelType w:val="hybridMultilevel"/>
    <w:tmpl w:val="B1EC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B3353"/>
    <w:multiLevelType w:val="hybridMultilevel"/>
    <w:tmpl w:val="B5064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752C8"/>
    <w:multiLevelType w:val="hybridMultilevel"/>
    <w:tmpl w:val="88800164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61ED2"/>
    <w:multiLevelType w:val="hybridMultilevel"/>
    <w:tmpl w:val="16760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134209"/>
    <w:multiLevelType w:val="multilevel"/>
    <w:tmpl w:val="1FC4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141488"/>
    <w:multiLevelType w:val="hybridMultilevel"/>
    <w:tmpl w:val="2C80A712"/>
    <w:lvl w:ilvl="0" w:tplc="E124C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A1379"/>
    <w:multiLevelType w:val="hybridMultilevel"/>
    <w:tmpl w:val="8CB80A7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5322785B"/>
    <w:multiLevelType w:val="hybridMultilevel"/>
    <w:tmpl w:val="39CCB650"/>
    <w:lvl w:ilvl="0" w:tplc="143453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160DD"/>
    <w:multiLevelType w:val="hybridMultilevel"/>
    <w:tmpl w:val="00CCD1EC"/>
    <w:lvl w:ilvl="0" w:tplc="AAC86D5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AA47CB6"/>
    <w:multiLevelType w:val="hybridMultilevel"/>
    <w:tmpl w:val="61E28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C141F"/>
    <w:multiLevelType w:val="hybridMultilevel"/>
    <w:tmpl w:val="85661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153950"/>
    <w:multiLevelType w:val="multilevel"/>
    <w:tmpl w:val="4F78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CE31071"/>
    <w:multiLevelType w:val="hybridMultilevel"/>
    <w:tmpl w:val="F662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D9124B"/>
    <w:multiLevelType w:val="hybridMultilevel"/>
    <w:tmpl w:val="FBCED1D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4007F7D"/>
    <w:multiLevelType w:val="hybridMultilevel"/>
    <w:tmpl w:val="772C2F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436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65C7CAD"/>
    <w:multiLevelType w:val="singleLevel"/>
    <w:tmpl w:val="B084544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4">
    <w:nsid w:val="76654D5D"/>
    <w:multiLevelType w:val="hybridMultilevel"/>
    <w:tmpl w:val="4F78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80D53C6"/>
    <w:multiLevelType w:val="hybridMultilevel"/>
    <w:tmpl w:val="5100DF4C"/>
    <w:lvl w:ilvl="0" w:tplc="6EEAA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cs="Bookman Old Style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D71372F"/>
    <w:multiLevelType w:val="hybridMultilevel"/>
    <w:tmpl w:val="72E40624"/>
    <w:lvl w:ilvl="0" w:tplc="A246D1A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12"/>
  </w:num>
  <w:num w:numId="6">
    <w:abstractNumId w:val="11"/>
  </w:num>
  <w:num w:numId="7">
    <w:abstractNumId w:val="24"/>
  </w:num>
  <w:num w:numId="8">
    <w:abstractNumId w:val="18"/>
  </w:num>
  <w:num w:numId="9">
    <w:abstractNumId w:val="20"/>
  </w:num>
  <w:num w:numId="10">
    <w:abstractNumId w:val="5"/>
  </w:num>
  <w:num w:numId="11">
    <w:abstractNumId w:val="9"/>
  </w:num>
  <w:num w:numId="12">
    <w:abstractNumId w:val="2"/>
  </w:num>
  <w:num w:numId="13">
    <w:abstractNumId w:val="4"/>
  </w:num>
  <w:num w:numId="14">
    <w:abstractNumId w:val="19"/>
  </w:num>
  <w:num w:numId="15">
    <w:abstractNumId w:val="25"/>
  </w:num>
  <w:num w:numId="16">
    <w:abstractNumId w:val="7"/>
  </w:num>
  <w:num w:numId="17">
    <w:abstractNumId w:val="26"/>
  </w:num>
  <w:num w:numId="18">
    <w:abstractNumId w:val="14"/>
  </w:num>
  <w:num w:numId="19">
    <w:abstractNumId w:val="17"/>
  </w:num>
  <w:num w:numId="20">
    <w:abstractNumId w:val="23"/>
  </w:num>
  <w:num w:numId="21">
    <w:abstractNumId w:val="22"/>
  </w:num>
  <w:num w:numId="22">
    <w:abstractNumId w:val="16"/>
  </w:num>
  <w:num w:numId="23">
    <w:abstractNumId w:val="8"/>
  </w:num>
  <w:num w:numId="24">
    <w:abstractNumId w:val="21"/>
  </w:num>
  <w:num w:numId="25">
    <w:abstractNumId w:val="6"/>
  </w:num>
  <w:num w:numId="26">
    <w:abstractNumId w:val="10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BE2"/>
    <w:rsid w:val="00011701"/>
    <w:rsid w:val="000128EA"/>
    <w:rsid w:val="00013E99"/>
    <w:rsid w:val="0002125C"/>
    <w:rsid w:val="00021BE9"/>
    <w:rsid w:val="00027FAF"/>
    <w:rsid w:val="0003448A"/>
    <w:rsid w:val="00041780"/>
    <w:rsid w:val="0005146E"/>
    <w:rsid w:val="0005209F"/>
    <w:rsid w:val="00052BA3"/>
    <w:rsid w:val="00053C68"/>
    <w:rsid w:val="00055915"/>
    <w:rsid w:val="00056266"/>
    <w:rsid w:val="0006141E"/>
    <w:rsid w:val="00067E25"/>
    <w:rsid w:val="0007314C"/>
    <w:rsid w:val="00075433"/>
    <w:rsid w:val="0008131B"/>
    <w:rsid w:val="0008283A"/>
    <w:rsid w:val="00086DB9"/>
    <w:rsid w:val="00092607"/>
    <w:rsid w:val="0009521A"/>
    <w:rsid w:val="000A1280"/>
    <w:rsid w:val="000A36B2"/>
    <w:rsid w:val="000C5393"/>
    <w:rsid w:val="000D69EE"/>
    <w:rsid w:val="000F2B96"/>
    <w:rsid w:val="0010336A"/>
    <w:rsid w:val="00104949"/>
    <w:rsid w:val="001104A8"/>
    <w:rsid w:val="00114A73"/>
    <w:rsid w:val="00120561"/>
    <w:rsid w:val="00123E10"/>
    <w:rsid w:val="001258B2"/>
    <w:rsid w:val="00133428"/>
    <w:rsid w:val="00136058"/>
    <w:rsid w:val="00145BE2"/>
    <w:rsid w:val="00152A6B"/>
    <w:rsid w:val="00152C90"/>
    <w:rsid w:val="00152E4C"/>
    <w:rsid w:val="0016163E"/>
    <w:rsid w:val="0016201C"/>
    <w:rsid w:val="00163E50"/>
    <w:rsid w:val="00166828"/>
    <w:rsid w:val="0017224D"/>
    <w:rsid w:val="001970D0"/>
    <w:rsid w:val="001A6B9B"/>
    <w:rsid w:val="001A79AC"/>
    <w:rsid w:val="001A7EB8"/>
    <w:rsid w:val="001B1E22"/>
    <w:rsid w:val="001B61BA"/>
    <w:rsid w:val="001C5F09"/>
    <w:rsid w:val="001D0020"/>
    <w:rsid w:val="001E09EE"/>
    <w:rsid w:val="001E186F"/>
    <w:rsid w:val="001E7E04"/>
    <w:rsid w:val="001F05D8"/>
    <w:rsid w:val="00201F95"/>
    <w:rsid w:val="00213F5E"/>
    <w:rsid w:val="0021625D"/>
    <w:rsid w:val="00220CA6"/>
    <w:rsid w:val="00224AAD"/>
    <w:rsid w:val="00224CA6"/>
    <w:rsid w:val="002305A1"/>
    <w:rsid w:val="0023423E"/>
    <w:rsid w:val="00243D68"/>
    <w:rsid w:val="00244705"/>
    <w:rsid w:val="0024789E"/>
    <w:rsid w:val="00250D83"/>
    <w:rsid w:val="00251A24"/>
    <w:rsid w:val="002553FF"/>
    <w:rsid w:val="002555F4"/>
    <w:rsid w:val="00276F96"/>
    <w:rsid w:val="0027721A"/>
    <w:rsid w:val="00280E0C"/>
    <w:rsid w:val="0028458D"/>
    <w:rsid w:val="00286AC7"/>
    <w:rsid w:val="0028703B"/>
    <w:rsid w:val="00290093"/>
    <w:rsid w:val="00295123"/>
    <w:rsid w:val="00295794"/>
    <w:rsid w:val="00296517"/>
    <w:rsid w:val="0029697C"/>
    <w:rsid w:val="0029779A"/>
    <w:rsid w:val="002A0B71"/>
    <w:rsid w:val="002A2364"/>
    <w:rsid w:val="002A452A"/>
    <w:rsid w:val="002B6F25"/>
    <w:rsid w:val="002C05B9"/>
    <w:rsid w:val="002E499C"/>
    <w:rsid w:val="002E544D"/>
    <w:rsid w:val="002F1FB7"/>
    <w:rsid w:val="002F3D4A"/>
    <w:rsid w:val="002F7955"/>
    <w:rsid w:val="00302978"/>
    <w:rsid w:val="00302F2E"/>
    <w:rsid w:val="00307C74"/>
    <w:rsid w:val="003110E7"/>
    <w:rsid w:val="003236FC"/>
    <w:rsid w:val="0032660E"/>
    <w:rsid w:val="0032730F"/>
    <w:rsid w:val="003275A5"/>
    <w:rsid w:val="00342D0B"/>
    <w:rsid w:val="003448F7"/>
    <w:rsid w:val="0035276B"/>
    <w:rsid w:val="00363974"/>
    <w:rsid w:val="00364F00"/>
    <w:rsid w:val="003651F9"/>
    <w:rsid w:val="003702B3"/>
    <w:rsid w:val="00376DC9"/>
    <w:rsid w:val="00376FA3"/>
    <w:rsid w:val="00380FE7"/>
    <w:rsid w:val="00384381"/>
    <w:rsid w:val="003878BC"/>
    <w:rsid w:val="00395EFC"/>
    <w:rsid w:val="00396BB1"/>
    <w:rsid w:val="0039753E"/>
    <w:rsid w:val="00397E3F"/>
    <w:rsid w:val="003A1CED"/>
    <w:rsid w:val="003A417D"/>
    <w:rsid w:val="003B667D"/>
    <w:rsid w:val="003B6BA8"/>
    <w:rsid w:val="003C2118"/>
    <w:rsid w:val="003C2860"/>
    <w:rsid w:val="003C3191"/>
    <w:rsid w:val="003C3495"/>
    <w:rsid w:val="003C35AA"/>
    <w:rsid w:val="003C4139"/>
    <w:rsid w:val="003D19BE"/>
    <w:rsid w:val="003D6653"/>
    <w:rsid w:val="003E0BE9"/>
    <w:rsid w:val="003E203E"/>
    <w:rsid w:val="003E65D5"/>
    <w:rsid w:val="003E75A6"/>
    <w:rsid w:val="003F5231"/>
    <w:rsid w:val="0040690E"/>
    <w:rsid w:val="004112A8"/>
    <w:rsid w:val="00420389"/>
    <w:rsid w:val="00427F42"/>
    <w:rsid w:val="004614F7"/>
    <w:rsid w:val="004665D7"/>
    <w:rsid w:val="00480C29"/>
    <w:rsid w:val="00494C87"/>
    <w:rsid w:val="004A5E4C"/>
    <w:rsid w:val="004B5A2C"/>
    <w:rsid w:val="004B6B12"/>
    <w:rsid w:val="004C3100"/>
    <w:rsid w:val="004E3F6E"/>
    <w:rsid w:val="004E7731"/>
    <w:rsid w:val="004F31D3"/>
    <w:rsid w:val="004F4443"/>
    <w:rsid w:val="004F6428"/>
    <w:rsid w:val="004F6581"/>
    <w:rsid w:val="005039FD"/>
    <w:rsid w:val="005069C9"/>
    <w:rsid w:val="00506E85"/>
    <w:rsid w:val="005072F1"/>
    <w:rsid w:val="005164F6"/>
    <w:rsid w:val="00521C0B"/>
    <w:rsid w:val="005349BC"/>
    <w:rsid w:val="00555016"/>
    <w:rsid w:val="00561B30"/>
    <w:rsid w:val="0056594E"/>
    <w:rsid w:val="0057190A"/>
    <w:rsid w:val="0058670D"/>
    <w:rsid w:val="005957EF"/>
    <w:rsid w:val="00595E26"/>
    <w:rsid w:val="005A249F"/>
    <w:rsid w:val="005B0157"/>
    <w:rsid w:val="005B59F9"/>
    <w:rsid w:val="005C444A"/>
    <w:rsid w:val="005C6A9E"/>
    <w:rsid w:val="005C7FC6"/>
    <w:rsid w:val="005D0A57"/>
    <w:rsid w:val="005D1638"/>
    <w:rsid w:val="005D3729"/>
    <w:rsid w:val="005D54D8"/>
    <w:rsid w:val="005D6FB6"/>
    <w:rsid w:val="005D7B0B"/>
    <w:rsid w:val="005E04C2"/>
    <w:rsid w:val="005E0E79"/>
    <w:rsid w:val="005E5AA0"/>
    <w:rsid w:val="00602995"/>
    <w:rsid w:val="006042DF"/>
    <w:rsid w:val="0061489E"/>
    <w:rsid w:val="00615C37"/>
    <w:rsid w:val="00617FA4"/>
    <w:rsid w:val="00625187"/>
    <w:rsid w:val="00644537"/>
    <w:rsid w:val="00652B09"/>
    <w:rsid w:val="006720CB"/>
    <w:rsid w:val="00681B0A"/>
    <w:rsid w:val="00696E63"/>
    <w:rsid w:val="006A32A1"/>
    <w:rsid w:val="006B47A5"/>
    <w:rsid w:val="006C0BFA"/>
    <w:rsid w:val="006C1B43"/>
    <w:rsid w:val="006E47D0"/>
    <w:rsid w:val="006E66AD"/>
    <w:rsid w:val="006F16A3"/>
    <w:rsid w:val="006F2216"/>
    <w:rsid w:val="006F50D2"/>
    <w:rsid w:val="007011E5"/>
    <w:rsid w:val="00701ABF"/>
    <w:rsid w:val="00702702"/>
    <w:rsid w:val="00703963"/>
    <w:rsid w:val="00707730"/>
    <w:rsid w:val="00713B3A"/>
    <w:rsid w:val="00717CC8"/>
    <w:rsid w:val="0072588D"/>
    <w:rsid w:val="0072775B"/>
    <w:rsid w:val="007336EB"/>
    <w:rsid w:val="00737693"/>
    <w:rsid w:val="0073791A"/>
    <w:rsid w:val="00746D6E"/>
    <w:rsid w:val="0076755B"/>
    <w:rsid w:val="00774587"/>
    <w:rsid w:val="00777679"/>
    <w:rsid w:val="007803ED"/>
    <w:rsid w:val="007842C0"/>
    <w:rsid w:val="00794C6D"/>
    <w:rsid w:val="00794F75"/>
    <w:rsid w:val="007A0CB9"/>
    <w:rsid w:val="007A5C28"/>
    <w:rsid w:val="007C2B5E"/>
    <w:rsid w:val="007C5F8E"/>
    <w:rsid w:val="007C7E1B"/>
    <w:rsid w:val="007E4A32"/>
    <w:rsid w:val="007E5854"/>
    <w:rsid w:val="007F64F1"/>
    <w:rsid w:val="007F718D"/>
    <w:rsid w:val="0080335F"/>
    <w:rsid w:val="00803520"/>
    <w:rsid w:val="008064EA"/>
    <w:rsid w:val="0081125D"/>
    <w:rsid w:val="00817DF9"/>
    <w:rsid w:val="008232CD"/>
    <w:rsid w:val="00825B59"/>
    <w:rsid w:val="00830669"/>
    <w:rsid w:val="00831A23"/>
    <w:rsid w:val="00836C30"/>
    <w:rsid w:val="00836D9A"/>
    <w:rsid w:val="0084412A"/>
    <w:rsid w:val="0084511E"/>
    <w:rsid w:val="0085303B"/>
    <w:rsid w:val="00857C33"/>
    <w:rsid w:val="00862B61"/>
    <w:rsid w:val="008642AF"/>
    <w:rsid w:val="00864F0E"/>
    <w:rsid w:val="00877587"/>
    <w:rsid w:val="008904B2"/>
    <w:rsid w:val="00896483"/>
    <w:rsid w:val="008A5C74"/>
    <w:rsid w:val="008C3671"/>
    <w:rsid w:val="008D10B4"/>
    <w:rsid w:val="008E7932"/>
    <w:rsid w:val="008F356C"/>
    <w:rsid w:val="008F5B67"/>
    <w:rsid w:val="00900DEF"/>
    <w:rsid w:val="0090494A"/>
    <w:rsid w:val="00904C06"/>
    <w:rsid w:val="00921498"/>
    <w:rsid w:val="009222B4"/>
    <w:rsid w:val="0092354E"/>
    <w:rsid w:val="0092431A"/>
    <w:rsid w:val="00940448"/>
    <w:rsid w:val="00941220"/>
    <w:rsid w:val="00945825"/>
    <w:rsid w:val="00946B92"/>
    <w:rsid w:val="00950C6B"/>
    <w:rsid w:val="009542F9"/>
    <w:rsid w:val="009725CA"/>
    <w:rsid w:val="00985D4B"/>
    <w:rsid w:val="00995BE2"/>
    <w:rsid w:val="009A23E6"/>
    <w:rsid w:val="009A6013"/>
    <w:rsid w:val="009B4311"/>
    <w:rsid w:val="009C333A"/>
    <w:rsid w:val="009D0428"/>
    <w:rsid w:val="009D57FC"/>
    <w:rsid w:val="009E2720"/>
    <w:rsid w:val="009F05B0"/>
    <w:rsid w:val="009F24BC"/>
    <w:rsid w:val="009F67E1"/>
    <w:rsid w:val="00A13841"/>
    <w:rsid w:val="00A2071F"/>
    <w:rsid w:val="00A2277A"/>
    <w:rsid w:val="00A25076"/>
    <w:rsid w:val="00A31CEE"/>
    <w:rsid w:val="00A37BA1"/>
    <w:rsid w:val="00A471A5"/>
    <w:rsid w:val="00A47241"/>
    <w:rsid w:val="00A47EE3"/>
    <w:rsid w:val="00A609D6"/>
    <w:rsid w:val="00A6313D"/>
    <w:rsid w:val="00A66EA8"/>
    <w:rsid w:val="00A6735D"/>
    <w:rsid w:val="00A6737A"/>
    <w:rsid w:val="00A73A01"/>
    <w:rsid w:val="00A76DC1"/>
    <w:rsid w:val="00A83167"/>
    <w:rsid w:val="00A91651"/>
    <w:rsid w:val="00A947B2"/>
    <w:rsid w:val="00A95B8F"/>
    <w:rsid w:val="00AA7182"/>
    <w:rsid w:val="00AB10C1"/>
    <w:rsid w:val="00AB61F0"/>
    <w:rsid w:val="00AD2F10"/>
    <w:rsid w:val="00AD6088"/>
    <w:rsid w:val="00AE2320"/>
    <w:rsid w:val="00AE712C"/>
    <w:rsid w:val="00AF6B5A"/>
    <w:rsid w:val="00B0291F"/>
    <w:rsid w:val="00B04C62"/>
    <w:rsid w:val="00B05762"/>
    <w:rsid w:val="00B10916"/>
    <w:rsid w:val="00B170C1"/>
    <w:rsid w:val="00B204B7"/>
    <w:rsid w:val="00B2798A"/>
    <w:rsid w:val="00B31D05"/>
    <w:rsid w:val="00B45733"/>
    <w:rsid w:val="00B45F75"/>
    <w:rsid w:val="00B52873"/>
    <w:rsid w:val="00B53D8C"/>
    <w:rsid w:val="00B56677"/>
    <w:rsid w:val="00B64D35"/>
    <w:rsid w:val="00B6679B"/>
    <w:rsid w:val="00B75480"/>
    <w:rsid w:val="00B75AE3"/>
    <w:rsid w:val="00B75C89"/>
    <w:rsid w:val="00B83642"/>
    <w:rsid w:val="00B860CE"/>
    <w:rsid w:val="00B870AD"/>
    <w:rsid w:val="00B965B9"/>
    <w:rsid w:val="00BA04EB"/>
    <w:rsid w:val="00BA2522"/>
    <w:rsid w:val="00BA3C13"/>
    <w:rsid w:val="00BA51B2"/>
    <w:rsid w:val="00BB5E0C"/>
    <w:rsid w:val="00BC5862"/>
    <w:rsid w:val="00BD31A7"/>
    <w:rsid w:val="00BD6957"/>
    <w:rsid w:val="00BE49B9"/>
    <w:rsid w:val="00BF2969"/>
    <w:rsid w:val="00BF503A"/>
    <w:rsid w:val="00C031BA"/>
    <w:rsid w:val="00C046C1"/>
    <w:rsid w:val="00C1166F"/>
    <w:rsid w:val="00C141B4"/>
    <w:rsid w:val="00C17BB3"/>
    <w:rsid w:val="00C2160C"/>
    <w:rsid w:val="00C226E5"/>
    <w:rsid w:val="00C307BF"/>
    <w:rsid w:val="00C347FA"/>
    <w:rsid w:val="00C400EB"/>
    <w:rsid w:val="00C4560E"/>
    <w:rsid w:val="00C45DFE"/>
    <w:rsid w:val="00C55CE0"/>
    <w:rsid w:val="00C62305"/>
    <w:rsid w:val="00C66649"/>
    <w:rsid w:val="00C72445"/>
    <w:rsid w:val="00C77DC4"/>
    <w:rsid w:val="00C86284"/>
    <w:rsid w:val="00C9482B"/>
    <w:rsid w:val="00CA7EC0"/>
    <w:rsid w:val="00CB4912"/>
    <w:rsid w:val="00CC7387"/>
    <w:rsid w:val="00CE4F38"/>
    <w:rsid w:val="00CE64F7"/>
    <w:rsid w:val="00CF25AE"/>
    <w:rsid w:val="00CF6442"/>
    <w:rsid w:val="00CF72DF"/>
    <w:rsid w:val="00D0303E"/>
    <w:rsid w:val="00D07616"/>
    <w:rsid w:val="00D07752"/>
    <w:rsid w:val="00D15C1E"/>
    <w:rsid w:val="00D22D00"/>
    <w:rsid w:val="00D4062A"/>
    <w:rsid w:val="00D40993"/>
    <w:rsid w:val="00D43844"/>
    <w:rsid w:val="00D5426F"/>
    <w:rsid w:val="00D66447"/>
    <w:rsid w:val="00D72BF3"/>
    <w:rsid w:val="00D75DAE"/>
    <w:rsid w:val="00D837B3"/>
    <w:rsid w:val="00DA224C"/>
    <w:rsid w:val="00DA29BC"/>
    <w:rsid w:val="00DA40C0"/>
    <w:rsid w:val="00DA4A1A"/>
    <w:rsid w:val="00DB05DF"/>
    <w:rsid w:val="00DB547F"/>
    <w:rsid w:val="00DC7061"/>
    <w:rsid w:val="00DD0119"/>
    <w:rsid w:val="00DD22CD"/>
    <w:rsid w:val="00DD437C"/>
    <w:rsid w:val="00DD500C"/>
    <w:rsid w:val="00DE205C"/>
    <w:rsid w:val="00DF01F7"/>
    <w:rsid w:val="00E20301"/>
    <w:rsid w:val="00E2164E"/>
    <w:rsid w:val="00E22C09"/>
    <w:rsid w:val="00E22CFF"/>
    <w:rsid w:val="00E230E5"/>
    <w:rsid w:val="00E26B2F"/>
    <w:rsid w:val="00E46103"/>
    <w:rsid w:val="00E55011"/>
    <w:rsid w:val="00E65063"/>
    <w:rsid w:val="00E822D1"/>
    <w:rsid w:val="00E9337C"/>
    <w:rsid w:val="00EA4015"/>
    <w:rsid w:val="00EB12A1"/>
    <w:rsid w:val="00EB44F7"/>
    <w:rsid w:val="00EC1E24"/>
    <w:rsid w:val="00ED4728"/>
    <w:rsid w:val="00ED66E5"/>
    <w:rsid w:val="00ED783D"/>
    <w:rsid w:val="00EE4EC3"/>
    <w:rsid w:val="00EE68A0"/>
    <w:rsid w:val="00EE745A"/>
    <w:rsid w:val="00EF2D8E"/>
    <w:rsid w:val="00EF35E4"/>
    <w:rsid w:val="00F0002A"/>
    <w:rsid w:val="00F06FBD"/>
    <w:rsid w:val="00F246E5"/>
    <w:rsid w:val="00F33008"/>
    <w:rsid w:val="00F36D9D"/>
    <w:rsid w:val="00F437E1"/>
    <w:rsid w:val="00F444B4"/>
    <w:rsid w:val="00F45828"/>
    <w:rsid w:val="00F47E86"/>
    <w:rsid w:val="00F536A9"/>
    <w:rsid w:val="00F57DFF"/>
    <w:rsid w:val="00F83353"/>
    <w:rsid w:val="00F86A17"/>
    <w:rsid w:val="00F91169"/>
    <w:rsid w:val="00F94517"/>
    <w:rsid w:val="00F96E60"/>
    <w:rsid w:val="00FA0F84"/>
    <w:rsid w:val="00FA243D"/>
    <w:rsid w:val="00FC2B75"/>
    <w:rsid w:val="00FC33D2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2479330-B019-48F2-B1CE-5211FD9A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5276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5276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5276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5276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5276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5276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5276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5276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5276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83167"/>
    <w:pPr>
      <w:keepNext/>
      <w:widowControl w:val="0"/>
      <w:autoSpaceDE w:val="0"/>
      <w:autoSpaceDN w:val="0"/>
      <w:adjustRightInd w:val="0"/>
      <w:ind w:firstLine="709"/>
      <w:outlineLvl w:val="8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table" w:styleId="a6">
    <w:name w:val="Table Grid"/>
    <w:basedOn w:val="a4"/>
    <w:uiPriority w:val="99"/>
    <w:rsid w:val="003527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35276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35276B"/>
    <w:rPr>
      <w:vertAlign w:val="superscript"/>
    </w:rPr>
  </w:style>
  <w:style w:type="paragraph" w:styleId="ab">
    <w:name w:val="footer"/>
    <w:basedOn w:val="a2"/>
    <w:link w:val="ac"/>
    <w:uiPriority w:val="99"/>
    <w:semiHidden/>
    <w:rsid w:val="0035276B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7"/>
    <w:uiPriority w:val="99"/>
    <w:semiHidden/>
    <w:locked/>
    <w:rsid w:val="0035276B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35276B"/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2"/>
    <w:link w:val="af"/>
    <w:autoRedefine/>
    <w:uiPriority w:val="99"/>
    <w:semiHidden/>
    <w:rsid w:val="0035276B"/>
    <w:pPr>
      <w:ind w:firstLine="709"/>
    </w:pPr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35276B"/>
    <w:rPr>
      <w:color w:val="000000"/>
      <w:lang w:val="ru-RU" w:eastAsia="ru-RU"/>
    </w:rPr>
  </w:style>
  <w:style w:type="character" w:styleId="af0">
    <w:name w:val="footnote reference"/>
    <w:uiPriority w:val="99"/>
    <w:semiHidden/>
    <w:rsid w:val="0035276B"/>
    <w:rPr>
      <w:sz w:val="28"/>
      <w:szCs w:val="28"/>
      <w:vertAlign w:val="superscript"/>
    </w:rPr>
  </w:style>
  <w:style w:type="paragraph" w:customStyle="1" w:styleId="ConsPlusNormal">
    <w:name w:val="ConsPlusNormal"/>
    <w:uiPriority w:val="99"/>
    <w:rsid w:val="00280E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Plain Text"/>
    <w:basedOn w:val="a2"/>
    <w:link w:val="af2"/>
    <w:uiPriority w:val="99"/>
    <w:rsid w:val="0035276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Нижний колонтитул Знак"/>
    <w:link w:val="ab"/>
    <w:uiPriority w:val="99"/>
    <w:semiHidden/>
    <w:locked/>
    <w:rsid w:val="0035276B"/>
    <w:rPr>
      <w:sz w:val="28"/>
      <w:szCs w:val="28"/>
      <w:lang w:val="ru-RU" w:eastAsia="ru-RU"/>
    </w:rPr>
  </w:style>
  <w:style w:type="paragraph" w:customStyle="1" w:styleId="ConsPlusNonformat">
    <w:name w:val="ConsPlusNonformat"/>
    <w:uiPriority w:val="99"/>
    <w:rsid w:val="008F3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356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b/>
      <w:bCs/>
      <w:sz w:val="26"/>
      <w:szCs w:val="26"/>
    </w:rPr>
  </w:style>
  <w:style w:type="paragraph" w:styleId="21">
    <w:name w:val="Body Text Indent 2"/>
    <w:basedOn w:val="a2"/>
    <w:link w:val="22"/>
    <w:uiPriority w:val="99"/>
    <w:rsid w:val="0035276B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35276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2"/>
    <w:link w:val="24"/>
    <w:uiPriority w:val="99"/>
    <w:rsid w:val="007803ED"/>
    <w:pPr>
      <w:ind w:right="-58"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f3">
    <w:name w:val="Normal (Web)"/>
    <w:basedOn w:val="a2"/>
    <w:uiPriority w:val="99"/>
    <w:rsid w:val="0035276B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4">
    <w:name w:val="Strong"/>
    <w:uiPriority w:val="99"/>
    <w:qFormat/>
    <w:rsid w:val="00BD6957"/>
    <w:rPr>
      <w:b/>
      <w:bCs/>
    </w:rPr>
  </w:style>
  <w:style w:type="character" w:styleId="af5">
    <w:name w:val="Hyperlink"/>
    <w:uiPriority w:val="99"/>
    <w:rsid w:val="0035276B"/>
    <w:rPr>
      <w:color w:val="auto"/>
      <w:sz w:val="28"/>
      <w:szCs w:val="28"/>
      <w:u w:val="single"/>
      <w:vertAlign w:val="baseline"/>
    </w:rPr>
  </w:style>
  <w:style w:type="paragraph" w:customStyle="1" w:styleId="ConsNormal">
    <w:name w:val="ConsNormal"/>
    <w:uiPriority w:val="99"/>
    <w:rsid w:val="00C307BF"/>
    <w:pPr>
      <w:widowControl w:val="0"/>
      <w:autoSpaceDE w:val="0"/>
      <w:autoSpaceDN w:val="0"/>
      <w:adjustRightInd w:val="0"/>
      <w:ind w:firstLine="720"/>
    </w:pPr>
    <w:rPr>
      <w:rFonts w:ascii="Consultant" w:hAnsi="Consultant" w:cs="Consultant"/>
      <w:sz w:val="18"/>
      <w:szCs w:val="18"/>
    </w:rPr>
  </w:style>
  <w:style w:type="paragraph" w:styleId="af6">
    <w:name w:val="Body Text Indent"/>
    <w:basedOn w:val="a2"/>
    <w:link w:val="af7"/>
    <w:uiPriority w:val="99"/>
    <w:rsid w:val="0035276B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35276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8"/>
    <w:uiPriority w:val="99"/>
    <w:rsid w:val="0035276B"/>
    <w:pPr>
      <w:ind w:firstLine="709"/>
    </w:pPr>
  </w:style>
  <w:style w:type="character" w:customStyle="1" w:styleId="af8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9">
    <w:name w:val="выделение"/>
    <w:uiPriority w:val="99"/>
    <w:rsid w:val="0035276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6"/>
    <w:uiPriority w:val="99"/>
    <w:rsid w:val="0035276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2">
    <w:name w:val="Текст Знак"/>
    <w:link w:val="af1"/>
    <w:uiPriority w:val="99"/>
    <w:locked/>
    <w:rsid w:val="0035276B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35276B"/>
    <w:pPr>
      <w:numPr>
        <w:numId w:val="26"/>
      </w:numPr>
      <w:spacing w:line="360" w:lineRule="auto"/>
      <w:jc w:val="both"/>
    </w:pPr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35276B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35276B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35276B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35276B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35276B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5276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5276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5276B"/>
    <w:pPr>
      <w:ind w:left="958" w:firstLine="709"/>
    </w:pPr>
  </w:style>
  <w:style w:type="paragraph" w:customStyle="1" w:styleId="afd">
    <w:name w:val="содержание"/>
    <w:autoRedefine/>
    <w:uiPriority w:val="99"/>
    <w:rsid w:val="0035276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5276B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5276B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5276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5276B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35276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5276B"/>
    <w:rPr>
      <w:i/>
      <w:iCs/>
    </w:rPr>
  </w:style>
  <w:style w:type="paragraph" w:customStyle="1" w:styleId="afe">
    <w:name w:val="ТАБЛИЦА"/>
    <w:next w:val="a2"/>
    <w:autoRedefine/>
    <w:uiPriority w:val="99"/>
    <w:rsid w:val="0035276B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35276B"/>
  </w:style>
  <w:style w:type="paragraph" w:customStyle="1" w:styleId="12">
    <w:name w:val="Стиль ТАБЛИЦА + Междустр.интервал:  полуторный1"/>
    <w:basedOn w:val="afe"/>
    <w:autoRedefine/>
    <w:uiPriority w:val="99"/>
    <w:rsid w:val="0035276B"/>
  </w:style>
  <w:style w:type="table" w:customStyle="1" w:styleId="13">
    <w:name w:val="Стиль таблицы1"/>
    <w:uiPriority w:val="99"/>
    <w:rsid w:val="0035276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5276B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35276B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35276B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35276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His Infernal Majesty</Company>
  <LinksUpToDate>false</LinksUpToDate>
  <CharactersWithSpaces>16502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Кристина</dc:creator>
  <cp:keywords/>
  <dc:description/>
  <cp:lastModifiedBy>admin</cp:lastModifiedBy>
  <cp:revision>2</cp:revision>
  <dcterms:created xsi:type="dcterms:W3CDTF">2014-03-12T20:26:00Z</dcterms:created>
  <dcterms:modified xsi:type="dcterms:W3CDTF">2014-03-12T20:26:00Z</dcterms:modified>
</cp:coreProperties>
</file>