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22" w:rsidRPr="00DC3FED" w:rsidRDefault="00DC3FED" w:rsidP="00DC3FED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DC3FED" w:rsidRDefault="00DC3FED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Владельческая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является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институтом,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известным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правовым системам.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Существовала она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российском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дореволюционном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праве, была предусмотрена Проектом гражданского уложения.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Считается,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невозможно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устройство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общества,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котором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всякое</w:t>
      </w:r>
      <w:r w:rsidR="00702021" w:rsidRP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вторжение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имущество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приходилось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отражать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путем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доказывания собственности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Р.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Иеринг)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(3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)</w:t>
      </w:r>
      <w:r w:rsidRPr="0037032C">
        <w:rPr>
          <w:rFonts w:ascii="Times New Roman" w:hAnsi="Times New Roman"/>
          <w:color w:val="000000"/>
          <w:sz w:val="28"/>
          <w:szCs w:val="28"/>
        </w:rPr>
        <w:t>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кульминационный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пункт идеи личности (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И.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Покровский)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(4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)</w:t>
      </w:r>
      <w:r w:rsidRPr="0037032C">
        <w:rPr>
          <w:rFonts w:ascii="Times New Roman" w:hAnsi="Times New Roman"/>
          <w:color w:val="000000"/>
          <w:sz w:val="28"/>
          <w:szCs w:val="28"/>
        </w:rPr>
        <w:t>.</w:t>
      </w:r>
    </w:p>
    <w:p w:rsidR="00D217C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Назначение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борьба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насильственными, самоуправными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действиями.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Учитывая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весьма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высокую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степень самоуправства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российском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правопорядке,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нужда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 оперативных средствах защиты от него очевидна. Едва ли можно сомневаться, 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укрепит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надежность оборота и создаст эффективные юридические средства против захвата чужого имущества.</w:t>
      </w:r>
    </w:p>
    <w:p w:rsidR="00935122" w:rsidRPr="000D620B" w:rsidRDefault="00935122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120E" w:rsidRPr="0037032C" w:rsidRDefault="003B120E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5122" w:rsidRPr="0037032C" w:rsidRDefault="003B120E" w:rsidP="0037032C">
      <w:pPr>
        <w:pStyle w:val="1"/>
        <w:keepNext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935122" w:rsidRPr="0037032C">
        <w:rPr>
          <w:rFonts w:ascii="Times New Roman" w:hAnsi="Times New Roman"/>
          <w:color w:val="000000"/>
          <w:sz w:val="28"/>
          <w:szCs w:val="28"/>
        </w:rPr>
        <w:t>Предложения по изменению законодательства</w:t>
      </w:r>
    </w:p>
    <w:p w:rsidR="003B120E" w:rsidRDefault="003B120E" w:rsidP="003B12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120E" w:rsidRPr="003B120E" w:rsidRDefault="007D5998" w:rsidP="003B12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 xml:space="preserve">Существующая в 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ст.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2</w:t>
      </w:r>
      <w:r w:rsidRPr="0037032C">
        <w:rPr>
          <w:rFonts w:ascii="Times New Roman" w:hAnsi="Times New Roman"/>
          <w:color w:val="000000"/>
          <w:sz w:val="28"/>
          <w:szCs w:val="28"/>
        </w:rPr>
        <w:t>34 ГК норма о возможности защиты владения, которое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рамках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приобретательской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давности,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иногда рассматривается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вид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Однако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норма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 получила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силу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ряда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очевидных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причин.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Во-первых,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истец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по иску, предусмотренному 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п.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2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ст.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2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34 ГК, должен доказывать добросовестность владения и другие факты, указанные в 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ст.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2</w:t>
      </w:r>
      <w:r w:rsidRPr="0037032C">
        <w:rPr>
          <w:rFonts w:ascii="Times New Roman" w:hAnsi="Times New Roman"/>
          <w:color w:val="000000"/>
          <w:sz w:val="28"/>
          <w:szCs w:val="28"/>
        </w:rPr>
        <w:t>34 ГК, что существенно затрудняет защиту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лишает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оперативности,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которая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нужна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 самоуправства;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во-вторых,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невозможна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против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собственника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 законного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владельца,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существу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лишает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смысла,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кроме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того, означает совершенно непонятное поощрени</w:t>
      </w:r>
      <w:r w:rsidR="00702021" w:rsidRPr="0037032C">
        <w:rPr>
          <w:rFonts w:ascii="Times New Roman" w:hAnsi="Times New Roman"/>
          <w:color w:val="000000"/>
          <w:sz w:val="28"/>
          <w:szCs w:val="28"/>
        </w:rPr>
        <w:t>е самоуправства собственника; в-</w:t>
      </w:r>
      <w:r w:rsidRPr="0037032C">
        <w:rPr>
          <w:rFonts w:ascii="Times New Roman" w:hAnsi="Times New Roman"/>
          <w:color w:val="000000"/>
          <w:sz w:val="28"/>
          <w:szCs w:val="28"/>
        </w:rPr>
        <w:t>третьих,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8C0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использована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ни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собственником,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ни законным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владельцем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3B12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700"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700"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700" w:rsidRPr="0037032C">
        <w:rPr>
          <w:rFonts w:ascii="Times New Roman" w:hAnsi="Times New Roman"/>
          <w:color w:val="000000"/>
          <w:sz w:val="28"/>
          <w:szCs w:val="28"/>
        </w:rPr>
        <w:t>самоуправства,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700" w:rsidRPr="0037032C">
        <w:rPr>
          <w:rFonts w:ascii="Times New Roman" w:hAnsi="Times New Roman"/>
          <w:color w:val="000000"/>
          <w:sz w:val="28"/>
          <w:szCs w:val="28"/>
        </w:rPr>
        <w:t>тогда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700" w:rsidRPr="0037032C">
        <w:rPr>
          <w:rFonts w:ascii="Times New Roman" w:hAnsi="Times New Roman"/>
          <w:color w:val="000000"/>
          <w:sz w:val="28"/>
          <w:szCs w:val="28"/>
        </w:rPr>
        <w:t>как ценность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700" w:rsidRPr="0037032C">
        <w:rPr>
          <w:rFonts w:ascii="Times New Roman" w:hAnsi="Times New Roman"/>
          <w:color w:val="000000"/>
          <w:sz w:val="28"/>
          <w:szCs w:val="28"/>
        </w:rPr>
        <w:t>владельческой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700"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700" w:rsidRPr="0037032C">
        <w:rPr>
          <w:rFonts w:ascii="Times New Roman" w:hAnsi="Times New Roman"/>
          <w:color w:val="000000"/>
          <w:sz w:val="28"/>
          <w:szCs w:val="28"/>
        </w:rPr>
        <w:t>всегда</w:t>
      </w:r>
      <w:r w:rsidR="00B32E46">
        <w:rPr>
          <w:rFonts w:ascii="Times New Roman" w:hAnsi="Times New Roman"/>
          <w:color w:val="000000"/>
          <w:sz w:val="28"/>
          <w:szCs w:val="28"/>
        </w:rPr>
        <w:t>.</w:t>
      </w:r>
    </w:p>
    <w:p w:rsidR="004C0725" w:rsidRPr="003B120E" w:rsidRDefault="004C0725" w:rsidP="003B12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20E">
        <w:rPr>
          <w:rFonts w:ascii="Times New Roman" w:hAnsi="Times New Roman"/>
          <w:color w:val="000000"/>
          <w:sz w:val="28"/>
          <w:szCs w:val="28"/>
        </w:rPr>
        <w:t xml:space="preserve">3. Учение о государстве и праве </w:t>
      </w:r>
      <w:r w:rsidR="0037032C" w:rsidRPr="003B120E">
        <w:rPr>
          <w:rFonts w:ascii="Times New Roman" w:hAnsi="Times New Roman"/>
          <w:color w:val="000000"/>
          <w:sz w:val="28"/>
          <w:szCs w:val="28"/>
        </w:rPr>
        <w:t>Р. Иеринга</w:t>
      </w:r>
      <w:r w:rsidRPr="003B120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7032C" w:rsidRPr="003B120E">
        <w:rPr>
          <w:rFonts w:ascii="Times New Roman" w:hAnsi="Times New Roman"/>
          <w:color w:val="000000"/>
          <w:sz w:val="28"/>
          <w:szCs w:val="28"/>
        </w:rPr>
        <w:t>Л. Гумпловича</w:t>
      </w:r>
      <w:r w:rsidR="00B32E46">
        <w:rPr>
          <w:rFonts w:ascii="Times New Roman" w:hAnsi="Times New Roman"/>
          <w:color w:val="000000"/>
          <w:sz w:val="28"/>
          <w:szCs w:val="28"/>
        </w:rPr>
        <w:t>.</w:t>
      </w:r>
    </w:p>
    <w:p w:rsidR="007D5998" w:rsidRDefault="004C0725" w:rsidP="003B12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20E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37032C" w:rsidRPr="003B120E">
        <w:rPr>
          <w:rFonts w:ascii="Times New Roman" w:hAnsi="Times New Roman"/>
          <w:color w:val="000000"/>
          <w:sz w:val="28"/>
          <w:szCs w:val="28"/>
        </w:rPr>
        <w:t>Покровский И.А. История</w:t>
      </w:r>
      <w:r w:rsidRPr="003B120E">
        <w:rPr>
          <w:rFonts w:ascii="Times New Roman" w:hAnsi="Times New Roman"/>
          <w:color w:val="000000"/>
          <w:sz w:val="28"/>
          <w:szCs w:val="28"/>
        </w:rPr>
        <w:t xml:space="preserve"> римского права</w:t>
      </w:r>
      <w:r w:rsidR="003B12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700" w:rsidRPr="0037032C">
        <w:rPr>
          <w:rFonts w:ascii="Times New Roman" w:hAnsi="Times New Roman"/>
          <w:color w:val="000000"/>
          <w:sz w:val="28"/>
          <w:szCs w:val="28"/>
        </w:rPr>
        <w:t>состояла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именно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том,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она доступна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собственнику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иному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обладателю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вещь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имеет преимущества перед титульной защитой как более простая и эффективная.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Учитывая,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имеется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опасность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смешения владения с тем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или иным правом, следует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начать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главу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нормы,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которой определяется владение как фактическая позиция. Полагаем, что речь должна идти о владении как фактическом господстве над вещью.</w:t>
      </w:r>
    </w:p>
    <w:p w:rsid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Речь идет о таком господстве, которое обеспечивает власть, достаточную и необходимую для спокойного использования (хозяйственной эксплуатации) вещи. Вероятно, такое толкование должна дать доктрина и судебная практика,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 не закон.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Поскольку владение не является правом, возможно 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вещью,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 отвечающей всем тем условиям, которые предъявляются к объекту права. В то 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время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объект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имеет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существенные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свойства, которые позволяют ей при известных условиях приобрести качества объекта права (например, самовольное строение).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Очевидно,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строящиеся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объекты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них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 собственности, также находятся во владении.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Возможно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 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объектом, изъятым из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гражданского оборота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х</w:t>
      </w:r>
      <w:r w:rsidRPr="0037032C">
        <w:rPr>
          <w:rFonts w:ascii="Times New Roman" w:hAnsi="Times New Roman"/>
          <w:color w:val="000000"/>
          <w:sz w:val="28"/>
          <w:szCs w:val="28"/>
        </w:rPr>
        <w:t>отя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данного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владельца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было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исключено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возникновение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 собственности на такие объекты.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Поскольку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является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подлежит государственной регистрации в ЕГРПН.</w:t>
      </w:r>
    </w:p>
    <w:p w:rsid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фактическая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позиция,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 субъективное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получения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фактические,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 юридические действия. Напротив, чисто юридически владение не может быть приобретено.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достигается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путем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передачи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либо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способом, позволяющим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господство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над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вещью.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Полагаем,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следует отказаться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идеи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соглашения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неизбежно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приведет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 представлению о том, что для получения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 необходима сделка 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 следствие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оспаривание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признание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его недействительным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и т.д.</w:t>
      </w:r>
      <w:r w:rsidRPr="0037032C">
        <w:rPr>
          <w:rFonts w:ascii="Times New Roman" w:hAnsi="Times New Roman"/>
          <w:color w:val="000000"/>
          <w:sz w:val="28"/>
          <w:szCs w:val="28"/>
        </w:rPr>
        <w:t>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представляется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совершенно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недопустимым.</w:t>
      </w:r>
    </w:p>
    <w:p w:rsid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Очевидно,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почве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будет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отброшена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 независимо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вещь;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между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тем,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именно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пункте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 сосредоточен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смысл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Таким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образом, приобретение владения никак нельзя расценивать в качестве волеизъявления, направленного на создание юридических последствий.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 соответствующей норме о возникновении (передаче) владения можно указать, что акт приема-передачи или иной акт, свидетельствующий передачу вещи, имеет доказательственное значение и вводит презумпцию владения тем лицом, которое указано в акте.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Возможно,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здесь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будут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указаны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конкретные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способы возникновения (передачи) владения.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Есть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смысл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вопрос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процессуальных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аспектах установления факта владения, возможно, в виде особого производства.</w:t>
      </w:r>
    </w:p>
    <w:p w:rsid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Учитывая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утрату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нашим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всего инструментария владения, мы должны исходить из тех конструкций, которые созданы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отечественным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правом.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показать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связь 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законным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незаконным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владением,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указать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виды незаконного владения, как добросовестное и недобросовестное.</w:t>
      </w:r>
    </w:p>
    <w:p w:rsidR="00702021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 этом смысле нужно сказать, что владение может осуществляться: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1)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собственником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обладателем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дающего владение,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5FE" w:rsidRPr="0037032C">
        <w:rPr>
          <w:rFonts w:ascii="Times New Roman" w:hAnsi="Times New Roman"/>
          <w:color w:val="000000"/>
          <w:sz w:val="28"/>
          <w:szCs w:val="28"/>
        </w:rPr>
        <w:t>с</w:t>
      </w:r>
      <w:r w:rsidRPr="0037032C">
        <w:rPr>
          <w:rFonts w:ascii="Times New Roman" w:hAnsi="Times New Roman"/>
          <w:color w:val="000000"/>
          <w:sz w:val="28"/>
          <w:szCs w:val="28"/>
        </w:rPr>
        <w:t>амостоятельно;</w:t>
      </w:r>
    </w:p>
    <w:p w:rsidR="00702021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2)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воле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собственника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(аренда,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хранение,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поручение,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перевозка, доверительное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и т.п.</w:t>
      </w:r>
      <w:r w:rsidRPr="0037032C">
        <w:rPr>
          <w:rFonts w:ascii="Times New Roman" w:hAnsi="Times New Roman"/>
          <w:color w:val="000000"/>
          <w:sz w:val="28"/>
          <w:szCs w:val="28"/>
        </w:rPr>
        <w:t>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законом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случаях для собственника (владение наследственным имуществом, секвестр, владение имуществом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подопечного,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безвестно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отсутствующего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и т.п.</w:t>
      </w:r>
      <w:r w:rsidRPr="0037032C">
        <w:rPr>
          <w:rFonts w:ascii="Times New Roman" w:hAnsi="Times New Roman"/>
          <w:color w:val="000000"/>
          <w:sz w:val="28"/>
          <w:szCs w:val="28"/>
        </w:rPr>
        <w:t>).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законное владение; или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3) не по воле собственника и не для собственника – незаконное владение.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Незаконное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выступать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добросовестное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если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оно получено от лица, не имевшего права на отчуждение, о чем приобретатель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 знал и не мог знать при должной осмотрительности.</w:t>
      </w:r>
    </w:p>
    <w:p w:rsid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4) владельцем для давности.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Опосредованного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фигуры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владельческого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слуги (</w:t>
      </w:r>
      <w:r w:rsidRPr="0037032C">
        <w:rPr>
          <w:rFonts w:ascii="Times New Roman" w:hAnsi="Times New Roman"/>
          <w:color w:val="000000"/>
          <w:sz w:val="28"/>
          <w:szCs w:val="28"/>
          <w:lang w:val="en-US"/>
        </w:rPr>
        <w:t>Besitzdiener</w:t>
      </w:r>
      <w:r w:rsidRPr="0037032C">
        <w:rPr>
          <w:rFonts w:ascii="Times New Roman" w:hAnsi="Times New Roman"/>
          <w:color w:val="000000"/>
          <w:sz w:val="28"/>
          <w:szCs w:val="28"/>
        </w:rPr>
        <w:t>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известного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германскому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праву,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видимо,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вводить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нужно. Достаточно указать, что владение, осуществляемое работником юридического лица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выполнении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своих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служебных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обязанностей,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является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владением, осуществляемым этим юридическим лицом.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Отказ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выделения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наряду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держания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> /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или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 опосредованного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делает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излишним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различение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владения только для себя, с наличием </w:t>
      </w:r>
      <w:r w:rsidRPr="0037032C">
        <w:rPr>
          <w:rFonts w:ascii="Times New Roman" w:hAnsi="Times New Roman"/>
          <w:color w:val="000000"/>
          <w:sz w:val="28"/>
          <w:szCs w:val="28"/>
          <w:lang w:val="en-US"/>
        </w:rPr>
        <w:t>animus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  <w:lang w:val="en-US"/>
        </w:rPr>
        <w:t>possidendi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 (сюда относились бы в нашем праве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собственник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незаконный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владелец)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без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намерения,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 является положительным фактором, упрощающим применение владельческой защиты.</w:t>
      </w:r>
    </w:p>
    <w:p w:rsidR="007D5998" w:rsidRPr="0037032C" w:rsidRDefault="00835791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ледует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упомянуть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также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действия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по изъятию,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хранению,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передаче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имущества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(вещей),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осуществляемые административными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органами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силу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данной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им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компетенции.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Имеются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в виду судебные приставы, органы следствия и дознания, таможенные органы и др.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Такие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их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действия,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которые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приводят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обладанию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имуществом,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установлению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власти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над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вещью,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являются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владением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(законным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или незаконным),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выступают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как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отличные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властные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98" w:rsidRPr="0037032C">
        <w:rPr>
          <w:rFonts w:ascii="Times New Roman" w:hAnsi="Times New Roman"/>
          <w:color w:val="000000"/>
          <w:sz w:val="28"/>
          <w:szCs w:val="28"/>
        </w:rPr>
        <w:t>действия.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изъятие,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хранение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вещей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приобретаются,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прекращаются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 защищаются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законодательством,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регламентирующим деятельность этих органов. Тем самым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эти отношения выводятся и за рамки владельческой защиты.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Частноправовые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средства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отношениях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этими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органами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 поводу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допустимы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лишь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постольку,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поскольку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административные органы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действуют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своей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компетенции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(например,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после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прекращения административного производства).</w:t>
      </w:r>
    </w:p>
    <w:p w:rsid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Возможно,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отдельно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сказать,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 нахождение вещи во владении иного лица, само по себе не влечет утраты или ограничения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собственности.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(Сейчас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это сказано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только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договора доверительного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имуществом,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хотя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верно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всех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случаев владения).</w:t>
      </w:r>
    </w:p>
    <w:p w:rsid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непосредственную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над вещью,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считается,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сохраняется,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пока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владелец,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утратив владение, принимает меры по его защите.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предполагается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продолжающимся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случае универсального правопреемства в отношении владельца.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Если административный орган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(либо должник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сделке) не возвращает вещь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истечении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срока,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прекращается, поскольку не приняты меры к его защите.</w:t>
      </w:r>
    </w:p>
    <w:p w:rsidR="008320AB" w:rsidRPr="0037032C" w:rsidRDefault="00580D48" w:rsidP="0037032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2</w:t>
      </w:r>
      <w:r w:rsidR="0028277B" w:rsidRPr="0037032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Защита владения</w:t>
      </w:r>
    </w:p>
    <w:p w:rsidR="00580D48" w:rsidRDefault="00580D4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Защита 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осуществляется независимо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 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объект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хотя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наличие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конечно,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исключает возможности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 заключается,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прежде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всего,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освобождении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истца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(потерпевшего)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 обязанности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доказывания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вещь.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Соответственно,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ответчик (нарушитель)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лишен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защититься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истца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путем оспаривания права истца,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том числе 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путем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доказывания своего права на вещь.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Этот запрет спора о праве в рамках защиты владения необходимо прямо закрепить в законе, поскольку в настоящий момент на практике господствует представление, что защищаться может только субъективное право. Именно в этом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пункте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ожидать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наибольших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трудностей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понимании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всей владельческой проблематики.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Учитывая эти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трудности,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вероятно,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предложить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 обсуждения возможность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встречного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иска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нарушителя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виде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спора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праве (виндикационный иск) при обязательном условии предварительной передачи спорной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время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спора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третьему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лицу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соглашению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владельцем (истцом по основному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иску), либо путем передачи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вещи на время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спора под охрану судебному приставу по определению суда. Такие действия не должны прерывать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приостанавливать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судебный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процесс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 должны осуществляться за счет ответчика независимо от исхода спора.</w:t>
      </w:r>
    </w:p>
    <w:p w:rsidR="007D5998" w:rsidRPr="0037032C" w:rsidRDefault="007D599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Хотя практическое значение такого встречного иска при условии выдачи вещи на время спора, видимо, будет невелико, сама эта норма поможет лучше понять суть владельческой защиты участникам оборота.</w:t>
      </w:r>
    </w:p>
    <w:p w:rsidR="00C517F7" w:rsidRP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защищается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самоуправных действий,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т.е.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таких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действий,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которые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лишают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владельца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 помимо его воли.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 действующем ГК понятие самоуправства практически не разработано. Вероятно,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предложена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формула,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случае утраты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насильственных,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тайных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иных самоуправных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действий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(если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утрачено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насильственно,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тайно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или иным образом самоуправно).</w:t>
      </w:r>
    </w:p>
    <w:p w:rsidR="00C517F7" w:rsidRP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Обсуждению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подлежит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вопрос,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указывать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 хищение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один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из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способов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самоуправства.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Дело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одной стороны,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позволяет,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правило,</w:t>
      </w:r>
    </w:p>
    <w:p w:rsidR="00C517F7" w:rsidRP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дождаться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факта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хищения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компетентными органами, а с другой стороны, не всякое хищение выступает как самоуправное лишение владения. В частности, такие способы хищения как мошенничество 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присвоение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вверенного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могут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совершаться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без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насилия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иного самоуправства в отношении владельца.</w:t>
      </w:r>
    </w:p>
    <w:p w:rsidR="00C517F7" w:rsidRP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Вероятно,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ограничиться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общим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указанием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 самоуправство как основание защиты.</w:t>
      </w:r>
    </w:p>
    <w:p w:rsidR="007D5998" w:rsidRP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заявляется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нарушителю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или любому последующему владельцу.</w:t>
      </w:r>
    </w:p>
    <w:p w:rsidR="00C517F7" w:rsidRP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Защита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осуществляться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либо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виде самозащиты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самозащите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могут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привлекаться,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видимо,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административные органы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рамках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компетенции)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против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осуществляемого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нарушения владения, либо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 исковой форме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против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завершенного лишения владения. В случае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привлечения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органов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следует указать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виде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общего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правила,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любое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административное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содействие защите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направлено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исключительно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сохранение имеющегося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невзирая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представленные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новым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претендентом документы.</w:t>
      </w:r>
    </w:p>
    <w:p w:rsid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случаях,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указанных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законе,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возможно,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видимо, допустить и превентивную защиту владения в виде требования о прекращении действий, которые направлены на лишение истца владения.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предусмотреть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владельца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оспаривать ненормативные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акты,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нарушающие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порядке,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аналогичном тому, который предусмотрен 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ст.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1</w:t>
      </w:r>
      <w:r w:rsidRPr="0037032C">
        <w:rPr>
          <w:rFonts w:ascii="Times New Roman" w:hAnsi="Times New Roman"/>
          <w:color w:val="000000"/>
          <w:sz w:val="28"/>
          <w:szCs w:val="28"/>
        </w:rPr>
        <w:t>3 ГК РФ.</w:t>
      </w:r>
    </w:p>
    <w:p w:rsidR="00C517F7" w:rsidRP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Срок владельческой защиты следует ограничить, скажем, одним годом с момента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утраты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поскольку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владельческая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предполагается оперативной.</w:t>
      </w:r>
      <w:r w:rsidR="00580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предусмотреть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нарушений,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связанных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 лишением владения.</w:t>
      </w:r>
    </w:p>
    <w:p w:rsid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должно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вписано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систему</w:t>
      </w:r>
      <w:r w:rsidR="00702021" w:rsidRP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имеющихся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средств защиты.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Известная пандектному праву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защита владения (наряду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произвола,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самоуправства),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нарушения доверия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т.е. </w:t>
      </w:r>
      <w:r w:rsidRPr="0037032C">
        <w:rPr>
          <w:rFonts w:ascii="Times New Roman" w:hAnsi="Times New Roman"/>
          <w:color w:val="000000"/>
          <w:sz w:val="28"/>
          <w:szCs w:val="28"/>
        </w:rPr>
        <w:t>если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возвращается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вещь,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данная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прекарно),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поглощается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 нашем праве защитой в рамках обязательственного права, в том числе – иском 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применении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последствий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недействительности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сделки.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Поэтому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следует ограничить владельческую защиту только самоуправством.</w:t>
      </w:r>
    </w:p>
    <w:p w:rsidR="00C517F7" w:rsidRP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Итак,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если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владелец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передал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сделке,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 дальнейшем осуществляется в соответствии с нормами об обязательствах или 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рамках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оспаривания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сделки.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владельческая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защита.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Возможно, такую норму следует ввести и в главу о владении, для определенности.</w:t>
      </w:r>
    </w:p>
    <w:p w:rsid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установлением владельческой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отпадает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предоставлении виндикационного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негаторного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иска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законным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владельцам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ст.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3</w:t>
      </w:r>
      <w:r w:rsidRPr="0037032C">
        <w:rPr>
          <w:rFonts w:ascii="Times New Roman" w:hAnsi="Times New Roman"/>
          <w:color w:val="000000"/>
          <w:sz w:val="28"/>
          <w:szCs w:val="28"/>
        </w:rPr>
        <w:t>05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ГК). Право на </w:t>
      </w:r>
      <w:r w:rsidR="006B284E" w:rsidRPr="0037032C">
        <w:rPr>
          <w:rFonts w:ascii="Times New Roman" w:hAnsi="Times New Roman"/>
          <w:color w:val="000000"/>
          <w:sz w:val="28"/>
          <w:szCs w:val="28"/>
        </w:rPr>
        <w:t>в</w:t>
      </w:r>
      <w:r w:rsidRPr="0037032C">
        <w:rPr>
          <w:rFonts w:ascii="Times New Roman" w:hAnsi="Times New Roman"/>
          <w:color w:val="000000"/>
          <w:sz w:val="28"/>
          <w:szCs w:val="28"/>
        </w:rPr>
        <w:t>индикационный иск остается лишь за собственником и, возможно, обладателем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(хозяйственного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ведения,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 управления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др.).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Понятно,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против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самоуправных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посягательств собственник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 защищаться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владельческого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иска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более простого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средства,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если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собственник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выступал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владелец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лишился владения в результате самоуправства.</w:t>
      </w:r>
    </w:p>
    <w:p w:rsidR="00C517F7" w:rsidRP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Представляется, что при гибели вещи во владении нарушителя владения владельческая защита может преобразоваться в иск о взыскании компенсации.</w:t>
      </w:r>
    </w:p>
    <w:p w:rsid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Этот иск будет иметь сходство с иском о взыскании компенсации в порядке применения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последствий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недействительности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сделки,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котором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 доказывается право на утраченную вещь.</w:t>
      </w:r>
    </w:p>
    <w:p w:rsidR="00C517F7" w:rsidRPr="0037032C" w:rsidRDefault="00C517F7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 том же смысле следует защищать 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 на доходы от истребуемой вещи,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либо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полученное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сбережение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имущества нарушителя.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добросовестного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владельца,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отвечающего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 владельческому иску, может быть применено правило, аналогичное норме ст.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3</w:t>
      </w:r>
      <w:r w:rsidRPr="0037032C">
        <w:rPr>
          <w:rFonts w:ascii="Times New Roman" w:hAnsi="Times New Roman"/>
          <w:color w:val="000000"/>
          <w:sz w:val="28"/>
          <w:szCs w:val="28"/>
        </w:rPr>
        <w:t>03 ГК.</w:t>
      </w:r>
    </w:p>
    <w:p w:rsidR="002F5F41" w:rsidRPr="0037032C" w:rsidRDefault="002F5F41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Весьма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серьезный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недостаток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действующего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законодательства состоит в том, что в ГК РФ (глава 13) отсутствует полноценное регулирование общих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положений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правах,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которые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представляли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собой вынесенные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скобки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принципиальные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правила,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относящиеся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всем вещным правам и порядку их правового регулирования.</w:t>
      </w:r>
    </w:p>
    <w:p w:rsidR="002F5F41" w:rsidRPr="0037032C" w:rsidRDefault="002F5F41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Примером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могут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служить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структура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проекта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книги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3 Гражданского уложения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Российской империи «Вотчинное право», в которой раздел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«Общие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положения»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включал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пятнадцать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полноценных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статей, предопределявших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систему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правового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вещных 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(«вотчинных»</w:t>
      </w:r>
      <w:r w:rsidRPr="0037032C">
        <w:rPr>
          <w:rFonts w:ascii="Times New Roman" w:hAnsi="Times New Roman"/>
          <w:color w:val="000000"/>
          <w:sz w:val="28"/>
          <w:szCs w:val="28"/>
        </w:rPr>
        <w:t>) прав.</w:t>
      </w:r>
    </w:p>
    <w:p w:rsidR="002F5F41" w:rsidRPr="0037032C" w:rsidRDefault="002F5F41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Аналогичным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образом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построена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структура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норм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 современном законодательстве ряда восточно-европейских государств.</w:t>
      </w:r>
    </w:p>
    <w:p w:rsidR="00181FEB" w:rsidRPr="0037032C" w:rsidRDefault="00181FE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Другим недостатком является открытый характер перечня вещных прав,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содержащегося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РФ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(статья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216),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принципе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допускает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 введение новых вещных прав (причем не только федеральным законом), так и любые основания их возникновения.</w:t>
      </w:r>
    </w:p>
    <w:p w:rsidR="002F5F41" w:rsidRPr="0037032C" w:rsidRDefault="00181FE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дореволюционном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проекте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книги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3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уложения Российской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империи содержался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закрытый перечень вещных 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(«вотчинных»</w:t>
      </w:r>
      <w:r w:rsidRPr="0037032C">
        <w:rPr>
          <w:rFonts w:ascii="Times New Roman" w:hAnsi="Times New Roman"/>
          <w:color w:val="000000"/>
          <w:sz w:val="28"/>
          <w:szCs w:val="28"/>
        </w:rPr>
        <w:t>) прав (статьи 740 и 917) и обеспечивалось их исчерпывающее регулирование.</w:t>
      </w:r>
    </w:p>
    <w:p w:rsidR="00181FEB" w:rsidRPr="0037032C" w:rsidRDefault="00181FE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Перечень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действующим законодательством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учетом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только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РФ,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федеральных законов)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оказался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далеко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полным,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обедняет имущественный оборот.</w:t>
      </w:r>
    </w:p>
    <w:p w:rsidR="00181FEB" w:rsidRPr="0037032C" w:rsidRDefault="00181FE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указанном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перечне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отсутствуют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такие традиционные 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признаваемые развитыми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правопорядками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как: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застройки,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узуфрукт, ипотека и некоторые другие. Соответствующие вещные права и их детальное регулирование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содержатся,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например,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Гражданском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уложении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Германии (§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1</w:t>
      </w:r>
      <w:r w:rsidRPr="0037032C">
        <w:rPr>
          <w:rFonts w:ascii="Times New Roman" w:hAnsi="Times New Roman"/>
          <w:color w:val="000000"/>
          <w:sz w:val="28"/>
          <w:szCs w:val="28"/>
        </w:rPr>
        <w:t>030</w:t>
      </w:r>
      <w:r w:rsid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1</w:t>
      </w:r>
      <w:r w:rsidRPr="0037032C">
        <w:rPr>
          <w:rFonts w:ascii="Times New Roman" w:hAnsi="Times New Roman"/>
          <w:color w:val="000000"/>
          <w:sz w:val="28"/>
          <w:szCs w:val="28"/>
        </w:rPr>
        <w:t>089,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§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1</w:t>
      </w:r>
      <w:r w:rsidRPr="0037032C">
        <w:rPr>
          <w:rFonts w:ascii="Times New Roman" w:hAnsi="Times New Roman"/>
          <w:color w:val="000000"/>
          <w:sz w:val="28"/>
          <w:szCs w:val="28"/>
        </w:rPr>
        <w:t>113</w:t>
      </w:r>
      <w:r w:rsid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1</w:t>
      </w:r>
      <w:r w:rsidRPr="0037032C">
        <w:rPr>
          <w:rFonts w:ascii="Times New Roman" w:hAnsi="Times New Roman"/>
          <w:color w:val="000000"/>
          <w:sz w:val="28"/>
          <w:szCs w:val="28"/>
        </w:rPr>
        <w:t>190),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Гражданском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кодексе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Нидерландов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(статьи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201</w:t>
      </w:r>
      <w:r w:rsid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2</w:t>
      </w:r>
      <w:r w:rsidRPr="0037032C">
        <w:rPr>
          <w:rFonts w:ascii="Times New Roman" w:hAnsi="Times New Roman"/>
          <w:color w:val="000000"/>
          <w:sz w:val="28"/>
          <w:szCs w:val="28"/>
        </w:rPr>
        <w:t>26 книги 3, статьи 101</w:t>
      </w:r>
      <w:r w:rsid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1</w:t>
      </w:r>
      <w:r w:rsidRPr="0037032C">
        <w:rPr>
          <w:rFonts w:ascii="Times New Roman" w:hAnsi="Times New Roman"/>
          <w:color w:val="000000"/>
          <w:sz w:val="28"/>
          <w:szCs w:val="28"/>
        </w:rPr>
        <w:t>05 книги 5). Предусматривались указанные вещные 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дореволюционном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проекте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книги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3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Гражданского уложения (статьи 951</w:t>
      </w:r>
      <w:r w:rsid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9</w:t>
      </w:r>
      <w:r w:rsidRPr="0037032C">
        <w:rPr>
          <w:rFonts w:ascii="Times New Roman" w:hAnsi="Times New Roman"/>
          <w:color w:val="000000"/>
          <w:sz w:val="28"/>
          <w:szCs w:val="28"/>
        </w:rPr>
        <w:t>93, статьи 1029</w:t>
      </w:r>
      <w:r w:rsid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1</w:t>
      </w:r>
      <w:r w:rsidRPr="0037032C">
        <w:rPr>
          <w:rFonts w:ascii="Times New Roman" w:hAnsi="Times New Roman"/>
          <w:color w:val="000000"/>
          <w:sz w:val="28"/>
          <w:szCs w:val="28"/>
        </w:rPr>
        <w:t>039, 1040</w:t>
      </w:r>
      <w:r w:rsid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1</w:t>
      </w:r>
      <w:r w:rsidRPr="0037032C">
        <w:rPr>
          <w:rFonts w:ascii="Times New Roman" w:hAnsi="Times New Roman"/>
          <w:color w:val="000000"/>
          <w:sz w:val="28"/>
          <w:szCs w:val="28"/>
        </w:rPr>
        <w:t>110 и др.).</w:t>
      </w:r>
    </w:p>
    <w:p w:rsidR="00181FEB" w:rsidRPr="0037032C" w:rsidRDefault="00181FE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сожалению,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РФ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содержит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принципиальных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положений, которые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могли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служить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фундаментом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всей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системы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правового регулирования вещных прав.</w:t>
      </w:r>
    </w:p>
    <w:p w:rsidR="00181FEB" w:rsidRPr="0037032C" w:rsidRDefault="00181FE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По-видимому,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именно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РФ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должно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содержаться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исчерпывающее регулирование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исключением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только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тех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случаев,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которые будут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предусмотрены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самом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РФ.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этом,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предоставляя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другим федеральным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законам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детализировать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регулирование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вещных прав, ГК РФ должен исключительным образом определять виды вещных прав и их содержание,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 основные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параметры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необходимые ограничения правового регулирования соответствующих вещных прав.</w:t>
      </w:r>
    </w:p>
    <w:p w:rsidR="00181FEB" w:rsidRPr="0037032C" w:rsidRDefault="00181FE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РФ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проведено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четкое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разграничение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 иных гражданских прав. Многие обязательственные 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сегодня наделены признаками,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присущими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только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правам.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непременный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атрибут вещного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следования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обнаружить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обязательственно-правовых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отношениях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договору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аренды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(статья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617),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ренты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 пожизненного содержания с иждивением (статья 586).</w:t>
      </w:r>
    </w:p>
    <w:p w:rsidR="00181FEB" w:rsidRPr="0037032C" w:rsidRDefault="00181FE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Вещно-правовыми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способами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наделяется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всякий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законный владелец – участник обязательственно-правовых отношений (статья 305).</w:t>
      </w:r>
    </w:p>
    <w:p w:rsidR="00181FEB" w:rsidRPr="0037032C" w:rsidRDefault="00181FE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целях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устранения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данного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недостатка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общие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положения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вещных правах можно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было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включить норму, ограничивающую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распространение правил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субъективные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(или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только обязательственные) гражданские права.</w:t>
      </w:r>
    </w:p>
    <w:p w:rsidR="00181FEB" w:rsidRPr="0037032C" w:rsidRDefault="00181FE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общих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положениях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было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целесообразно иметь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отдельную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статью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вещно-правовой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защите,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включающую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себя закрытый перечень вещно-правовых способов защиты права собственности и иных вещных прав и основные особенности их применения.</w:t>
      </w:r>
    </w:p>
    <w:p w:rsidR="008320AB" w:rsidRPr="0037032C" w:rsidRDefault="008320A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Включить в ГК РФ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статью «Защита вещных прав»,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содержащую следующие положения:</w:t>
      </w:r>
    </w:p>
    <w:p w:rsidR="008320AB" w:rsidRPr="0037032C" w:rsidRDefault="008320A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а)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наделении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обладателя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включающего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свое содержание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правомочие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владению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вещью,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предъявление виндикационного и негаторного исков;</w:t>
      </w:r>
    </w:p>
    <w:p w:rsidR="008320AB" w:rsidRPr="0037032C" w:rsidRDefault="008320A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б)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наделении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обладателя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которого ограничивается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правомочием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вещью,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предъявление негаторного иска;</w:t>
      </w:r>
    </w:p>
    <w:p w:rsidR="008320AB" w:rsidRPr="0037032C" w:rsidRDefault="008320A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лица,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чье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обеспечено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чужой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вещью,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получить удовлетворение своего требования за счет соответствующей вещи.</w:t>
      </w:r>
    </w:p>
    <w:p w:rsidR="008320AB" w:rsidRPr="0037032C" w:rsidRDefault="008320A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данной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статье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некоторые принципиальные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положения,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направленные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регулирование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порядка применения вещно-правовых способов защиты, в частности:</w:t>
      </w:r>
    </w:p>
    <w:p w:rsidR="008320AB" w:rsidRPr="0037032C" w:rsidRDefault="0037032C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праве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имущества,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установлено ограниченное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вещное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право,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использование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вещно-правовых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способов защиты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наряду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обладателем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ограниченного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вещного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 порядке его реализации;</w:t>
      </w:r>
    </w:p>
    <w:p w:rsidR="008320AB" w:rsidRPr="0037032C" w:rsidRDefault="0037032C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недопустимости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применения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вещно-правовых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для защиты иных гражданских прав;</w:t>
      </w:r>
    </w:p>
    <w:p w:rsidR="008320AB" w:rsidRPr="0037032C" w:rsidRDefault="0037032C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особенности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вещных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недвижимое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имущество, состоящей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вещно-правовые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способы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случае,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если соответствующее вещное право на объект недвижимости зарегистрировано не 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истцом,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другим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лицом,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применяются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условии,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что зарегистрированное право оспорено истцом путем предъявления требования о признании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права.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частности,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надлежащий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собственник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(обладатель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иного вещного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права),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утративший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владение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объектом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недвижимости,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случае государственной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регистрации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вещного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этот объект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другим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лицом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оспорить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зарегистрированное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право (предъявить иск о признании своего права) в качестве обязательного условия для предъявления виндикационного иска; названные требования должны быть предъявлены одновременно. Причем если нет оснований для удовлетворения виндикационного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иска,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срока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исковой давности,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то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удовлетворении такого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иска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о признании права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тоже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должно быть отказано. В эту же статью следует включить положение о том, что в случае ареста вещи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собственник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обладатель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иного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вещного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права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B" w:rsidRPr="0037032C">
        <w:rPr>
          <w:rFonts w:ascii="Times New Roman" w:hAnsi="Times New Roman"/>
          <w:color w:val="000000"/>
          <w:sz w:val="28"/>
          <w:szCs w:val="28"/>
        </w:rPr>
        <w:t>может требовать освобождения вещи от ареста (исключения из описи).</w:t>
      </w:r>
    </w:p>
    <w:p w:rsidR="00C53E63" w:rsidRPr="0037032C" w:rsidRDefault="00C53E6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E63" w:rsidRPr="0037032C" w:rsidRDefault="00580D48" w:rsidP="0037032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53E63" w:rsidRPr="0037032C">
        <w:rPr>
          <w:rFonts w:ascii="Times New Roman" w:hAnsi="Times New Roman"/>
          <w:b/>
          <w:color w:val="000000"/>
          <w:sz w:val="28"/>
          <w:szCs w:val="28"/>
        </w:rPr>
        <w:t>. Применение общих положений гражданского законодательства о вещах к недвижимым вещам</w:t>
      </w:r>
    </w:p>
    <w:p w:rsidR="000D620B" w:rsidRPr="000D620B" w:rsidRDefault="000D620B" w:rsidP="000D620B">
      <w:pPr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D620B">
        <w:rPr>
          <w:rFonts w:ascii="Times New Roman" w:hAnsi="Times New Roman"/>
          <w:color w:val="FFFFFF"/>
          <w:sz w:val="28"/>
          <w:szCs w:val="28"/>
        </w:rPr>
        <w:t>владельческий вещь защита гражданский</w:t>
      </w:r>
    </w:p>
    <w:p w:rsidR="00C53E63" w:rsidRPr="0037032C" w:rsidRDefault="00C53E6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Действующее законодательство не содержит каких-либо специальных правил о применении или неприменении к недвижимым вещам тех или иных гражданско-правовых норм о вещах.</w:t>
      </w:r>
    </w:p>
    <w:p w:rsidR="00C53E63" w:rsidRPr="0037032C" w:rsidRDefault="00C53E6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Вместе с тем, очевидно, что регулирование оборота недвижимых вещей невозможно при отсутствии точной классификации этих объектов, без определения их места в общей системе объектов гражданских прав.</w:t>
      </w:r>
    </w:p>
    <w:p w:rsidR="00C53E63" w:rsidRPr="0037032C" w:rsidRDefault="00C53E6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Предложения по совершенствованию законодательства:</w:t>
      </w:r>
    </w:p>
    <w:p w:rsidR="00C53E63" w:rsidRPr="0037032C" w:rsidRDefault="00C53E6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1. Недвижимость всегда является индивидуально определенной вещью. Ее индивидуальный характер можно объяснить той неразрывной физической и юридической связью, которая существует между объектом недвижимости и земельным участком. Поэтому даже типовые здания, сооружения, жилые и нежилые помещения в их привязке к конкретному участку приобретают индивидуальный характер. Естественно, что и сам земельный участок всегда индивидуален.</w:t>
      </w:r>
    </w:p>
    <w:p w:rsidR="00C53E63" w:rsidRPr="0037032C" w:rsidRDefault="00C53E6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2. Каждая недвижимая вещь должна представлять собой самостоятельный единый объект гражданского права. Соответственно сложная вещь, объединяющая по признаку использования по одному назначению разнородные вещи, при наличии у составляющих ей вещей признаков, предусмотренных ст.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1</w:t>
      </w:r>
      <w:r w:rsidRPr="0037032C">
        <w:rPr>
          <w:rFonts w:ascii="Times New Roman" w:hAnsi="Times New Roman"/>
          <w:color w:val="000000"/>
          <w:sz w:val="28"/>
          <w:szCs w:val="28"/>
        </w:rPr>
        <w:t>30 ГК РФ, может быть сама признана недвижимой вещью (например, комплекс недвижимого имущества).</w:t>
      </w:r>
    </w:p>
    <w:p w:rsidR="00C53E63" w:rsidRPr="0037032C" w:rsidRDefault="00C53E6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 xml:space="preserve">3. Если по своим естественным (физическим, конструктивным </w:t>
      </w:r>
      <w:r w:rsidR="0037032C">
        <w:rPr>
          <w:rFonts w:ascii="Times New Roman" w:hAnsi="Times New Roman"/>
          <w:color w:val="000000"/>
          <w:sz w:val="28"/>
          <w:szCs w:val="28"/>
        </w:rPr>
        <w:t>и т.п.</w:t>
      </w:r>
      <w:r w:rsidRPr="0037032C">
        <w:rPr>
          <w:rFonts w:ascii="Times New Roman" w:hAnsi="Times New Roman"/>
          <w:color w:val="000000"/>
          <w:sz w:val="28"/>
          <w:szCs w:val="28"/>
        </w:rPr>
        <w:t>) характеристикам недвижимая вещь может быть поделена на несколько самостоятельных вещей, то при разделе прежняя недвижимая вещь свое существование прекращает, и образуются два или более самостоятельных объекта права. Регистрации в этом случае подлежит право на каждую новую недвижимую вещь. Одновременно регистрируется прекращение права на прежний объект.</w:t>
      </w:r>
    </w:p>
    <w:p w:rsidR="00C53E63" w:rsidRPr="0037032C" w:rsidRDefault="00C53E6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 xml:space="preserve">Данную ситуацию следует отличать от того, когда изменяются определенные характеристики недвижимой вещи (размеры, внутреннее устройство </w:t>
      </w:r>
      <w:r w:rsidR="0037032C">
        <w:rPr>
          <w:rFonts w:ascii="Times New Roman" w:hAnsi="Times New Roman"/>
          <w:color w:val="000000"/>
          <w:sz w:val="28"/>
          <w:szCs w:val="28"/>
        </w:rPr>
        <w:t>и т.п.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). В этом случае право на вещь сохраняется в неизменном виде, однако запись в единый государственный реестр прав (далее </w:t>
      </w:r>
      <w:r w:rsid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ЕГРП) должна быть внесена в части описания вещи </w:t>
      </w:r>
      <w:r w:rsid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объекта права. Необходимость внесения изменений в запись можно объяснить изменением индивидуальных характеристик объекта и необходимостью соблюдения достоверности записей о нем в ЕГРП.</w:t>
      </w:r>
    </w:p>
    <w:p w:rsidR="00C53E63" w:rsidRDefault="00C53E6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4. В случае, если объект недвижимости является неделимой вещью (ст.</w:t>
      </w:r>
      <w:r w:rsidR="0037032C">
        <w:rPr>
          <w:rFonts w:ascii="Times New Roman" w:hAnsi="Times New Roman"/>
          <w:color w:val="000000"/>
          <w:sz w:val="28"/>
          <w:szCs w:val="28"/>
        </w:rPr>
        <w:t> </w:t>
      </w:r>
      <w:r w:rsidR="0037032C" w:rsidRPr="0037032C">
        <w:rPr>
          <w:rFonts w:ascii="Times New Roman" w:hAnsi="Times New Roman"/>
          <w:color w:val="000000"/>
          <w:sz w:val="28"/>
          <w:szCs w:val="28"/>
        </w:rPr>
        <w:t>1</w:t>
      </w:r>
      <w:r w:rsidRPr="0037032C">
        <w:rPr>
          <w:rFonts w:ascii="Times New Roman" w:hAnsi="Times New Roman"/>
          <w:color w:val="000000"/>
          <w:sz w:val="28"/>
          <w:szCs w:val="28"/>
        </w:rPr>
        <w:t>33 ГК РФ), то даже при возникновении права общей собственности неделимая недвижимая вещь сохраняет свое значение самостоятельного единого объекта гражданского права.</w:t>
      </w:r>
    </w:p>
    <w:p w:rsidR="00580D48" w:rsidRDefault="00580D4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D48" w:rsidRPr="0037032C" w:rsidRDefault="00580D4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EA3" w:rsidRPr="0037032C" w:rsidRDefault="00580D48" w:rsidP="0037032C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  <w:t>Заключение</w:t>
      </w:r>
    </w:p>
    <w:p w:rsidR="00580D48" w:rsidRDefault="00580D4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20AB" w:rsidRPr="0037032C" w:rsidRDefault="008320A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Поскольку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условный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характер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имуществом собственника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полностью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изжить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нельзя,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уменьшить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количество условностей,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создав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более-менее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универсальную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модель,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рассчитанную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 любые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имеющиеся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ситуации,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возможно,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ситуации,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которые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могут возникнуть в будущем.</w:t>
      </w:r>
    </w:p>
    <w:p w:rsidR="008320AB" w:rsidRPr="0037032C" w:rsidRDefault="008320A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1.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Нужно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устранить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дуализм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имуществом собственника, оставив только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одно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 право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управления. Соответствующий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термин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только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дань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исторической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традиции,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 наиболее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емкое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понятие,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охватывающее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коммерческую,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 некоммерческую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субъекта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управления.</w:t>
      </w:r>
    </w:p>
    <w:p w:rsidR="008320AB" w:rsidRPr="0037032C" w:rsidRDefault="008320A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Хозяйственное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термин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смысле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менее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удачный,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поскольку рассчитан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лишь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ведение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(коммерческой, предпринимательской) деятельности.</w:t>
      </w:r>
    </w:p>
    <w:p w:rsidR="008320AB" w:rsidRPr="0037032C" w:rsidRDefault="008320A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2.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следует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 владения, пользования и распоряжения имуществом собственника в пределах, установленных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законодательством,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целями деятельности,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заданиями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собственника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назначением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имущества.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Объем ограничений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зависеть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категории субъекта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данного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вида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объекта,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который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данное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 распространяется.</w:t>
      </w:r>
    </w:p>
    <w:p w:rsidR="008320AB" w:rsidRPr="0037032C" w:rsidRDefault="008320A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3.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Субъектами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общему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правилу, должны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муниципальные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лица. Вопрос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том, должны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 субъектами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 частные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учреждения,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требует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обсуждения.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Условный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характер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 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постоянное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регулирования отношений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осуществлению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(муниципальной) собственности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делает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данное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вполне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пригодным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частных учреждений.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Для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последних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будет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более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удобной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модель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 собственности.</w:t>
      </w:r>
    </w:p>
    <w:p w:rsidR="00AF4EA3" w:rsidRPr="0037032C" w:rsidRDefault="008320AB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4.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Объектами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могут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выступать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 движимые, так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 недвижимые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 исключением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земельных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участков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 участков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недр.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недвижимыми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вещами возникает в момент государственной регистрации. Имущество субъекта права оперативного управления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должно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именоваться предприятием.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Это нужно</w:t>
      </w:r>
      <w:r w:rsidR="00AF4EA3" w:rsidRPr="0037032C">
        <w:rPr>
          <w:rFonts w:ascii="Times New Roman" w:hAnsi="Times New Roman"/>
          <w:color w:val="000000"/>
          <w:sz w:val="28"/>
          <w:szCs w:val="28"/>
        </w:rPr>
        <w:t xml:space="preserve"> для устранения дуализма понятия предприятия – как субъекта и как объекта права, – а также для соблюдения принципа специализации.</w:t>
      </w:r>
    </w:p>
    <w:p w:rsidR="00AF4EA3" w:rsidRPr="0037032C" w:rsidRDefault="00AF4EA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5.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дифференцировано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 виды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того,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насколько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ограничено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входящее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состав правомочие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распоряжения.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Такое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свободным, осуществляемым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без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согласия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собственника,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ограниченным, осуществляемым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согласия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собственника.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некоторыми объектами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запрещено,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однако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обладатель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 управления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лишен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вовсе.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касается владения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пользования,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они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должны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одинаковыми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всех разновидностях права оперативного управления.</w:t>
      </w:r>
    </w:p>
    <w:p w:rsidR="00AF4EA3" w:rsidRPr="0037032C" w:rsidRDefault="00AF4EA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6.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требует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дифференциации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 зависимости от того, для осуществления какой деятельности – коммерческой или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некоммерческой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предназначено.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Оно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принадлежать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 коммерческим,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некоммерческим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организациям.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Объем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 распоряжения некоммерческой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организации может быть дифференцирован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в зависимости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того,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какая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– предпринимательская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(иная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приносящая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доходы)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 заданию и за счет собственника.</w:t>
      </w:r>
    </w:p>
    <w:p w:rsidR="00AF4EA3" w:rsidRDefault="00AF4EA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7. Что касается субсидиарной ответственности собственника по долгам субъекта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общему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правилу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такая ответственность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должна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наступать.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Законом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могут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предусмотрены случаи,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когда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собственник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освобождается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субсидиарной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ответственности по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долгам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субъекта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права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управления.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Собственник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также может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быть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освобожден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такой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ответственности,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если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докажет,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 кредитор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знал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или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должен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был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знать,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что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расходы</w:t>
      </w:r>
      <w:r w:rsid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32C">
        <w:rPr>
          <w:rFonts w:ascii="Times New Roman" w:hAnsi="Times New Roman"/>
          <w:color w:val="000000"/>
          <w:sz w:val="28"/>
          <w:szCs w:val="28"/>
        </w:rPr>
        <w:t>не подлежат оплате собственником.</w:t>
      </w:r>
    </w:p>
    <w:p w:rsidR="00580D48" w:rsidRDefault="00580D4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D48" w:rsidRDefault="00580D48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20AB" w:rsidRPr="0037032C" w:rsidRDefault="00AF4EA3" w:rsidP="0037032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br w:type="page"/>
      </w:r>
      <w:r w:rsidR="00580D48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580D48" w:rsidRDefault="00580D48" w:rsidP="00580D48">
      <w:pPr>
        <w:pStyle w:val="2"/>
        <w:keepNext w:val="0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hAnsi="Times New Roman"/>
          <w:b w:val="0"/>
          <w:i w:val="0"/>
          <w:noProof/>
          <w:color w:val="000000"/>
        </w:rPr>
      </w:pPr>
    </w:p>
    <w:p w:rsidR="00F50ED4" w:rsidRPr="0037032C" w:rsidRDefault="00F50ED4" w:rsidP="00580D48">
      <w:pPr>
        <w:pStyle w:val="2"/>
        <w:keepNext w:val="0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noProof/>
          <w:color w:val="000000"/>
        </w:rPr>
      </w:pPr>
      <w:r w:rsidRPr="0037032C">
        <w:rPr>
          <w:rFonts w:ascii="Times New Roman" w:hAnsi="Times New Roman"/>
          <w:b w:val="0"/>
          <w:i w:val="0"/>
          <w:noProof/>
          <w:color w:val="000000"/>
        </w:rPr>
        <w:t>Конституция Российской Федерации (принята всенародным голосованием 12 декабря 1993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 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г</w:t>
      </w:r>
      <w:r w:rsidRPr="0037032C">
        <w:rPr>
          <w:rFonts w:ascii="Times New Roman" w:hAnsi="Times New Roman"/>
          <w:b w:val="0"/>
          <w:i w:val="0"/>
          <w:noProof/>
          <w:color w:val="000000"/>
        </w:rPr>
        <w:t>.)</w:t>
      </w:r>
    </w:p>
    <w:p w:rsidR="00F50ED4" w:rsidRPr="0037032C" w:rsidRDefault="00F50ED4" w:rsidP="00580D48">
      <w:pPr>
        <w:pStyle w:val="2"/>
        <w:keepNext w:val="0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noProof/>
          <w:color w:val="000000"/>
        </w:rPr>
      </w:pPr>
      <w:r w:rsidRPr="0037032C">
        <w:rPr>
          <w:rFonts w:ascii="Times New Roman" w:hAnsi="Times New Roman"/>
          <w:b w:val="0"/>
          <w:i w:val="0"/>
          <w:noProof/>
          <w:color w:val="000000"/>
        </w:rPr>
        <w:t>Гражданский кодекс Российской Федерации (части первая, вторая и третья) (с изм. и доп. от 20 февраля, 12 августа 1996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 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г</w:t>
      </w:r>
      <w:r w:rsidRPr="0037032C">
        <w:rPr>
          <w:rFonts w:ascii="Times New Roman" w:hAnsi="Times New Roman"/>
          <w:b w:val="0"/>
          <w:i w:val="0"/>
          <w:noProof/>
          <w:color w:val="000000"/>
        </w:rPr>
        <w:t>.; 24 октября 1997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 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г</w:t>
      </w:r>
      <w:r w:rsidRPr="0037032C">
        <w:rPr>
          <w:rFonts w:ascii="Times New Roman" w:hAnsi="Times New Roman"/>
          <w:b w:val="0"/>
          <w:i w:val="0"/>
          <w:noProof/>
          <w:color w:val="000000"/>
        </w:rPr>
        <w:t>.; 8 июля; 17 декабря 1999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 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г</w:t>
      </w:r>
      <w:r w:rsidRPr="0037032C">
        <w:rPr>
          <w:rFonts w:ascii="Times New Roman" w:hAnsi="Times New Roman"/>
          <w:b w:val="0"/>
          <w:i w:val="0"/>
          <w:noProof/>
          <w:color w:val="000000"/>
        </w:rPr>
        <w:t xml:space="preserve">.; 16 апреля; 15 мая; 26 ноября 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2001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 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г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.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;</w:t>
      </w:r>
      <w:r w:rsidRPr="0037032C">
        <w:rPr>
          <w:rFonts w:ascii="Times New Roman" w:hAnsi="Times New Roman"/>
          <w:b w:val="0"/>
          <w:i w:val="0"/>
          <w:noProof/>
          <w:color w:val="000000"/>
        </w:rPr>
        <w:t xml:space="preserve"> 21 марта; 14 ноября; 26 ноября 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2002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 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г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.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;</w:t>
      </w:r>
      <w:r w:rsidRPr="0037032C">
        <w:rPr>
          <w:rFonts w:ascii="Times New Roman" w:hAnsi="Times New Roman"/>
          <w:b w:val="0"/>
          <w:i w:val="0"/>
          <w:noProof/>
          <w:color w:val="000000"/>
        </w:rPr>
        <w:t xml:space="preserve"> 10 января; 26 марта; 11 ноября; 23 декабря 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2003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 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г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.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;</w:t>
      </w:r>
      <w:r w:rsidRPr="0037032C">
        <w:rPr>
          <w:rFonts w:ascii="Times New Roman" w:hAnsi="Times New Roman"/>
          <w:b w:val="0"/>
          <w:i w:val="0"/>
          <w:noProof/>
          <w:color w:val="000000"/>
        </w:rPr>
        <w:t xml:space="preserve"> 29 июня; 29 июля 2004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 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г</w:t>
      </w:r>
      <w:r w:rsidRPr="0037032C">
        <w:rPr>
          <w:rFonts w:ascii="Times New Roman" w:hAnsi="Times New Roman"/>
          <w:b w:val="0"/>
          <w:i w:val="0"/>
          <w:noProof/>
          <w:color w:val="000000"/>
        </w:rPr>
        <w:t>.)</w:t>
      </w:r>
    </w:p>
    <w:p w:rsidR="00F50ED4" w:rsidRPr="0037032C" w:rsidRDefault="00F50ED4" w:rsidP="00580D48">
      <w:pPr>
        <w:pStyle w:val="2"/>
        <w:keepNext w:val="0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noProof/>
          <w:color w:val="000000"/>
        </w:rPr>
      </w:pPr>
      <w:r w:rsidRPr="0037032C">
        <w:rPr>
          <w:rFonts w:ascii="Times New Roman" w:hAnsi="Times New Roman"/>
          <w:b w:val="0"/>
          <w:i w:val="0"/>
          <w:noProof/>
          <w:color w:val="000000"/>
        </w:rPr>
        <w:t xml:space="preserve">Учение о государстве и праве 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Р.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 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Иеринга</w:t>
      </w:r>
      <w:r w:rsidRPr="0037032C">
        <w:rPr>
          <w:rFonts w:ascii="Times New Roman" w:hAnsi="Times New Roman"/>
          <w:b w:val="0"/>
          <w:i w:val="0"/>
          <w:noProof/>
          <w:color w:val="000000"/>
        </w:rPr>
        <w:t xml:space="preserve"> и 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Л.</w:t>
      </w:r>
      <w:r w:rsidR="0037032C">
        <w:rPr>
          <w:rFonts w:ascii="Times New Roman" w:hAnsi="Times New Roman"/>
          <w:b w:val="0"/>
          <w:i w:val="0"/>
          <w:noProof/>
          <w:color w:val="000000"/>
        </w:rPr>
        <w:t> </w:t>
      </w:r>
      <w:r w:rsidR="0037032C" w:rsidRPr="0037032C">
        <w:rPr>
          <w:rFonts w:ascii="Times New Roman" w:hAnsi="Times New Roman"/>
          <w:b w:val="0"/>
          <w:i w:val="0"/>
          <w:noProof/>
          <w:color w:val="000000"/>
        </w:rPr>
        <w:t>Гумпловича</w:t>
      </w:r>
    </w:p>
    <w:p w:rsidR="0037032C" w:rsidRDefault="0037032C" w:rsidP="00580D48">
      <w:pPr>
        <w:pStyle w:val="2"/>
        <w:keepNext w:val="0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noProof/>
          <w:color w:val="000000"/>
        </w:rPr>
      </w:pPr>
      <w:r w:rsidRPr="0037032C">
        <w:rPr>
          <w:rFonts w:ascii="Times New Roman" w:hAnsi="Times New Roman"/>
          <w:b w:val="0"/>
          <w:i w:val="0"/>
          <w:noProof/>
          <w:color w:val="000000"/>
        </w:rPr>
        <w:t>Покровский</w:t>
      </w:r>
      <w:r>
        <w:rPr>
          <w:rFonts w:ascii="Times New Roman" w:hAnsi="Times New Roman"/>
          <w:b w:val="0"/>
          <w:i w:val="0"/>
          <w:noProof/>
          <w:color w:val="000000"/>
        </w:rPr>
        <w:t> </w:t>
      </w:r>
      <w:r w:rsidRPr="0037032C">
        <w:rPr>
          <w:rFonts w:ascii="Times New Roman" w:hAnsi="Times New Roman"/>
          <w:b w:val="0"/>
          <w:i w:val="0"/>
          <w:noProof/>
          <w:color w:val="000000"/>
        </w:rPr>
        <w:t>И.А.</w:t>
      </w:r>
      <w:r>
        <w:rPr>
          <w:rFonts w:ascii="Times New Roman" w:hAnsi="Times New Roman"/>
          <w:b w:val="0"/>
          <w:i w:val="0"/>
          <w:noProof/>
          <w:color w:val="000000"/>
        </w:rPr>
        <w:t> </w:t>
      </w:r>
      <w:r w:rsidRPr="0037032C">
        <w:rPr>
          <w:rFonts w:ascii="Times New Roman" w:hAnsi="Times New Roman"/>
          <w:b w:val="0"/>
          <w:i w:val="0"/>
          <w:noProof/>
          <w:color w:val="000000"/>
        </w:rPr>
        <w:t>История</w:t>
      </w:r>
      <w:r w:rsidR="00F50ED4" w:rsidRPr="0037032C">
        <w:rPr>
          <w:rFonts w:ascii="Times New Roman" w:hAnsi="Times New Roman"/>
          <w:b w:val="0"/>
          <w:i w:val="0"/>
          <w:noProof/>
          <w:color w:val="000000"/>
        </w:rPr>
        <w:t xml:space="preserve"> римского права</w:t>
      </w:r>
    </w:p>
    <w:p w:rsidR="0037032C" w:rsidRDefault="004C0725" w:rsidP="00580D4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Портал российского частного права: www.privlaw.ru</w:t>
      </w:r>
    </w:p>
    <w:p w:rsidR="004C0725" w:rsidRPr="0037032C" w:rsidRDefault="0037032C" w:rsidP="00580D4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Суханов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Е.А.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О понятии и видах вещных прав в российском гражданском праве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//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Журнал российского права. 2006.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37032C">
        <w:rPr>
          <w:rFonts w:ascii="Times New Roman" w:hAnsi="Times New Roman"/>
          <w:color w:val="000000"/>
          <w:sz w:val="28"/>
          <w:szCs w:val="28"/>
        </w:rPr>
        <w:t>1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2.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48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.</w:t>
      </w:r>
    </w:p>
    <w:p w:rsidR="004C0725" w:rsidRPr="0037032C" w:rsidRDefault="0037032C" w:rsidP="00580D4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Гришаев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С.П.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Нежилые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помещения как объекты гражданского права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//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Гражданин и право. 2006.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46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.</w:t>
      </w:r>
    </w:p>
    <w:p w:rsidR="004C0725" w:rsidRPr="0037032C" w:rsidRDefault="0037032C" w:rsidP="00580D4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Лапач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В.А.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Система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объектов гражданских прав: Теория и судебная практика. СПб., 2002.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376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.</w:t>
      </w:r>
    </w:p>
    <w:p w:rsidR="004C0725" w:rsidRPr="0037032C" w:rsidRDefault="0037032C" w:rsidP="00580D4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7032C">
        <w:rPr>
          <w:rFonts w:ascii="Times New Roman" w:hAnsi="Times New Roman"/>
          <w:color w:val="000000"/>
          <w:sz w:val="28"/>
          <w:szCs w:val="28"/>
        </w:rPr>
        <w:t>Суханов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Е.А.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Актуальные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вопросы гражданского права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//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ЭЖ-Юрист. 1999.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37032C">
        <w:rPr>
          <w:rFonts w:ascii="Times New Roman" w:hAnsi="Times New Roman"/>
          <w:color w:val="000000"/>
          <w:sz w:val="28"/>
          <w:szCs w:val="28"/>
        </w:rPr>
        <w:t>4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0.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1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70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2; </w:t>
      </w:r>
      <w:r w:rsidRPr="0037032C">
        <w:rPr>
          <w:rFonts w:ascii="Times New Roman" w:hAnsi="Times New Roman"/>
          <w:color w:val="000000"/>
          <w:sz w:val="28"/>
          <w:szCs w:val="28"/>
        </w:rPr>
        <w:t>Зинченко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С.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, Корх С. Вопросы собственности: законодательство и практика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//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Хозяйство и право. 2000.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37032C">
        <w:rPr>
          <w:rFonts w:ascii="Times New Roman" w:hAnsi="Times New Roman"/>
          <w:color w:val="000000"/>
          <w:sz w:val="28"/>
          <w:szCs w:val="28"/>
        </w:rPr>
        <w:t>6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56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37032C">
        <w:rPr>
          <w:rFonts w:ascii="Times New Roman" w:hAnsi="Times New Roman"/>
          <w:color w:val="000000"/>
          <w:sz w:val="28"/>
          <w:szCs w:val="28"/>
        </w:rPr>
        <w:t>Скловский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К.И.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Некоторые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проблемы права на нежилое помещение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//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Вестник Высшего Арбитражного Суда РФ. 2003.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37032C">
        <w:rPr>
          <w:rFonts w:ascii="Times New Roman" w:hAnsi="Times New Roman"/>
          <w:color w:val="000000"/>
          <w:sz w:val="28"/>
          <w:szCs w:val="28"/>
        </w:rPr>
        <w:t>8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84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37032C">
        <w:rPr>
          <w:rFonts w:ascii="Times New Roman" w:hAnsi="Times New Roman"/>
          <w:color w:val="000000"/>
          <w:sz w:val="28"/>
          <w:szCs w:val="28"/>
        </w:rPr>
        <w:t>Писков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И.П.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Гражданско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>-правовой режим зданий и сооружений: Дис</w:t>
      </w:r>
      <w:r w:rsidR="00EF2869">
        <w:rPr>
          <w:rFonts w:ascii="Times New Roman" w:hAnsi="Times New Roman"/>
          <w:color w:val="000000"/>
          <w:sz w:val="28"/>
          <w:szCs w:val="28"/>
        </w:rPr>
        <w:t>.</w:t>
      </w:r>
      <w:r w:rsidR="004C0725" w:rsidRPr="0037032C">
        <w:rPr>
          <w:rFonts w:ascii="Times New Roman" w:hAnsi="Times New Roman"/>
          <w:color w:val="000000"/>
          <w:sz w:val="28"/>
          <w:szCs w:val="28"/>
        </w:rPr>
        <w:t xml:space="preserve"> канд. юрид. наук. М., 2003.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7032C">
        <w:rPr>
          <w:rFonts w:ascii="Times New Roman" w:hAnsi="Times New Roman"/>
          <w:color w:val="000000"/>
          <w:sz w:val="28"/>
          <w:szCs w:val="28"/>
        </w:rPr>
        <w:t>170</w:t>
      </w:r>
    </w:p>
    <w:p w:rsidR="00AF4EA3" w:rsidRPr="0037032C" w:rsidRDefault="00AF4EA3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37032C" w:rsidRPr="0037032C" w:rsidRDefault="0037032C" w:rsidP="003703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37032C" w:rsidRPr="0037032C" w:rsidSect="0037032C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93" w:rsidRDefault="009B0793" w:rsidP="00AF4EA3">
      <w:pPr>
        <w:spacing w:after="0" w:line="240" w:lineRule="auto"/>
      </w:pPr>
      <w:r>
        <w:separator/>
      </w:r>
    </w:p>
  </w:endnote>
  <w:endnote w:type="continuationSeparator" w:id="0">
    <w:p w:rsidR="009B0793" w:rsidRDefault="009B0793" w:rsidP="00A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93" w:rsidRDefault="009B0793" w:rsidP="00AF4EA3">
      <w:pPr>
        <w:spacing w:after="0" w:line="240" w:lineRule="auto"/>
      </w:pPr>
      <w:r>
        <w:separator/>
      </w:r>
    </w:p>
  </w:footnote>
  <w:footnote w:type="continuationSeparator" w:id="0">
    <w:p w:rsidR="009B0793" w:rsidRDefault="009B0793" w:rsidP="00AF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2C" w:rsidRPr="0037032C" w:rsidRDefault="0037032C" w:rsidP="0037032C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729"/>
    <w:multiLevelType w:val="multilevel"/>
    <w:tmpl w:val="F724DA64"/>
    <w:lvl w:ilvl="0">
      <w:start w:val="2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cs="Times New Roman" w:hint="default"/>
      </w:rPr>
    </w:lvl>
  </w:abstractNum>
  <w:abstractNum w:abstractNumId="1">
    <w:nsid w:val="0F276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4134809"/>
    <w:multiLevelType w:val="hybridMultilevel"/>
    <w:tmpl w:val="EB78E836"/>
    <w:lvl w:ilvl="0" w:tplc="7980B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265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A363DBC"/>
    <w:multiLevelType w:val="hybridMultilevel"/>
    <w:tmpl w:val="36CC89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0D84513"/>
    <w:multiLevelType w:val="hybridMultilevel"/>
    <w:tmpl w:val="09F8C0F8"/>
    <w:lvl w:ilvl="0" w:tplc="F0E067EA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6">
    <w:nsid w:val="27F17D67"/>
    <w:multiLevelType w:val="hybridMultilevel"/>
    <w:tmpl w:val="41E2F6FA"/>
    <w:lvl w:ilvl="0" w:tplc="0419000F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95A210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37B43EEF"/>
    <w:multiLevelType w:val="hybridMultilevel"/>
    <w:tmpl w:val="22BA8EE2"/>
    <w:lvl w:ilvl="0" w:tplc="CE4A62EA">
      <w:start w:val="4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9">
    <w:nsid w:val="3D7611F7"/>
    <w:multiLevelType w:val="hybridMultilevel"/>
    <w:tmpl w:val="CD40A1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DEC48A2"/>
    <w:multiLevelType w:val="hybridMultilevel"/>
    <w:tmpl w:val="02B0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7C0C98"/>
    <w:multiLevelType w:val="hybridMultilevel"/>
    <w:tmpl w:val="C4A6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9A03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998"/>
    <w:rsid w:val="00060803"/>
    <w:rsid w:val="000D620B"/>
    <w:rsid w:val="000E30C4"/>
    <w:rsid w:val="001129B4"/>
    <w:rsid w:val="00181FEB"/>
    <w:rsid w:val="0028277B"/>
    <w:rsid w:val="002F5F41"/>
    <w:rsid w:val="0037032C"/>
    <w:rsid w:val="003A41BC"/>
    <w:rsid w:val="003B120E"/>
    <w:rsid w:val="004261B6"/>
    <w:rsid w:val="004C0725"/>
    <w:rsid w:val="00580D48"/>
    <w:rsid w:val="005E1EDA"/>
    <w:rsid w:val="00605FBA"/>
    <w:rsid w:val="006B284E"/>
    <w:rsid w:val="00702021"/>
    <w:rsid w:val="007D5998"/>
    <w:rsid w:val="008320AB"/>
    <w:rsid w:val="00835791"/>
    <w:rsid w:val="00882395"/>
    <w:rsid w:val="008A75FE"/>
    <w:rsid w:val="008B27C6"/>
    <w:rsid w:val="008C0A02"/>
    <w:rsid w:val="008D7DC8"/>
    <w:rsid w:val="00935122"/>
    <w:rsid w:val="00975B7B"/>
    <w:rsid w:val="009A2485"/>
    <w:rsid w:val="009B0793"/>
    <w:rsid w:val="00AA7D3E"/>
    <w:rsid w:val="00AC0DAA"/>
    <w:rsid w:val="00AF4EA3"/>
    <w:rsid w:val="00B156DD"/>
    <w:rsid w:val="00B32E46"/>
    <w:rsid w:val="00B4721C"/>
    <w:rsid w:val="00BB1700"/>
    <w:rsid w:val="00BB45EB"/>
    <w:rsid w:val="00C517F7"/>
    <w:rsid w:val="00C53E63"/>
    <w:rsid w:val="00C604E1"/>
    <w:rsid w:val="00CA5B9E"/>
    <w:rsid w:val="00D04626"/>
    <w:rsid w:val="00D217C8"/>
    <w:rsid w:val="00DA491E"/>
    <w:rsid w:val="00DC3FED"/>
    <w:rsid w:val="00EB40BC"/>
    <w:rsid w:val="00EF2869"/>
    <w:rsid w:val="00F05084"/>
    <w:rsid w:val="00F50ED4"/>
    <w:rsid w:val="00F64E0B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4BFFAC-9FB4-44E0-90E2-D6ED0418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6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0725"/>
    <w:pPr>
      <w:keepNext/>
      <w:numPr>
        <w:numId w:val="1"/>
      </w:numPr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0725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0725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C0725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C0725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C0725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C0725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C0725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C0725"/>
    <w:pPr>
      <w:numPr>
        <w:ilvl w:val="8"/>
        <w:numId w:val="1"/>
      </w:numPr>
      <w:spacing w:before="240" w:after="60"/>
      <w:outlineLvl w:val="8"/>
    </w:pPr>
    <w:rPr>
      <w:rFonts w:ascii="Cambria" w:eastAsia="Calibri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0725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locked/>
    <w:rsid w:val="004C0725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4C0725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9"/>
    <w:semiHidden/>
    <w:locked/>
    <w:rsid w:val="004C0725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9"/>
    <w:semiHidden/>
    <w:locked/>
    <w:rsid w:val="004C0725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9"/>
    <w:semiHidden/>
    <w:locked/>
    <w:rsid w:val="004C0725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9"/>
    <w:semiHidden/>
    <w:locked/>
    <w:rsid w:val="004C0725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9"/>
    <w:semiHidden/>
    <w:locked/>
    <w:rsid w:val="004C0725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9"/>
    <w:semiHidden/>
    <w:locked/>
    <w:rsid w:val="004C0725"/>
    <w:rPr>
      <w:rFonts w:ascii="Cambria" w:hAnsi="Cambria" w:cs="Times New Roman"/>
      <w:sz w:val="22"/>
      <w:szCs w:val="22"/>
      <w:lang w:val="x-none" w:eastAsia="en-US"/>
    </w:rPr>
  </w:style>
  <w:style w:type="paragraph" w:styleId="a3">
    <w:name w:val="List Paragraph"/>
    <w:basedOn w:val="a"/>
    <w:uiPriority w:val="99"/>
    <w:qFormat/>
    <w:rsid w:val="009351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A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AF4EA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AF4EA3"/>
    <w:rPr>
      <w:rFonts w:cs="Times New Roman"/>
    </w:rPr>
  </w:style>
  <w:style w:type="paragraph" w:styleId="a8">
    <w:name w:val="Body Text Indent"/>
    <w:basedOn w:val="a"/>
    <w:link w:val="a9"/>
    <w:uiPriority w:val="99"/>
    <w:rsid w:val="005E1EDA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E1EDA"/>
    <w:rPr>
      <w:rFonts w:ascii="Times New Roman" w:hAnsi="Times New Roman" w:cs="Times New Roman"/>
      <w:sz w:val="28"/>
    </w:rPr>
  </w:style>
  <w:style w:type="paragraph" w:styleId="aa">
    <w:name w:val="Title"/>
    <w:basedOn w:val="a"/>
    <w:link w:val="ab"/>
    <w:uiPriority w:val="99"/>
    <w:qFormat/>
    <w:rsid w:val="005E1EDA"/>
    <w:pPr>
      <w:spacing w:after="0" w:line="240" w:lineRule="auto"/>
      <w:ind w:left="-540"/>
      <w:jc w:val="center"/>
    </w:pPr>
    <w:rPr>
      <w:rFonts w:ascii="Times New Roman" w:eastAsia="Calibri" w:hAnsi="Times New Roman"/>
      <w:b/>
      <w:smallCaps/>
      <w:sz w:val="24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5E1EDA"/>
    <w:rPr>
      <w:rFonts w:ascii="Times New Roman" w:hAnsi="Times New Roman" w:cs="Times New Roman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26712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Аркадий</dc:creator>
  <cp:keywords/>
  <dc:description/>
  <cp:lastModifiedBy>admin</cp:lastModifiedBy>
  <cp:revision>2</cp:revision>
  <dcterms:created xsi:type="dcterms:W3CDTF">2014-03-24T14:52:00Z</dcterms:created>
  <dcterms:modified xsi:type="dcterms:W3CDTF">2014-03-24T14:52:00Z</dcterms:modified>
</cp:coreProperties>
</file>