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257202507"/>
      <w:r w:rsidRPr="00132E2D">
        <w:rPr>
          <w:rFonts w:ascii="Times New Roman" w:hAnsi="Times New Roman"/>
          <w:sz w:val="28"/>
          <w:szCs w:val="28"/>
        </w:rPr>
        <w:t>Содержание</w:t>
      </w:r>
      <w:bookmarkEnd w:id="0"/>
    </w:p>
    <w:p w:rsidR="00132E2D" w:rsidRPr="00132E2D" w:rsidRDefault="00132E2D" w:rsidP="00132E2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</w:rPr>
      </w:pPr>
      <w:bookmarkStart w:id="1" w:name="_Toc257202508"/>
    </w:p>
    <w:p w:rsidR="00132E2D" w:rsidRPr="00132E2D" w:rsidRDefault="00132E2D" w:rsidP="003D00F0">
      <w:pPr>
        <w:pStyle w:val="1"/>
        <w:keepNext w:val="0"/>
        <w:keepLines w:val="0"/>
        <w:widowControl w:val="0"/>
        <w:spacing w:before="0" w:line="360" w:lineRule="auto"/>
        <w:jc w:val="both"/>
        <w:rPr>
          <w:rFonts w:ascii="Times New Roman" w:hAnsi="Times New Roman"/>
          <w:b w:val="0"/>
        </w:rPr>
      </w:pPr>
      <w:r w:rsidRPr="00132E2D">
        <w:rPr>
          <w:rFonts w:ascii="Times New Roman" w:hAnsi="Times New Roman"/>
          <w:b w:val="0"/>
        </w:rPr>
        <w:t>1. Рынок ин</w:t>
      </w:r>
      <w:r>
        <w:rPr>
          <w:rFonts w:ascii="Times New Roman" w:hAnsi="Times New Roman"/>
          <w:b w:val="0"/>
        </w:rPr>
        <w:t>вестиций: теоретический аспект</w:t>
      </w:r>
    </w:p>
    <w:p w:rsidR="00132E2D" w:rsidRPr="00132E2D" w:rsidRDefault="00132E2D" w:rsidP="003D00F0">
      <w:pPr>
        <w:pStyle w:val="1"/>
        <w:keepNext w:val="0"/>
        <w:keepLines w:val="0"/>
        <w:widowControl w:val="0"/>
        <w:spacing w:before="0" w:line="360" w:lineRule="auto"/>
        <w:jc w:val="both"/>
        <w:rPr>
          <w:rFonts w:ascii="Times New Roman" w:hAnsi="Times New Roman"/>
          <w:b w:val="0"/>
        </w:rPr>
      </w:pPr>
      <w:r w:rsidRPr="00132E2D">
        <w:rPr>
          <w:rFonts w:ascii="Times New Roman" w:hAnsi="Times New Roman"/>
          <w:b w:val="0"/>
        </w:rPr>
        <w:t>1.1</w:t>
      </w:r>
      <w:r>
        <w:rPr>
          <w:rFonts w:ascii="Times New Roman" w:hAnsi="Times New Roman"/>
          <w:b w:val="0"/>
        </w:rPr>
        <w:t xml:space="preserve"> Понятие инвестиционного рынка</w:t>
      </w:r>
    </w:p>
    <w:p w:rsidR="00132E2D" w:rsidRPr="00132E2D" w:rsidRDefault="00132E2D" w:rsidP="003D00F0">
      <w:pPr>
        <w:pStyle w:val="1"/>
        <w:keepNext w:val="0"/>
        <w:keepLines w:val="0"/>
        <w:widowControl w:val="0"/>
        <w:spacing w:before="0" w:line="360" w:lineRule="auto"/>
        <w:jc w:val="both"/>
        <w:rPr>
          <w:rFonts w:ascii="Times New Roman" w:hAnsi="Times New Roman"/>
          <w:b w:val="0"/>
        </w:rPr>
      </w:pPr>
      <w:r w:rsidRPr="00132E2D">
        <w:rPr>
          <w:rFonts w:ascii="Times New Roman" w:hAnsi="Times New Roman"/>
          <w:b w:val="0"/>
        </w:rPr>
        <w:t>1.2 Кон</w:t>
      </w:r>
      <w:r>
        <w:rPr>
          <w:rFonts w:ascii="Times New Roman" w:hAnsi="Times New Roman"/>
          <w:b w:val="0"/>
        </w:rPr>
        <w:t>ъюнктура инвестиционного рынка</w:t>
      </w:r>
    </w:p>
    <w:p w:rsidR="00132E2D" w:rsidRPr="00132E2D" w:rsidRDefault="00132E2D" w:rsidP="003D00F0">
      <w:pPr>
        <w:pStyle w:val="1"/>
        <w:keepNext w:val="0"/>
        <w:keepLines w:val="0"/>
        <w:widowControl w:val="0"/>
        <w:spacing w:before="0" w:line="360" w:lineRule="auto"/>
        <w:jc w:val="both"/>
        <w:rPr>
          <w:rFonts w:ascii="Times New Roman" w:hAnsi="Times New Roman"/>
          <w:b w:val="0"/>
        </w:rPr>
      </w:pPr>
      <w:r w:rsidRPr="00132E2D">
        <w:rPr>
          <w:rFonts w:ascii="Times New Roman" w:hAnsi="Times New Roman"/>
          <w:b w:val="0"/>
        </w:rPr>
        <w:t>2. Ин</w:t>
      </w:r>
      <w:r>
        <w:rPr>
          <w:rFonts w:ascii="Times New Roman" w:hAnsi="Times New Roman"/>
          <w:b w:val="0"/>
        </w:rPr>
        <w:t>вестиционная привлекательность</w:t>
      </w:r>
    </w:p>
    <w:p w:rsidR="00132E2D" w:rsidRPr="00132E2D" w:rsidRDefault="00132E2D" w:rsidP="003D00F0">
      <w:pPr>
        <w:pStyle w:val="1"/>
        <w:keepNext w:val="0"/>
        <w:keepLines w:val="0"/>
        <w:widowControl w:val="0"/>
        <w:spacing w:before="0" w:line="360" w:lineRule="auto"/>
        <w:jc w:val="both"/>
        <w:rPr>
          <w:rFonts w:ascii="Times New Roman" w:hAnsi="Times New Roman"/>
          <w:b w:val="0"/>
        </w:rPr>
      </w:pPr>
      <w:r w:rsidRPr="00132E2D">
        <w:rPr>
          <w:rFonts w:ascii="Times New Roman" w:hAnsi="Times New Roman"/>
          <w:b w:val="0"/>
        </w:rPr>
        <w:t xml:space="preserve">3. Оценка </w:t>
      </w:r>
      <w:r>
        <w:rPr>
          <w:rFonts w:ascii="Times New Roman" w:hAnsi="Times New Roman"/>
          <w:b w:val="0"/>
        </w:rPr>
        <w:t>инвестиционного рынка Украины</w:t>
      </w:r>
    </w:p>
    <w:p w:rsidR="00132E2D" w:rsidRPr="00132E2D" w:rsidRDefault="00132E2D" w:rsidP="003D00F0">
      <w:pPr>
        <w:pStyle w:val="1"/>
        <w:keepNext w:val="0"/>
        <w:keepLines w:val="0"/>
        <w:widowControl w:val="0"/>
        <w:spacing w:before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Задача</w:t>
      </w:r>
    </w:p>
    <w:p w:rsidR="00132E2D" w:rsidRPr="00132E2D" w:rsidRDefault="00132E2D" w:rsidP="003D00F0">
      <w:pPr>
        <w:pStyle w:val="1"/>
        <w:keepNext w:val="0"/>
        <w:keepLines w:val="0"/>
        <w:widowControl w:val="0"/>
        <w:spacing w:before="0" w:line="360" w:lineRule="auto"/>
        <w:jc w:val="both"/>
        <w:rPr>
          <w:rFonts w:ascii="Times New Roman" w:hAnsi="Times New Roman"/>
          <w:b w:val="0"/>
        </w:rPr>
      </w:pPr>
      <w:r w:rsidRPr="00132E2D">
        <w:rPr>
          <w:rFonts w:ascii="Times New Roman" w:hAnsi="Times New Roman"/>
          <w:b w:val="0"/>
        </w:rPr>
        <w:t>Спи</w:t>
      </w:r>
      <w:r>
        <w:rPr>
          <w:rFonts w:ascii="Times New Roman" w:hAnsi="Times New Roman"/>
          <w:b w:val="0"/>
        </w:rPr>
        <w:t>сок использованной литературы</w:t>
      </w:r>
    </w:p>
    <w:p w:rsidR="00132E2D" w:rsidRPr="00132E2D" w:rsidRDefault="00132E2D" w:rsidP="003D00F0">
      <w:pPr>
        <w:pStyle w:val="1"/>
        <w:keepNext w:val="0"/>
        <w:keepLines w:val="0"/>
        <w:widowControl w:val="0"/>
        <w:spacing w:before="0" w:line="360" w:lineRule="auto"/>
        <w:jc w:val="both"/>
        <w:rPr>
          <w:rFonts w:ascii="Times New Roman" w:hAnsi="Times New Roman"/>
          <w:b w:val="0"/>
        </w:rPr>
      </w:pPr>
    </w:p>
    <w:p w:rsidR="00132E2D" w:rsidRPr="003A2B14" w:rsidRDefault="00132E2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:rsidR="005107FF" w:rsidRPr="00132E2D" w:rsidRDefault="005107FF" w:rsidP="00132E2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</w:rPr>
      </w:pPr>
      <w:r w:rsidRPr="00132E2D">
        <w:rPr>
          <w:rFonts w:ascii="Times New Roman" w:hAnsi="Times New Roman"/>
          <w:b w:val="0"/>
        </w:rPr>
        <w:t>1. Рынок инвестиций: теоретический аспект</w:t>
      </w:r>
      <w:bookmarkEnd w:id="1"/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7FF" w:rsidRPr="00132E2D" w:rsidRDefault="005107FF" w:rsidP="00132E2D">
      <w:pPr>
        <w:pStyle w:val="2"/>
        <w:widowControl w:val="0"/>
        <w:spacing w:after="0"/>
        <w:ind w:firstLine="709"/>
        <w:jc w:val="both"/>
        <w:rPr>
          <w:color w:val="auto"/>
          <w:szCs w:val="36"/>
        </w:rPr>
      </w:pPr>
      <w:bookmarkStart w:id="2" w:name="_Toc257202509"/>
      <w:r w:rsidRPr="00132E2D">
        <w:rPr>
          <w:color w:val="auto"/>
        </w:rPr>
        <w:t>1.1 Понятие инвестиционного рынка</w:t>
      </w:r>
      <w:bookmarkEnd w:id="2"/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Инвестиционная деятельность неразрывно связана с оценкой состояния и прогнозированием развития рынка инвестиций.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Рынок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механизм соединения производителя и потребителя, которые вступают во взаимные контакты и совершают обменные сделки. 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Инвестиционный рынок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совокупность экономических отношений между продавцами и покупателями объектов инвестирования во всех его формах.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Основными элементами инвестиционного рынка служат: спрос, предложение и цена.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Главной движущей силой развития инвестиционного рынка является конкуренция.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К субъектам инвестиционного рынка относятся: государство, территории, хозяйственные предприятия, учреждения и организации, внеэкономические учреждения, домашние хозяйства.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Цивилизованный инвестиционный рынок выводит страну на материальное благополучие, вовлекает в кругооборот максимальное количество предпринимательского капитала, предусматривает наличие достаточного объёма платежеспособного спроса на объекты инвестирования и множество возможностей эффективно вкладывать свои деньги.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Прямые капитальные вложения были и остаются наиболее значимым сегментом инвестиционного рынка. Формой инвестирования здесь являются капиталовложения в новое строительство, расширение, модернизацию и техническое перевооружение хозяйствующих объектов.</w:t>
      </w:r>
    </w:p>
    <w:p w:rsidR="005107FF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Объекты приватизации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те, которые продаются на аукционах, по конкурсу или полностью выкупаются трудовыми коллективами.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Недвижимость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самостоятельный элемент инвестиционного рынка. Уже сейчас на рынке недвижимости осуществляется ощутимый объём операций по купле-продаже зданий, помещений, сооружений, квартир, офисов, дач и т.п. В перспективе этот рынок резко расширится за счёт включения в оборот земельных участков.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Прочие объекты реального инвестирования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различные предметы коллекционирования (художественные произведения, антиквариат, нумизматические ценности и т.д.), драгоценные металлы и камни.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Объекты фондового рынка - ценные бумаги (облигации, акции, опционы, фьючерсы и пр.).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Объекты денежного рынка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депозитные вклады (срочные и до востребования), свободно конвертируемая валюта (доллары, евро и др.).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Степень активности инвестиционного рынка определяется путём изучения рыночной конъюнктуры.</w:t>
      </w:r>
    </w:p>
    <w:p w:rsidR="00132E2D" w:rsidRDefault="00132E2D" w:rsidP="00132E2D">
      <w:pPr>
        <w:pStyle w:val="2"/>
        <w:widowControl w:val="0"/>
        <w:spacing w:after="0"/>
        <w:ind w:firstLine="709"/>
        <w:jc w:val="both"/>
        <w:rPr>
          <w:color w:val="auto"/>
        </w:rPr>
      </w:pPr>
      <w:bookmarkStart w:id="3" w:name="_Toc257202510"/>
    </w:p>
    <w:p w:rsidR="005107FF" w:rsidRPr="00132E2D" w:rsidRDefault="005107FF" w:rsidP="00132E2D">
      <w:pPr>
        <w:pStyle w:val="2"/>
        <w:widowControl w:val="0"/>
        <w:spacing w:after="0"/>
        <w:ind w:firstLine="709"/>
        <w:jc w:val="both"/>
        <w:rPr>
          <w:snapToGrid w:val="0"/>
          <w:color w:val="auto"/>
        </w:rPr>
      </w:pPr>
      <w:r w:rsidRPr="00132E2D">
        <w:rPr>
          <w:color w:val="auto"/>
        </w:rPr>
        <w:t>1.2 Конъюнктура инвестиционного рынка</w:t>
      </w:r>
      <w:bookmarkEnd w:id="3"/>
    </w:p>
    <w:p w:rsidR="00132E2D" w:rsidRDefault="00132E2D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Рыночная конъюнктура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форма проявления на инвестиционном рынке факторов и условий, определяющих соотношение спроса, предложения и цен на объекты инвестирования.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Конъюнктура инвестиционного рынка характеризуется четырьмя стадиями: 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Подъём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повышение активности инвестиционного рынка в связи с оживлением экономики в целом. Проявление подъёма конъюнктуры характеризуется ростом объёма спроса и цен на объекты инвестирования, усилением конкуренции среди инвестиционных посредников.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Бум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резкое увеличение спроса на объекты и товары инвестирования, которых катастрофически не хватает. Одновременно конъюнктурный бум сопровождается повышением доходов инвесторов и инвестиционных посредников.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Ослабление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снижение инвестиционной активности из-за сокращения производства. На этой стадии происходит насыщение спроса и падение цен на объекты инвестирования, уменьшаются доходы инвесторов и инвестиционных посредников.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Спад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наиболее неблагоприятный с позиций инвестирования период функционирования рынка. Инвестиционная деятельность здесь становится убыточной, а доходы инвесторов и инвестиционных посредников доходят до минимума.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Изучение конъюнктуры инвестиционного рынка предусматривает: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а) текущее наблюдение за инвестиционной активностью, в первую очередь, в тех сегментах рынка, куда вкладываются средства;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б) анализ текущей конъюнктуры инвестиционного рынка и выявление тенденций её современного развития;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в) прогнозирование конъюнктуры инвестиционного рынка для выбора основных направлений стратегии вложения средств и формирования инвестиционного портфеля.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В процессе исследования инвестиционного рынка и анализа макроэкономических показателей его развития особое внимание уделяется состоянию экономического развития страны. Рыночная экономика с определённой периодичностью проходит четыре фазы: кризис, депрессию, оживление и подъём.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Кризис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фаза циклического развития экономики, оказывающая существенное влияние на длительные колебания конъюнктуры инвестиционного рынка. Первые признаки наступающего кризиса в экономике непременно проявляются в инвестиционной сфере. Сужение объёмов производства вынуждает производителей сокращать объёмы инвестиций. При этом ослабляется конъюнктура инвестиционного рынка.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Депрессия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застой в экономике, ведущий к частичной или полной остановке производства многих видов продукции. Эта фаза экономического цикла характеризуется наиболее резким конъюнктурным спадом на инвестиционном рынке.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Оживление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фаза экономического развития, сопровождающаяся увеличением спроса на инвестиционные товары, способствующая обновлению основного капитала, создающая необходимые предпосылки для роста реальных инвестиций. Постепенно восстанавливается предкризисный объём вкладываемых средств в экономику и начинается повышение конъюнктуры инвестиционного рынка.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Подъём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наиболее благоприятная фаза экономического развития, когда широко внедряется новейшее </w:t>
      </w:r>
      <w:r w:rsidRPr="00132E2D">
        <w:rPr>
          <w:rFonts w:ascii="Times New Roman" w:hAnsi="Times New Roman"/>
          <w:sz w:val="28"/>
          <w:szCs w:val="28"/>
        </w:rPr>
        <w:t>оборудование, осваиваются передовые технологии, активизируется инвестиционная деятельность и появляется бум на рынке инвестиций.</w:t>
      </w:r>
    </w:p>
    <w:p w:rsidR="00132E2D" w:rsidRDefault="00132E2D" w:rsidP="00132E2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snapToGrid w:val="0"/>
        </w:rPr>
      </w:pPr>
      <w:bookmarkStart w:id="4" w:name="_Toc257202511"/>
    </w:p>
    <w:p w:rsidR="00132E2D" w:rsidRPr="003A2B14" w:rsidRDefault="00132E2D">
      <w:pPr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</w:rPr>
        <w:br w:type="page"/>
      </w:r>
    </w:p>
    <w:p w:rsidR="005107FF" w:rsidRPr="00132E2D" w:rsidRDefault="005107FF" w:rsidP="00132E2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snapToGrid w:val="0"/>
          <w:lang w:val="uk-UA"/>
        </w:rPr>
      </w:pPr>
      <w:r w:rsidRPr="00132E2D">
        <w:rPr>
          <w:rFonts w:ascii="Times New Roman" w:hAnsi="Times New Roman"/>
          <w:b w:val="0"/>
          <w:snapToGrid w:val="0"/>
        </w:rPr>
        <w:t>2. Инвестиционная привлекательность</w:t>
      </w:r>
      <w:bookmarkEnd w:id="4"/>
    </w:p>
    <w:p w:rsidR="00132E2D" w:rsidRDefault="00132E2D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Инвестиционная привлекательность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интегральная характеристика, достаточная социально-экономическая, организационно-правовая, нравственно-психологическая и общественно-политическая заинтересованность субъекта инвестиционной деятельности вкладывать свои средства в тот или иной объект.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iCs/>
          <w:snapToGrid w:val="0"/>
          <w:sz w:val="28"/>
          <w:szCs w:val="28"/>
        </w:rPr>
        <w:t>Инвестиционная привлекательность страны</w:t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определяется состоянием сложившегося инвестиционного климата, позитивно или негативно влияющего на инвесторов. Благоприятный инвестиционный климат внутри страны устанавливается при доверительном отношении юридических и физических лиц к государству, а за рубежом оценивается рейтингом, определяемым международными агентствами с помощью специальных методик расчёта, учитывающих существующий потенциал развития и возможные риски для инвесторов.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На инвестиционный климат страны оказывают влияние:</w:t>
      </w:r>
    </w:p>
    <w:p w:rsidR="005107FF" w:rsidRPr="00132E2D" w:rsidRDefault="005107FF" w:rsidP="00132E2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политическая стабильность;</w:t>
      </w:r>
    </w:p>
    <w:p w:rsidR="005107FF" w:rsidRPr="00132E2D" w:rsidRDefault="005107FF" w:rsidP="00132E2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развитость рыночных отношений; </w:t>
      </w:r>
    </w:p>
    <w:p w:rsidR="005107FF" w:rsidRPr="00132E2D" w:rsidRDefault="005107FF" w:rsidP="00132E2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законодательная база;</w:t>
      </w:r>
    </w:p>
    <w:p w:rsidR="005107FF" w:rsidRPr="00132E2D" w:rsidRDefault="005107FF" w:rsidP="00132E2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природные ресурсы;</w:t>
      </w:r>
    </w:p>
    <w:p w:rsidR="005107FF" w:rsidRPr="00132E2D" w:rsidRDefault="005107FF" w:rsidP="00132E2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квалификация персонала;</w:t>
      </w:r>
    </w:p>
    <w:p w:rsidR="005107FF" w:rsidRPr="00132E2D" w:rsidRDefault="005107FF" w:rsidP="00132E2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цена рабочей силы;</w:t>
      </w:r>
    </w:p>
    <w:p w:rsidR="005107FF" w:rsidRPr="00132E2D" w:rsidRDefault="005107FF" w:rsidP="00132E2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ёмкость внутреннего рынка. 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iCs/>
          <w:snapToGrid w:val="0"/>
          <w:sz w:val="28"/>
          <w:szCs w:val="28"/>
        </w:rPr>
        <w:t>Инвестиционная привлекательность отраслей</w:t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общая характеристика отраслей экономики с позиций перспективности развития, доходности инвестиций и уровня инвестиционных рисков.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Оценка и прогнозирование инвестиционной привлекательности отраслей экономики осуществляется по трём группам показателей: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а) степени перспективности развития;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б) уровню прибыльности;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в) характеру присущих отрасли инвестиционных рисков.</w:t>
      </w:r>
    </w:p>
    <w:p w:rsidR="00CD3DD9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Каждая из отраслей экономики должна иметь свой приоритет с точки зрения вложения средств, с учётом которого и должна строиться эффективная инвестиционная политика государства по их поддержке и развитию.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Наибольший интерес у зарубежных инвесторов в Украине сейчас вызывают следующие отрасли:</w:t>
      </w:r>
    </w:p>
    <w:p w:rsidR="005107FF" w:rsidRPr="00132E2D" w:rsidRDefault="005107FF" w:rsidP="00132E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туристическая;</w:t>
      </w:r>
    </w:p>
    <w:p w:rsidR="005107FF" w:rsidRPr="00132E2D" w:rsidRDefault="005107FF" w:rsidP="00132E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рекреационная;</w:t>
      </w:r>
    </w:p>
    <w:p w:rsidR="005107FF" w:rsidRPr="00132E2D" w:rsidRDefault="005107FF" w:rsidP="00132E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алюминиевая;</w:t>
      </w:r>
    </w:p>
    <w:p w:rsidR="005107FF" w:rsidRPr="00132E2D" w:rsidRDefault="005107FF" w:rsidP="00132E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связь;</w:t>
      </w:r>
    </w:p>
    <w:p w:rsidR="005107FF" w:rsidRPr="00132E2D" w:rsidRDefault="005107FF" w:rsidP="00132E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химическая;</w:t>
      </w:r>
    </w:p>
    <w:p w:rsidR="005107FF" w:rsidRPr="00132E2D" w:rsidRDefault="005107FF" w:rsidP="00132E2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 пищевая.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 xml:space="preserve">В условиях, проводимых в Украине реформ смена стадий жизненного цикла различных отраслей тесно связана с реструктуризацией экономики </w:t>
      </w:r>
      <w:r w:rsidRPr="00132E2D">
        <w:rPr>
          <w:rFonts w:ascii="Times New Roman" w:hAnsi="Times New Roman"/>
          <w:snapToGrid w:val="0"/>
          <w:sz w:val="28"/>
          <w:szCs w:val="28"/>
        </w:rPr>
        <w:sym w:font="Symbol" w:char="F02D"/>
      </w:r>
      <w:r w:rsidRPr="00132E2D">
        <w:rPr>
          <w:rFonts w:ascii="Times New Roman" w:hAnsi="Times New Roman"/>
          <w:snapToGrid w:val="0"/>
          <w:sz w:val="28"/>
          <w:szCs w:val="28"/>
        </w:rPr>
        <w:t xml:space="preserve"> резким снижением доли добывающей промышленности и существенным возрастанием числа современных перерабатывающих производств и обслуживающих предприятий.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Структурная перестройка отраслей должна обеспечить их эффективное функционирование, конкурентоспособность и вхождение на правах равноправных партнёров в мировое (общеевропейское) разделение труда.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Инвестиционная привлекательность региона - совокупная характеристика отдельных территорий страны с точки зрения инвестиционного климата, уровня развития инвестиционной инфраструктуры, возможностей привлечения финансовых ресурсов, существенно влияющих на формирование доходности вкладываемых средств и инвестиционных рисков.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Любой инвестиционный проект имеет конкретную направленность и с наибольшей эффективностью может быть реализован в тех регионах, где для этого имеются наиболее благоприятные условия. Поэтому анализ инвестиционной привлекательности регионов имеет большое значение и должен быть увязан с государственной региональной политикой. Целью такой политики служит обеспечение быстрого и качественного развития регионов с учётом рационального использования разнообразных экономических возможностей каждого из них, оптимальной интеграции, территориального разделения труда и взаимной экономической кооперации. Реализация подобных задач предполагает успешную государственную и частную инвестиционную деятельность.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Анализ инвестиционной привлекательности регионов проводится по следующим показателям: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а) уровень общеэкономического развития (доля региона в валовом внутреннем продукте и национальном доходе, объём произведённой промышленной продукции на душу населения, самообеспеченность продуктами питания, средняя заработная плата работников и др.);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б) степень развития инвестиционной инфраструктуры (наличие строительных организаций, энергетических ресурсов, транспортных сообщений и пр.);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в) демографическая ситуация (удельный вес жителей, доля городского и сельского населения, квалификация работников и т.д.);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г) развитие рыночных отношений и коммерческой деятельности (число приватизированных предприятий, количество банковских учреждений, страховых компаний и т.п.);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д) возможные криминогенные, экологические и другие риски (уровень преступности, наличие предприятий с вредными выбросами, радиационный фон и тому подобное).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32E2D">
        <w:rPr>
          <w:rFonts w:ascii="Times New Roman" w:hAnsi="Times New Roman"/>
          <w:snapToGrid w:val="0"/>
          <w:sz w:val="28"/>
          <w:szCs w:val="28"/>
        </w:rPr>
        <w:t>Вышеназванные показатели являются частными, включающими в себя совокупность единичных аналитических показателей, объединяемых вместе с помощью коэффициентов весомости (значимости).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E2D" w:rsidRPr="003A2B14" w:rsidRDefault="00132E2D">
      <w:pPr>
        <w:rPr>
          <w:rFonts w:ascii="Times New Roman" w:hAnsi="Times New Roman"/>
          <w:bCs/>
          <w:sz w:val="28"/>
          <w:szCs w:val="28"/>
        </w:rPr>
      </w:pPr>
      <w:bookmarkStart w:id="5" w:name="_Toc257202512"/>
      <w:r>
        <w:rPr>
          <w:rFonts w:ascii="Times New Roman" w:hAnsi="Times New Roman"/>
          <w:b/>
        </w:rPr>
        <w:br w:type="page"/>
      </w:r>
    </w:p>
    <w:p w:rsidR="00CD3DD9" w:rsidRPr="00132E2D" w:rsidRDefault="00CD3DD9" w:rsidP="00132E2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lang w:val="uk-UA"/>
        </w:rPr>
      </w:pPr>
      <w:r w:rsidRPr="00132E2D">
        <w:rPr>
          <w:rFonts w:ascii="Times New Roman" w:hAnsi="Times New Roman"/>
          <w:b w:val="0"/>
        </w:rPr>
        <w:t>3. Оценка</w:t>
      </w:r>
      <w:r w:rsidR="00132E2D">
        <w:rPr>
          <w:rFonts w:ascii="Times New Roman" w:hAnsi="Times New Roman"/>
          <w:b w:val="0"/>
        </w:rPr>
        <w:t xml:space="preserve"> </w:t>
      </w:r>
      <w:r w:rsidRPr="00132E2D">
        <w:rPr>
          <w:rFonts w:ascii="Times New Roman" w:hAnsi="Times New Roman"/>
          <w:b w:val="0"/>
        </w:rPr>
        <w:t>инвестиционного рынка Украины</w:t>
      </w:r>
      <w:bookmarkEnd w:id="5"/>
    </w:p>
    <w:p w:rsidR="00132E2D" w:rsidRDefault="00132E2D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Сегодня от эффективности инвестиционной политики зависят состояние производства, положение и уровень технической оснащенности основных фондов предприятий народного хозяйства, возможности структурной перестройки экономики, решение социальных и экологических проблем. Инвестиции являются основой для развития предприятий, отдельных отраслей и экономики в целом. Во время экономического кризиса инвестиционная деятельность в Украине значительно снизился спрос на инвестиции падал значительно быстрее чем производство валового продукта. Одной из причин этого, было то что инфляция значительно обесценивала инвестиционные средства. На протяжении последних лет,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уменьшается часть долгосрочных кредитов, предоставленных субъектам хозяйствования всех форм собственности в общем объеме кредитов в экономике страны. Это свидетельствует об отсутствии у коммерческих банков экономических стимулов кредитования производственных инвестиций, наличии повышенного риска при предоставлении таких кредитов и отягощении кредитных портфелей банков директивными кредитами, своевременное возвращение которых проблематично. Большие кредитные ресурсы банков оттягиваются также на рынок облигаций внутреннего государственного займа (ОВГЗ), где проценты более привлекательны по сравнению с кредитами для инвестиционных проектов.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Сейчас в процессе продажи, кроме средних и малых предприятий, находятся около 300 больших предприятий с основным капиталом более 100 млн. долларов США. Среди них есть достаточно привлекательные, с инвестиционной точки зрения, объекты. Например, нефтеперерабатывающие предприятия, добывающие нефтегазовые, электрогенерирующие и снабжающие компании, предприятия черной и цветной металлургии, машиностроения и других отраслей промышленности.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Приоритетными направлениями для привлечения и поддержки стратегических инвесторов могут быть определены те, где Украина имеет традиционные производства, владеет необходимым ресурсным потенциалом и формирует значительную потребность рынка в соответствующей продукции, а именно: производство легковых и грузовых автомобилей; тракторо- и комбайностроение; авиа- и ракетостроение; судостроение; замкнутый цикл производства топлива для АЭС; развитие энергогенерирующих мощностей; нефтегазодобыча, в частности на Черноморском шельфе; внедрение ресурсо- и энергосберегающих технологий; переработка сельхозпродукции; транспортная инфраструктура.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Современные условия экономического развития требуют проведения активной политики по привлечению прямых иностранных инвестиций. В Украине создана законодательная база в сфере регулирования инвестиционной деятельности, которая постепенно совершенствуется с целью достижения большего притока иностранных инвестиций и повышения эффективности их использования.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В частности, иностранные инвестиции в Украине не подлежат национализации. Государственные органы не имеют права реквизировать иностранные инвестиции, за исключением случаев осуществления чрезвычайных мер при стихийных бедствиях, авариях, эпидемиях, эпизоотиях. При этом зарубежному инвестору гарантируется адекватная и эффективная компенсация.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Положительно влияет на привлечение иностранных инвестиций сотрудничество и помощь Украине со стороны Международного валютного фонда и других международных организаций.</w:t>
      </w:r>
    </w:p>
    <w:p w:rsidR="005107FF" w:rsidRPr="00132E2D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 xml:space="preserve">Зарубежные инвесторы проявили наибольший интерес к таким отраслям народного хозяйства как пищевая промышленность; внутренняя торговля; машиностроение и </w:t>
      </w:r>
      <w:r w:rsidR="007B0425" w:rsidRPr="00132E2D">
        <w:rPr>
          <w:rFonts w:ascii="Times New Roman" w:hAnsi="Times New Roman"/>
          <w:sz w:val="28"/>
          <w:szCs w:val="28"/>
        </w:rPr>
        <w:t>металлообработка</w:t>
      </w:r>
      <w:r w:rsidRPr="00132E2D">
        <w:rPr>
          <w:rFonts w:ascii="Times New Roman" w:hAnsi="Times New Roman"/>
          <w:sz w:val="28"/>
          <w:szCs w:val="28"/>
        </w:rPr>
        <w:t>; финансы и кредит; строительство и промышленность строительных материалов; химическая и нефтехимическая промышленность.</w:t>
      </w:r>
    </w:p>
    <w:p w:rsidR="008D665C" w:rsidRDefault="005107FF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Общая потребность экономики Украины (прогнозируемая) составляет более 40 млрд. долл. В инвестициях нуждаются практически все отрасли эконом</w:t>
      </w:r>
      <w:r w:rsidR="008D665C" w:rsidRPr="00132E2D">
        <w:rPr>
          <w:rFonts w:ascii="Times New Roman" w:hAnsi="Times New Roman"/>
          <w:sz w:val="28"/>
          <w:szCs w:val="28"/>
        </w:rPr>
        <w:t>ики: металлургия, машиностроение, транспорт</w:t>
      </w:r>
      <w:r w:rsidRPr="00132E2D">
        <w:rPr>
          <w:rFonts w:ascii="Times New Roman" w:hAnsi="Times New Roman"/>
          <w:sz w:val="28"/>
          <w:szCs w:val="28"/>
        </w:rPr>
        <w:t>, хим</w:t>
      </w:r>
      <w:r w:rsidR="008D665C" w:rsidRPr="00132E2D">
        <w:rPr>
          <w:rFonts w:ascii="Times New Roman" w:hAnsi="Times New Roman"/>
          <w:sz w:val="28"/>
          <w:szCs w:val="28"/>
        </w:rPr>
        <w:t>ия и нефтехимия</w:t>
      </w:r>
      <w:r w:rsidRPr="00132E2D">
        <w:rPr>
          <w:rFonts w:ascii="Times New Roman" w:hAnsi="Times New Roman"/>
          <w:sz w:val="28"/>
          <w:szCs w:val="28"/>
        </w:rPr>
        <w:t>.</w:t>
      </w:r>
    </w:p>
    <w:p w:rsidR="00132E2D" w:rsidRPr="00132E2D" w:rsidRDefault="00132E2D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65C" w:rsidRPr="00132E2D" w:rsidRDefault="008D665C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br w:type="page"/>
      </w:r>
    </w:p>
    <w:p w:rsidR="005107FF" w:rsidRPr="00132E2D" w:rsidRDefault="008D665C" w:rsidP="00132E2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</w:rPr>
      </w:pPr>
      <w:bookmarkStart w:id="6" w:name="_Toc257202513"/>
      <w:r w:rsidRPr="00132E2D">
        <w:rPr>
          <w:rFonts w:ascii="Times New Roman" w:hAnsi="Times New Roman"/>
          <w:b w:val="0"/>
        </w:rPr>
        <w:t>Задача</w:t>
      </w:r>
      <w:bookmarkEnd w:id="6"/>
    </w:p>
    <w:p w:rsidR="00132E2D" w:rsidRDefault="00132E2D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65C" w:rsidRPr="00132E2D" w:rsidRDefault="008D665C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Банк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выплачивает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11% годовых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по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депозитному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вкладу. Определите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наращенную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сумму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если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начальная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сумма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вклада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1000 у.д.е., период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инвестирования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6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лет,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начисление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по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сложным</w:t>
      </w:r>
      <w:r w:rsidR="00132E2D">
        <w:rPr>
          <w:rFonts w:ascii="Times New Roman" w:hAnsi="Times New Roman"/>
          <w:sz w:val="28"/>
          <w:szCs w:val="28"/>
        </w:rPr>
        <w:t xml:space="preserve"> </w:t>
      </w:r>
      <w:r w:rsidRPr="00132E2D">
        <w:rPr>
          <w:rFonts w:ascii="Times New Roman" w:hAnsi="Times New Roman"/>
          <w:sz w:val="28"/>
          <w:szCs w:val="28"/>
        </w:rPr>
        <w:t>процентам.</w:t>
      </w:r>
    </w:p>
    <w:p w:rsidR="008D665C" w:rsidRPr="00132E2D" w:rsidRDefault="008D665C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65C" w:rsidRPr="00132E2D" w:rsidRDefault="008D665C" w:rsidP="00132E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Решение</w:t>
      </w:r>
    </w:p>
    <w:p w:rsidR="00132E2D" w:rsidRDefault="00132E2D" w:rsidP="00132E2D">
      <w:pPr>
        <w:pStyle w:val="a7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665C" w:rsidRPr="00132E2D" w:rsidRDefault="002C17C8" w:rsidP="00132E2D">
      <w:pPr>
        <w:pStyle w:val="a7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  <w:lang w:val="en-US"/>
        </w:rPr>
        <w:t>S</w:t>
      </w:r>
      <w:r w:rsidRPr="00132E2D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132E2D">
        <w:rPr>
          <w:rFonts w:ascii="Times New Roman" w:hAnsi="Times New Roman"/>
          <w:sz w:val="28"/>
          <w:szCs w:val="28"/>
        </w:rPr>
        <w:t>=</w:t>
      </w:r>
      <w:r w:rsidRPr="00132E2D">
        <w:rPr>
          <w:rFonts w:ascii="Times New Roman" w:hAnsi="Times New Roman"/>
          <w:sz w:val="28"/>
          <w:szCs w:val="28"/>
          <w:lang w:val="en-US"/>
        </w:rPr>
        <w:t>P</w:t>
      </w:r>
      <w:r w:rsidRPr="00132E2D">
        <w:rPr>
          <w:rFonts w:ascii="Times New Roman" w:hAnsi="Times New Roman"/>
          <w:sz w:val="28"/>
          <w:szCs w:val="28"/>
        </w:rPr>
        <w:t xml:space="preserve"> (1+</w:t>
      </w:r>
      <w:r w:rsidRPr="00132E2D">
        <w:rPr>
          <w:rFonts w:ascii="Times New Roman" w:hAnsi="Times New Roman"/>
          <w:sz w:val="28"/>
          <w:szCs w:val="28"/>
          <w:lang w:val="en-US"/>
        </w:rPr>
        <w:t>i</w:t>
      </w:r>
      <w:r w:rsidRPr="00132E2D">
        <w:rPr>
          <w:rFonts w:ascii="Times New Roman" w:hAnsi="Times New Roman"/>
          <w:sz w:val="28"/>
          <w:szCs w:val="28"/>
        </w:rPr>
        <w:t>)</w:t>
      </w:r>
      <w:r w:rsidRPr="00132E2D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132E2D">
        <w:rPr>
          <w:rFonts w:ascii="Times New Roman" w:hAnsi="Times New Roman"/>
          <w:sz w:val="28"/>
          <w:szCs w:val="28"/>
        </w:rPr>
        <w:t>=1000*(1+0.11)</w:t>
      </w:r>
      <w:r w:rsidRPr="00132E2D">
        <w:rPr>
          <w:rFonts w:ascii="Times New Roman" w:hAnsi="Times New Roman"/>
          <w:sz w:val="28"/>
          <w:szCs w:val="28"/>
          <w:vertAlign w:val="superscript"/>
        </w:rPr>
        <w:t>6</w:t>
      </w:r>
      <w:r w:rsidRPr="00132E2D">
        <w:rPr>
          <w:rFonts w:ascii="Times New Roman" w:hAnsi="Times New Roman"/>
          <w:sz w:val="28"/>
          <w:szCs w:val="28"/>
        </w:rPr>
        <w:t>=1870.41( у.д.е.)</w:t>
      </w:r>
    </w:p>
    <w:p w:rsidR="00132E2D" w:rsidRDefault="00132E2D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7C8" w:rsidRPr="00132E2D" w:rsidRDefault="002C17C8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  <w:lang w:val="en-US"/>
        </w:rPr>
        <w:t>S</w:t>
      </w:r>
      <w:r w:rsidRPr="00132E2D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132E2D">
        <w:rPr>
          <w:rFonts w:ascii="Times New Roman" w:hAnsi="Times New Roman"/>
          <w:sz w:val="28"/>
          <w:szCs w:val="28"/>
        </w:rPr>
        <w:t xml:space="preserve"> – будущая стоимость денег,</w:t>
      </w:r>
    </w:p>
    <w:p w:rsidR="002C17C8" w:rsidRPr="00132E2D" w:rsidRDefault="002C17C8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  <w:lang w:val="en-US"/>
        </w:rPr>
        <w:t>P</w:t>
      </w:r>
      <w:r w:rsidRPr="00132E2D">
        <w:rPr>
          <w:rFonts w:ascii="Times New Roman" w:hAnsi="Times New Roman"/>
          <w:sz w:val="28"/>
          <w:szCs w:val="28"/>
        </w:rPr>
        <w:t xml:space="preserve"> – первоначальная стоимость денег, </w:t>
      </w:r>
    </w:p>
    <w:p w:rsidR="002C17C8" w:rsidRPr="00132E2D" w:rsidRDefault="002C17C8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  <w:lang w:val="en-US"/>
        </w:rPr>
        <w:t>i</w:t>
      </w:r>
      <w:r w:rsidRPr="00132E2D">
        <w:rPr>
          <w:rFonts w:ascii="Times New Roman" w:hAnsi="Times New Roman"/>
          <w:sz w:val="28"/>
          <w:szCs w:val="28"/>
        </w:rPr>
        <w:t xml:space="preserve"> – процентная ставка</w:t>
      </w:r>
      <w:r w:rsidR="009E1435" w:rsidRPr="00132E2D">
        <w:rPr>
          <w:rFonts w:ascii="Times New Roman" w:hAnsi="Times New Roman"/>
          <w:sz w:val="28"/>
          <w:szCs w:val="28"/>
        </w:rPr>
        <w:t>,</w:t>
      </w:r>
    </w:p>
    <w:p w:rsidR="009E1435" w:rsidRPr="00132E2D" w:rsidRDefault="009E1435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  <w:lang w:val="en-US"/>
        </w:rPr>
        <w:t>n</w:t>
      </w:r>
      <w:r w:rsidRPr="00132E2D">
        <w:rPr>
          <w:rFonts w:ascii="Times New Roman" w:hAnsi="Times New Roman"/>
          <w:sz w:val="28"/>
          <w:szCs w:val="28"/>
        </w:rPr>
        <w:t xml:space="preserve"> – количество интервалов в общем периоде начисления.</w:t>
      </w:r>
    </w:p>
    <w:p w:rsidR="00132E2D" w:rsidRDefault="00132E2D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435" w:rsidRPr="00132E2D" w:rsidRDefault="009E1435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Ответ: Наращенная сумма по сложным процентам за 6 лет составит 1870,41 условных денежных единиц.</w:t>
      </w:r>
    </w:p>
    <w:p w:rsidR="002C17C8" w:rsidRPr="00132E2D" w:rsidRDefault="002C17C8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425" w:rsidRPr="00132E2D" w:rsidRDefault="007B0425" w:rsidP="00132E2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br w:type="page"/>
      </w:r>
    </w:p>
    <w:p w:rsidR="005107FF" w:rsidRDefault="005107FF" w:rsidP="00132E2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</w:rPr>
      </w:pPr>
      <w:bookmarkStart w:id="7" w:name="_Toc257202514"/>
      <w:r w:rsidRPr="00132E2D">
        <w:rPr>
          <w:rFonts w:ascii="Times New Roman" w:hAnsi="Times New Roman"/>
          <w:b w:val="0"/>
        </w:rPr>
        <w:t>Список использованной литературы</w:t>
      </w:r>
      <w:bookmarkEnd w:id="7"/>
    </w:p>
    <w:p w:rsidR="00132E2D" w:rsidRDefault="00132E2D" w:rsidP="00132E2D">
      <w:pPr>
        <w:pStyle w:val="a7"/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107FF" w:rsidRPr="00132E2D" w:rsidRDefault="005107FF" w:rsidP="00132E2D">
      <w:pPr>
        <w:pStyle w:val="a7"/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Гитман Л.Дж., Джонк М.Д. Основи інвестування. Пер. З англ</w:t>
      </w:r>
      <w:r w:rsidR="0065073A" w:rsidRPr="00132E2D">
        <w:rPr>
          <w:rFonts w:ascii="Times New Roman" w:hAnsi="Times New Roman"/>
          <w:sz w:val="28"/>
          <w:szCs w:val="28"/>
        </w:rPr>
        <w:t>. - М.: Діло, 2005</w:t>
      </w:r>
      <w:r w:rsidRPr="00132E2D">
        <w:rPr>
          <w:rFonts w:ascii="Times New Roman" w:hAnsi="Times New Roman"/>
          <w:sz w:val="28"/>
          <w:szCs w:val="28"/>
        </w:rPr>
        <w:t>.</w:t>
      </w:r>
    </w:p>
    <w:p w:rsidR="005107FF" w:rsidRPr="00132E2D" w:rsidRDefault="005107FF" w:rsidP="00132E2D">
      <w:pPr>
        <w:widowControl w:val="0"/>
        <w:numPr>
          <w:ilvl w:val="0"/>
          <w:numId w:val="6"/>
        </w:numPr>
        <w:tabs>
          <w:tab w:val="num" w:pos="48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Інвестиції в Україні. Під ред. С.І. Вакарина (Міжнародний валю</w:t>
      </w:r>
      <w:r w:rsidR="007B0425" w:rsidRPr="00132E2D">
        <w:rPr>
          <w:rFonts w:ascii="Times New Roman" w:hAnsi="Times New Roman"/>
          <w:sz w:val="28"/>
          <w:szCs w:val="28"/>
        </w:rPr>
        <w:t>тний фонд). - К.: “Конкорд”, 200</w:t>
      </w:r>
      <w:r w:rsidRPr="00132E2D">
        <w:rPr>
          <w:rFonts w:ascii="Times New Roman" w:hAnsi="Times New Roman"/>
          <w:sz w:val="28"/>
          <w:szCs w:val="28"/>
        </w:rPr>
        <w:t>6.</w:t>
      </w:r>
    </w:p>
    <w:p w:rsidR="005107FF" w:rsidRPr="00132E2D" w:rsidRDefault="005107FF" w:rsidP="00132E2D">
      <w:pPr>
        <w:widowControl w:val="0"/>
        <w:numPr>
          <w:ilvl w:val="0"/>
          <w:numId w:val="6"/>
        </w:numPr>
        <w:tabs>
          <w:tab w:val="num" w:pos="48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Мертенс А.В. Інвестиції: Курс лекцій по сучасній фінансовій теорії. - К.: Київ</w:t>
      </w:r>
      <w:r w:rsidR="007B0425" w:rsidRPr="00132E2D">
        <w:rPr>
          <w:rFonts w:ascii="Times New Roman" w:hAnsi="Times New Roman"/>
          <w:sz w:val="28"/>
          <w:szCs w:val="28"/>
        </w:rPr>
        <w:t>ське інвестиційне агентство, 200</w:t>
      </w:r>
      <w:r w:rsidRPr="00132E2D">
        <w:rPr>
          <w:rFonts w:ascii="Times New Roman" w:hAnsi="Times New Roman"/>
          <w:sz w:val="28"/>
          <w:szCs w:val="28"/>
        </w:rPr>
        <w:t>7.</w:t>
      </w:r>
    </w:p>
    <w:p w:rsidR="005107FF" w:rsidRPr="00132E2D" w:rsidRDefault="005107FF" w:rsidP="00132E2D">
      <w:pPr>
        <w:widowControl w:val="0"/>
        <w:numPr>
          <w:ilvl w:val="0"/>
          <w:numId w:val="6"/>
        </w:numPr>
        <w:tabs>
          <w:tab w:val="num" w:pos="48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>Пересада А.А. Основи інвестицій</w:t>
      </w:r>
      <w:r w:rsidR="007B0425" w:rsidRPr="00132E2D">
        <w:rPr>
          <w:rFonts w:ascii="Times New Roman" w:hAnsi="Times New Roman"/>
          <w:sz w:val="28"/>
          <w:szCs w:val="28"/>
        </w:rPr>
        <w:t>ної діяльності. - К.: Либра, 200</w:t>
      </w:r>
      <w:r w:rsidRPr="00132E2D">
        <w:rPr>
          <w:rFonts w:ascii="Times New Roman" w:hAnsi="Times New Roman"/>
          <w:sz w:val="28"/>
          <w:szCs w:val="28"/>
        </w:rPr>
        <w:t>4.</w:t>
      </w:r>
    </w:p>
    <w:p w:rsidR="005107FF" w:rsidRPr="00132E2D" w:rsidRDefault="005107FF" w:rsidP="00132E2D">
      <w:pPr>
        <w:widowControl w:val="0"/>
        <w:numPr>
          <w:ilvl w:val="0"/>
          <w:numId w:val="6"/>
        </w:numPr>
        <w:tabs>
          <w:tab w:val="num" w:pos="48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E2D">
        <w:rPr>
          <w:rFonts w:ascii="Times New Roman" w:hAnsi="Times New Roman"/>
          <w:sz w:val="28"/>
          <w:szCs w:val="28"/>
        </w:rPr>
        <w:t xml:space="preserve">Джей К. Шим, Джоэл Г. Сигел Финансовый менеджмент. </w:t>
      </w:r>
      <w:r w:rsidR="0065073A" w:rsidRPr="00132E2D">
        <w:rPr>
          <w:rFonts w:ascii="Times New Roman" w:hAnsi="Times New Roman"/>
          <w:sz w:val="28"/>
          <w:szCs w:val="28"/>
        </w:rPr>
        <w:t>Москва, 200</w:t>
      </w:r>
      <w:r w:rsidRPr="00132E2D">
        <w:rPr>
          <w:rFonts w:ascii="Times New Roman" w:hAnsi="Times New Roman"/>
          <w:sz w:val="28"/>
          <w:szCs w:val="28"/>
        </w:rPr>
        <w:t>6 г.</w:t>
      </w:r>
    </w:p>
    <w:p w:rsidR="00883152" w:rsidRPr="00132E2D" w:rsidRDefault="005107FF" w:rsidP="00132E2D">
      <w:pPr>
        <w:pStyle w:val="a3"/>
        <w:widowControl w:val="0"/>
        <w:numPr>
          <w:ilvl w:val="0"/>
          <w:numId w:val="6"/>
        </w:numPr>
        <w:tabs>
          <w:tab w:val="num" w:pos="480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132E2D">
        <w:rPr>
          <w:sz w:val="28"/>
          <w:szCs w:val="28"/>
        </w:rPr>
        <w:t>Филатов, “Проблемы инвестиционной политики в индустриальной экономике переходно</w:t>
      </w:r>
      <w:r w:rsidR="0065073A" w:rsidRPr="00132E2D">
        <w:rPr>
          <w:sz w:val="28"/>
          <w:szCs w:val="28"/>
        </w:rPr>
        <w:t>го типа”. Вопросы Экономики, 200</w:t>
      </w:r>
      <w:r w:rsidR="00132E2D">
        <w:rPr>
          <w:sz w:val="28"/>
          <w:szCs w:val="28"/>
        </w:rPr>
        <w:t>5 год.</w:t>
      </w:r>
      <w:bookmarkStart w:id="8" w:name="_GoBack"/>
      <w:bookmarkEnd w:id="8"/>
    </w:p>
    <w:sectPr w:rsidR="00883152" w:rsidRPr="00132E2D" w:rsidSect="00132E2D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C4" w:rsidRDefault="00E203C4" w:rsidP="009E1435">
      <w:pPr>
        <w:spacing w:after="0" w:line="240" w:lineRule="auto"/>
      </w:pPr>
      <w:r>
        <w:separator/>
      </w:r>
    </w:p>
  </w:endnote>
  <w:endnote w:type="continuationSeparator" w:id="0">
    <w:p w:rsidR="00E203C4" w:rsidRDefault="00E203C4" w:rsidP="009E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C4" w:rsidRDefault="00E203C4" w:rsidP="009E1435">
      <w:pPr>
        <w:spacing w:after="0" w:line="240" w:lineRule="auto"/>
      </w:pPr>
      <w:r>
        <w:separator/>
      </w:r>
    </w:p>
  </w:footnote>
  <w:footnote w:type="continuationSeparator" w:id="0">
    <w:p w:rsidR="00E203C4" w:rsidRDefault="00E203C4" w:rsidP="009E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C100D1"/>
    <w:multiLevelType w:val="hybridMultilevel"/>
    <w:tmpl w:val="E38C29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6777C"/>
    <w:multiLevelType w:val="hybridMultilevel"/>
    <w:tmpl w:val="724C6A82"/>
    <w:lvl w:ilvl="0" w:tplc="754EA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944FA2"/>
    <w:multiLevelType w:val="hybridMultilevel"/>
    <w:tmpl w:val="E8E0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13C23"/>
    <w:multiLevelType w:val="hybridMultilevel"/>
    <w:tmpl w:val="A086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3F4F74"/>
    <w:multiLevelType w:val="hybridMultilevel"/>
    <w:tmpl w:val="24924DA8"/>
    <w:lvl w:ilvl="0" w:tplc="9798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0775DB"/>
    <w:multiLevelType w:val="hybridMultilevel"/>
    <w:tmpl w:val="6CFA0A1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7D4FD5"/>
    <w:multiLevelType w:val="hybridMultilevel"/>
    <w:tmpl w:val="DBCE2602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7FF"/>
    <w:rsid w:val="00132E2D"/>
    <w:rsid w:val="001979E6"/>
    <w:rsid w:val="002C17C8"/>
    <w:rsid w:val="003A2B14"/>
    <w:rsid w:val="003D00F0"/>
    <w:rsid w:val="005107FF"/>
    <w:rsid w:val="0065073A"/>
    <w:rsid w:val="00693928"/>
    <w:rsid w:val="007B0425"/>
    <w:rsid w:val="00883152"/>
    <w:rsid w:val="008D665C"/>
    <w:rsid w:val="009E1435"/>
    <w:rsid w:val="00C02823"/>
    <w:rsid w:val="00C14229"/>
    <w:rsid w:val="00CD3DD9"/>
    <w:rsid w:val="00D32E65"/>
    <w:rsid w:val="00E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47CBDF-3DDB-4327-9550-E2DA3AB2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435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2823"/>
    <w:pPr>
      <w:suppressAutoHyphens/>
      <w:spacing w:line="36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107FF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E143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C02823"/>
    <w:rPr>
      <w:rFonts w:ascii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107FF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107F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5107FF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107F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107F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042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E1435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9E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E1435"/>
    <w:rPr>
      <w:rFonts w:cs="Times New Roman"/>
    </w:rPr>
  </w:style>
  <w:style w:type="paragraph" w:styleId="ac">
    <w:name w:val="TOC Heading"/>
    <w:basedOn w:val="1"/>
    <w:next w:val="a"/>
    <w:uiPriority w:val="39"/>
    <w:unhideWhenUsed/>
    <w:qFormat/>
    <w:rsid w:val="00C02823"/>
    <w:pPr>
      <w:jc w:val="left"/>
      <w:outlineLvl w:val="9"/>
    </w:pPr>
    <w:rPr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C02823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02823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02823"/>
    <w:pPr>
      <w:spacing w:after="100"/>
      <w:ind w:left="440"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0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0282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C028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648E-BC2C-4DAD-8D4E-05312C64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admin</cp:lastModifiedBy>
  <cp:revision>2</cp:revision>
  <dcterms:created xsi:type="dcterms:W3CDTF">2014-03-12T21:27:00Z</dcterms:created>
  <dcterms:modified xsi:type="dcterms:W3CDTF">2014-03-12T21:27:00Z</dcterms:modified>
</cp:coreProperties>
</file>