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F2" w:rsidRPr="009368ED" w:rsidRDefault="004D2770" w:rsidP="009368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368ED">
        <w:rPr>
          <w:b/>
          <w:sz w:val="28"/>
          <w:szCs w:val="28"/>
        </w:rPr>
        <w:t>Содержание</w:t>
      </w:r>
    </w:p>
    <w:p w:rsidR="009368ED" w:rsidRPr="009368ED" w:rsidRDefault="009368ED" w:rsidP="009368ED">
      <w:pPr>
        <w:spacing w:line="360" w:lineRule="auto"/>
        <w:ind w:firstLine="720"/>
        <w:jc w:val="both"/>
        <w:rPr>
          <w:sz w:val="28"/>
          <w:szCs w:val="28"/>
        </w:rPr>
      </w:pPr>
    </w:p>
    <w:p w:rsidR="00E25105" w:rsidRPr="009368ED" w:rsidRDefault="00EF68A0" w:rsidP="009368ED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9368ED">
        <w:rPr>
          <w:color w:val="000000"/>
          <w:sz w:val="28"/>
          <w:szCs w:val="28"/>
        </w:rPr>
        <w:t>1.</w:t>
      </w:r>
      <w:r w:rsidR="00CA3F2F" w:rsidRPr="009368ED">
        <w:rPr>
          <w:color w:val="000000"/>
          <w:sz w:val="28"/>
          <w:szCs w:val="28"/>
        </w:rPr>
        <w:t xml:space="preserve"> Структуризация сервисных контактов</w:t>
      </w:r>
      <w:r w:rsidR="007526E8" w:rsidRPr="009368ED">
        <w:rPr>
          <w:color w:val="000000"/>
          <w:sz w:val="28"/>
          <w:szCs w:val="28"/>
        </w:rPr>
        <w:t>: сервис системная матрица</w:t>
      </w:r>
    </w:p>
    <w:p w:rsidR="00E25105" w:rsidRPr="009368ED" w:rsidRDefault="00E25105" w:rsidP="009368ED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9368ED">
        <w:rPr>
          <w:color w:val="000000"/>
          <w:sz w:val="28"/>
          <w:szCs w:val="28"/>
        </w:rPr>
        <w:t>2.</w:t>
      </w:r>
      <w:r w:rsidR="00FC5902" w:rsidRPr="009368ED">
        <w:rPr>
          <w:color w:val="000000"/>
          <w:sz w:val="28"/>
          <w:szCs w:val="28"/>
        </w:rPr>
        <w:t xml:space="preserve"> Управление товарно-материальными запасами в системе сервисов</w:t>
      </w:r>
    </w:p>
    <w:p w:rsidR="005B7894" w:rsidRPr="009368ED" w:rsidRDefault="005B7894" w:rsidP="009368ED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9368ED">
        <w:rPr>
          <w:sz w:val="28"/>
          <w:szCs w:val="28"/>
        </w:rPr>
        <w:t>С</w:t>
      </w:r>
      <w:r w:rsidR="00B67CB8" w:rsidRPr="009368ED">
        <w:rPr>
          <w:sz w:val="28"/>
          <w:szCs w:val="28"/>
        </w:rPr>
        <w:t>писок использованн</w:t>
      </w:r>
      <w:r w:rsidR="00977332" w:rsidRPr="009368ED">
        <w:rPr>
          <w:sz w:val="28"/>
          <w:szCs w:val="28"/>
        </w:rPr>
        <w:t>ых</w:t>
      </w:r>
      <w:r w:rsidR="00B67CB8" w:rsidRPr="009368ED">
        <w:rPr>
          <w:sz w:val="28"/>
          <w:szCs w:val="28"/>
        </w:rPr>
        <w:t xml:space="preserve"> </w:t>
      </w:r>
      <w:r w:rsidR="00977332" w:rsidRPr="009368ED">
        <w:rPr>
          <w:sz w:val="28"/>
          <w:szCs w:val="28"/>
        </w:rPr>
        <w:t>источников</w:t>
      </w:r>
    </w:p>
    <w:p w:rsidR="005B6959" w:rsidRDefault="00BD26B4" w:rsidP="009368ED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9368ED">
        <w:rPr>
          <w:sz w:val="28"/>
          <w:szCs w:val="28"/>
        </w:rPr>
        <w:br w:type="page"/>
      </w:r>
      <w:r w:rsidR="005B6959" w:rsidRPr="009368ED">
        <w:rPr>
          <w:b/>
          <w:color w:val="000000"/>
          <w:sz w:val="28"/>
          <w:szCs w:val="28"/>
        </w:rPr>
        <w:t xml:space="preserve">1. </w:t>
      </w:r>
      <w:r w:rsidR="00FC5902" w:rsidRPr="009368ED">
        <w:rPr>
          <w:b/>
          <w:color w:val="000000"/>
          <w:sz w:val="28"/>
          <w:szCs w:val="28"/>
        </w:rPr>
        <w:t>Структуризация сервисных контактов: сервис системная матрица</w:t>
      </w:r>
    </w:p>
    <w:p w:rsidR="009368ED" w:rsidRPr="009368ED" w:rsidRDefault="009368ED" w:rsidP="009368ED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8A7894" w:rsidRDefault="008A7894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Контакты в обслуживании могут отображаться различными способами. Шесть из них,</w:t>
      </w:r>
      <w:r w:rsidR="00090F03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встречающихся чаще других, приведены в сервис-системной матрице (Service-System Design</w:t>
      </w:r>
      <w:r w:rsidR="00090F03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 xml:space="preserve">Matrix), изображенной на рис. </w:t>
      </w:r>
      <w:r w:rsidR="005000B7" w:rsidRPr="009368ED">
        <w:rPr>
          <w:rFonts w:eastAsia="TimesNewRomanPSMT"/>
          <w:sz w:val="28"/>
          <w:szCs w:val="28"/>
        </w:rPr>
        <w:t>1</w:t>
      </w:r>
      <w:r w:rsidRPr="009368ED">
        <w:rPr>
          <w:rFonts w:eastAsia="TimesNewRomanPSMT"/>
          <w:sz w:val="28"/>
          <w:szCs w:val="28"/>
        </w:rPr>
        <w:t>.</w:t>
      </w:r>
    </w:p>
    <w:p w:rsidR="009368ED" w:rsidRPr="009368ED" w:rsidRDefault="009368ED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</w:p>
    <w:p w:rsidR="005000B7" w:rsidRPr="009368ED" w:rsidRDefault="00485AA9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val="en-US"/>
        </w:rPr>
      </w:pPr>
      <w:r>
        <w:rPr>
          <w:rFonts w:eastAsia="TimesNewRomanPSMT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10pt">
            <v:imagedata r:id="rId7" o:title=""/>
          </v:shape>
        </w:pict>
      </w:r>
    </w:p>
    <w:p w:rsidR="005000B7" w:rsidRPr="009368ED" w:rsidRDefault="005000B7" w:rsidP="009368E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eastAsia="TimesNewRomanPS-ItalicMT"/>
          <w:sz w:val="28"/>
          <w:szCs w:val="28"/>
        </w:rPr>
      </w:pPr>
      <w:r w:rsidRPr="009368ED">
        <w:rPr>
          <w:rFonts w:eastAsia="TimesNewRomanPS-ItalicMT"/>
          <w:iCs/>
          <w:sz w:val="28"/>
          <w:szCs w:val="28"/>
        </w:rPr>
        <w:t xml:space="preserve">Рис. </w:t>
      </w:r>
      <w:r w:rsidR="00B06908" w:rsidRPr="009368ED">
        <w:rPr>
          <w:rFonts w:eastAsia="TimesNewRomanPS-ItalicMT"/>
          <w:iCs/>
          <w:sz w:val="28"/>
          <w:szCs w:val="28"/>
        </w:rPr>
        <w:t xml:space="preserve">1 </w:t>
      </w:r>
      <w:r w:rsidR="00B85BD5" w:rsidRPr="009368ED">
        <w:rPr>
          <w:rFonts w:eastAsia="TimesNewRomanPS-ItalicMT"/>
          <w:iCs/>
          <w:sz w:val="28"/>
          <w:szCs w:val="28"/>
        </w:rPr>
        <w:t>-</w:t>
      </w:r>
      <w:r w:rsidRPr="009368ED">
        <w:rPr>
          <w:rFonts w:eastAsia="TimesNewRomanPS-ItalicMT"/>
          <w:iCs/>
          <w:sz w:val="28"/>
          <w:szCs w:val="28"/>
        </w:rPr>
        <w:t xml:space="preserve"> Сервис-системная матрица</w:t>
      </w:r>
    </w:p>
    <w:p w:rsidR="009368ED" w:rsidRDefault="009368ED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</w:p>
    <w:p w:rsidR="008A7894" w:rsidRPr="009368ED" w:rsidRDefault="008A7894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 xml:space="preserve">Вверху матрицы показана степень контакта клиент-канал обслуживания: </w:t>
      </w:r>
      <w:r w:rsidRPr="009368ED">
        <w:rPr>
          <w:rFonts w:eastAsia="TimesNewRomanPS-ItalicMT"/>
          <w:i/>
          <w:iCs/>
          <w:sz w:val="28"/>
          <w:szCs w:val="28"/>
        </w:rPr>
        <w:t xml:space="preserve">защищенное ядро, </w:t>
      </w:r>
      <w:r w:rsidRPr="009368ED">
        <w:rPr>
          <w:rFonts w:eastAsia="TimesNewRomanPSMT"/>
          <w:sz w:val="28"/>
          <w:szCs w:val="28"/>
        </w:rPr>
        <w:t>т.е.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 xml:space="preserve">система, предполагающая физическое отделение процесса обслуживания от клиента; </w:t>
      </w:r>
      <w:r w:rsidRPr="009368ED">
        <w:rPr>
          <w:rFonts w:eastAsia="TimesNewRomanPS-ItalicMT"/>
          <w:i/>
          <w:iCs/>
          <w:sz w:val="28"/>
          <w:szCs w:val="28"/>
        </w:rPr>
        <w:t>проницаемая</w:t>
      </w:r>
      <w:r w:rsidR="00F40B34" w:rsidRPr="009368ED">
        <w:rPr>
          <w:rFonts w:eastAsia="TimesNewRomanPS-ItalicMT"/>
          <w:i/>
          <w:iCs/>
          <w:sz w:val="28"/>
          <w:szCs w:val="28"/>
        </w:rPr>
        <w:t xml:space="preserve"> </w:t>
      </w:r>
      <w:r w:rsidRPr="009368ED">
        <w:rPr>
          <w:rFonts w:eastAsia="TimesNewRomanPS-ItalicMT"/>
          <w:i/>
          <w:iCs/>
          <w:sz w:val="28"/>
          <w:szCs w:val="28"/>
        </w:rPr>
        <w:t xml:space="preserve">система, </w:t>
      </w:r>
      <w:r w:rsidRPr="009368ED">
        <w:rPr>
          <w:rFonts w:eastAsia="TimesNewRomanPSMT"/>
          <w:sz w:val="28"/>
          <w:szCs w:val="28"/>
        </w:rPr>
        <w:t>в которую клиент может проникнуть, позвонив по телефону или с помощью личного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 xml:space="preserve">контакта; </w:t>
      </w:r>
      <w:r w:rsidRPr="009368ED">
        <w:rPr>
          <w:rFonts w:eastAsia="TimesNewRomanPS-ItalicMT"/>
          <w:i/>
          <w:iCs/>
          <w:sz w:val="28"/>
          <w:szCs w:val="28"/>
        </w:rPr>
        <w:t xml:space="preserve">реагирующая система, </w:t>
      </w:r>
      <w:r w:rsidRPr="009368ED">
        <w:rPr>
          <w:rFonts w:eastAsia="TimesNewRomanPSMT"/>
          <w:sz w:val="28"/>
          <w:szCs w:val="28"/>
        </w:rPr>
        <w:t>которая характеризуется присутствием клиента и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незамедлительной реакцией на его потребности. В левой части матрицы находится шкала,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отображающая возможности сбыта услуг, причем сбыт тем выше, чем теснее контакт с клиентом.</w:t>
      </w:r>
    </w:p>
    <w:p w:rsidR="008A7894" w:rsidRPr="009368ED" w:rsidRDefault="008A7894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В правой части приведена шкала производственной эффективности — чем большее влияние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оказывает клиент на операцию, тем ниже эффективность обслуживания.</w:t>
      </w:r>
    </w:p>
    <w:p w:rsidR="008A7894" w:rsidRPr="009368ED" w:rsidRDefault="008A7894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Внутри матрицы перечислены основные способы контактирования клиента с сервисной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системой. В нижнем левом углу показаны почтовые контакты, при которых степень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 xml:space="preserve">взаимодействия клиента с системой очень невелика; в противоположном </w:t>
      </w:r>
      <w:r w:rsidR="007C0FCE" w:rsidRPr="009368ED">
        <w:rPr>
          <w:rFonts w:eastAsia="TimesNewRomanPSMT"/>
          <w:sz w:val="28"/>
          <w:szCs w:val="28"/>
        </w:rPr>
        <w:t xml:space="preserve">– </w:t>
      </w:r>
      <w:r w:rsidRPr="009368ED">
        <w:rPr>
          <w:rFonts w:eastAsia="TimesNewRomanPSMT"/>
          <w:sz w:val="28"/>
          <w:szCs w:val="28"/>
        </w:rPr>
        <w:t>личное присутствие,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при котором клиент настаивает "все делать по-своему". Остальные четыре элемента матрицы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представляют собой разные степени взаимодействия клиента с каналом обслуживания.</w:t>
      </w:r>
    </w:p>
    <w:p w:rsidR="008A7894" w:rsidRPr="009368ED" w:rsidRDefault="00AE70B0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П</w:t>
      </w:r>
      <w:r w:rsidR="008A7894" w:rsidRPr="009368ED">
        <w:rPr>
          <w:rFonts w:eastAsia="TimesNewRomanPSMT"/>
          <w:sz w:val="28"/>
          <w:szCs w:val="28"/>
        </w:rPr>
        <w:t>о мере повышения степени контакта клиента и системы (а следовательно,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="008A7894" w:rsidRPr="009368ED">
        <w:rPr>
          <w:rFonts w:eastAsia="TimesNewRomanPSMT"/>
          <w:sz w:val="28"/>
          <w:szCs w:val="28"/>
        </w:rPr>
        <w:t>и его влияния) производительность обслуживания понижается. Однако этот недостаток компенсируется тем, что личный контакт обеспечивает большие возможности сбыта, благодаря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="008A7894" w:rsidRPr="009368ED">
        <w:rPr>
          <w:rFonts w:eastAsia="TimesNewRomanPSMT"/>
          <w:sz w:val="28"/>
          <w:szCs w:val="28"/>
        </w:rPr>
        <w:t>которым компания имеет дополнительные продажи или услуги. И наоборот, при низкой степени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="008A7894" w:rsidRPr="009368ED">
        <w:rPr>
          <w:rFonts w:eastAsia="TimesNewRomanPSMT"/>
          <w:sz w:val="28"/>
          <w:szCs w:val="28"/>
        </w:rPr>
        <w:t>контакта, например, при почтовой связи системы с клиентом, система работает более эффективно,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="008A7894" w:rsidRPr="009368ED">
        <w:rPr>
          <w:rFonts w:eastAsia="TimesNewRomanPSMT"/>
          <w:sz w:val="28"/>
          <w:szCs w:val="28"/>
        </w:rPr>
        <w:t>поскольку клиент не способен оказать значительное влияние на систему (либо даже нарушить ее).</w:t>
      </w:r>
    </w:p>
    <w:p w:rsidR="008A7894" w:rsidRPr="009368ED" w:rsidRDefault="008A7894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Однако при этом способе возможности для дополнительных продаж или услуг относительно</w:t>
      </w:r>
      <w:r w:rsidR="00F40B34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невелики.</w:t>
      </w:r>
    </w:p>
    <w:p w:rsidR="008A7894" w:rsidRPr="009368ED" w:rsidRDefault="008A7894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-ItalicMT"/>
          <w:i/>
          <w:iCs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Каждый из элементов матрицы можно несколько сдвинуть в ней. Рассмотрим, например, на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рис.</w:t>
      </w:r>
      <w:r w:rsidR="00755FAE" w:rsidRPr="009368ED">
        <w:rPr>
          <w:rFonts w:eastAsia="TimesNewRomanPSMT"/>
          <w:sz w:val="28"/>
          <w:szCs w:val="28"/>
        </w:rPr>
        <w:t>1</w:t>
      </w:r>
      <w:r w:rsidRPr="009368ED">
        <w:rPr>
          <w:rFonts w:eastAsia="TimesNewRomanPSMT"/>
          <w:sz w:val="28"/>
          <w:szCs w:val="28"/>
        </w:rPr>
        <w:t xml:space="preserve"> элемент "Твердые заявки". Этот элемент описывает ситуации, в которых процесс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обслуживания варьируется лишь весьма незначительно, т.е. когда ни клиент, ни обслуживающий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персонал не обладают в процессе обслуживания большой свободой действий. В качестве примера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 xml:space="preserve">можно привести рестораны быстрого обслуживания и парки развлечений типа </w:t>
      </w:r>
      <w:r w:rsidRPr="009368ED">
        <w:rPr>
          <w:rFonts w:eastAsia="TimesNewRomanPS-ItalicMT"/>
          <w:i/>
          <w:iCs/>
          <w:sz w:val="28"/>
          <w:szCs w:val="28"/>
        </w:rPr>
        <w:t>Disneyland.</w:t>
      </w:r>
    </w:p>
    <w:p w:rsidR="008A7894" w:rsidRPr="009368ED" w:rsidRDefault="008A7894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Элемент "Свободные заявки" служит для описания ситуаций, в которых процесс обслуживания в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общих чертах определен, но при этом существуют варианты либо его осуществления, либо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использования физической продукции, являющейся частью данного процесса обслуживания.</w:t>
      </w:r>
    </w:p>
    <w:p w:rsidR="008A7894" w:rsidRPr="009368ED" w:rsidRDefault="008A7894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Примером может служить обычный ресторан или агентство по продаже автомобилей. "Полная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индивидуализация обслуживания" представляет собой сервисные контакты, требования к которым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разрабатываются в ходе непосредственного взаимодействия клиента и обслуживающего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персонала. К данному типу относится процесс предоставления медицинских и юридических услуг.</w:t>
      </w:r>
    </w:p>
    <w:p w:rsidR="008A7894" w:rsidRDefault="008A7894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При этом система может быть реагирующей или просто проницаемой в зависимости от степени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мобилизации ресурсов системы для предоставления услуги. В качестве примера можно привести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мобилизацию ресурсов рекламной фирмы при подготовке к визиту выгодного клиента или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хирургическая группа, готовящаяся к срочной операции.</w:t>
      </w:r>
    </w:p>
    <w:p w:rsidR="009368ED" w:rsidRPr="009368ED" w:rsidRDefault="009368ED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</w:p>
    <w:p w:rsidR="00740747" w:rsidRPr="009368ED" w:rsidRDefault="00485AA9" w:rsidP="00446ADB">
      <w:pPr>
        <w:pStyle w:val="24"/>
        <w:spacing w:after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423.75pt;height:106.5pt">
            <v:imagedata r:id="rId8" o:title=""/>
          </v:shape>
        </w:pict>
      </w:r>
    </w:p>
    <w:p w:rsidR="00740747" w:rsidRPr="009368ED" w:rsidRDefault="00740747" w:rsidP="00446ADB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eastAsia="TimesNewRomanPS-ItalicMT"/>
          <w:sz w:val="28"/>
          <w:szCs w:val="28"/>
        </w:rPr>
      </w:pPr>
      <w:r w:rsidRPr="009368ED">
        <w:rPr>
          <w:rFonts w:eastAsia="TimesNewRomanPS-ItalicMT"/>
          <w:iCs/>
          <w:sz w:val="28"/>
          <w:szCs w:val="28"/>
        </w:rPr>
        <w:t xml:space="preserve">Рис. </w:t>
      </w:r>
      <w:r w:rsidR="007C0FCE" w:rsidRPr="009368ED">
        <w:rPr>
          <w:rFonts w:eastAsia="TimesNewRomanPS-ItalicMT"/>
          <w:iCs/>
          <w:sz w:val="28"/>
          <w:szCs w:val="28"/>
        </w:rPr>
        <w:t xml:space="preserve">2 – </w:t>
      </w:r>
      <w:r w:rsidRPr="009368ED">
        <w:rPr>
          <w:rFonts w:eastAsia="TimesNewRomanPS-ItalicMT"/>
          <w:iCs/>
          <w:sz w:val="28"/>
          <w:szCs w:val="28"/>
        </w:rPr>
        <w:t xml:space="preserve">Зависимость требований к персоналу, фокусированию операций и технологическим инновациям от степени контакта </w:t>
      </w:r>
      <w:r w:rsidR="00BF71C0" w:rsidRPr="009368ED">
        <w:rPr>
          <w:rFonts w:eastAsia="TimesNewRomanPS-ItalicMT"/>
          <w:iCs/>
          <w:sz w:val="28"/>
          <w:szCs w:val="28"/>
        </w:rPr>
        <w:t>клиент-</w:t>
      </w:r>
      <w:r w:rsidRPr="009368ED">
        <w:rPr>
          <w:rFonts w:eastAsia="TimesNewRomanPS-ItalicMT"/>
          <w:iCs/>
          <w:sz w:val="28"/>
          <w:szCs w:val="28"/>
        </w:rPr>
        <w:t>сервисная система</w:t>
      </w:r>
    </w:p>
    <w:p w:rsidR="009368ED" w:rsidRDefault="009368ED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</w:p>
    <w:p w:rsidR="00C16F4F" w:rsidRPr="009368ED" w:rsidRDefault="008A7894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 xml:space="preserve">Рис. </w:t>
      </w:r>
      <w:r w:rsidR="00755FAE" w:rsidRPr="009368ED">
        <w:rPr>
          <w:rFonts w:eastAsia="TimesNewRomanPSMT"/>
          <w:sz w:val="28"/>
          <w:szCs w:val="28"/>
        </w:rPr>
        <w:t>2</w:t>
      </w:r>
      <w:r w:rsidRPr="009368ED">
        <w:rPr>
          <w:rFonts w:eastAsia="TimesNewRomanPSMT"/>
          <w:sz w:val="28"/>
          <w:szCs w:val="28"/>
        </w:rPr>
        <w:t xml:space="preserve"> расширяет сервис-системную матрицу. На ней отображено, как изменяются требования</w:t>
      </w:r>
      <w:r w:rsidR="00755FAE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к персоналу, фокусированию операций и технологическим инновациям по мере изменения</w:t>
      </w:r>
      <w:r w:rsidR="005F331B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 xml:space="preserve">степени контакта </w:t>
      </w:r>
      <w:r w:rsidR="005F331B" w:rsidRPr="009368ED">
        <w:rPr>
          <w:rFonts w:eastAsia="TimesNewRomanPSMT"/>
          <w:sz w:val="28"/>
          <w:szCs w:val="28"/>
        </w:rPr>
        <w:t xml:space="preserve">клиент – </w:t>
      </w:r>
      <w:r w:rsidRPr="009368ED">
        <w:rPr>
          <w:rFonts w:eastAsia="TimesNewRomanPSMT"/>
          <w:sz w:val="28"/>
          <w:szCs w:val="28"/>
        </w:rPr>
        <w:t>сервисная система.</w:t>
      </w:r>
    </w:p>
    <w:p w:rsidR="0002779A" w:rsidRPr="009368ED" w:rsidRDefault="0002779A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Если говорить о требованиях к персоналу, то взаимосвязь между умением осуществлять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контакты по почте и канцелярскими навыками, знанием внутренних технологий и способностью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помочь клиенту, умением контактировать с клиентом по телефону и навыками общения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совершенно очевидна. Твердые заявки в первую очередь требуют процедурных навыков,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поскольку в этом случае работник выполняет в общем стандартизированный набор операций и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должен придерживаться строгого порядка их выполнения. Выполнение свободных заявок часто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требует от работника специальных знаний и профессиональных навыков (сапожника, чертежника,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метрдотеля, стоматолога-гигиениста), благодаря которым процесс обслуживания приобретает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законченную форму. При полной индивидуализации обслуживания персонал, как правило, должен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обладать навыками профессиональной диагностики, необходимыми для точного определения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потребностей либо пожеланий клиента.</w:t>
      </w:r>
    </w:p>
    <w:p w:rsidR="0002779A" w:rsidRPr="009368ED" w:rsidRDefault="0002779A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Изображенная на рис</w:t>
      </w:r>
      <w:r w:rsidR="00C16F4F" w:rsidRPr="009368ED">
        <w:rPr>
          <w:rFonts w:eastAsia="TimesNewRomanPSMT"/>
          <w:sz w:val="28"/>
          <w:szCs w:val="28"/>
        </w:rPr>
        <w:t>. 1</w:t>
      </w:r>
      <w:r w:rsidRPr="009368ED">
        <w:rPr>
          <w:rFonts w:eastAsia="TimesNewRomanPSMT"/>
          <w:sz w:val="28"/>
          <w:szCs w:val="28"/>
        </w:rPr>
        <w:t xml:space="preserve"> матрица и ее расширенный вариант, представленный на рис</w:t>
      </w:r>
      <w:r w:rsidR="00C16F4F" w:rsidRPr="009368ED">
        <w:rPr>
          <w:rFonts w:eastAsia="TimesNewRomanPSMT"/>
          <w:sz w:val="28"/>
          <w:szCs w:val="28"/>
        </w:rPr>
        <w:t xml:space="preserve">. 2 </w:t>
      </w:r>
      <w:r w:rsidRPr="009368ED">
        <w:rPr>
          <w:rFonts w:eastAsia="TimesNewRomanPSMT"/>
          <w:sz w:val="28"/>
          <w:szCs w:val="28"/>
        </w:rPr>
        <w:t>имеют как оперативное, так и стратегическое назначение. Оперативное применение сводится к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определению требований к персоналу, фокусированию операций и необходимому техническому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оснащению процесса обслуживания в зависимости от степени контактирования клиента, что было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обсуждено в предыдущем разделе. Стратегическое использование под</w:t>
      </w:r>
      <w:r w:rsidR="00034D0E" w:rsidRPr="009368ED">
        <w:rPr>
          <w:rFonts w:eastAsia="TimesNewRomanPSMT"/>
          <w:sz w:val="28"/>
          <w:szCs w:val="28"/>
        </w:rPr>
        <w:t>разумевает следующее</w:t>
      </w:r>
      <w:r w:rsidR="00034D0E" w:rsidRPr="009368ED">
        <w:rPr>
          <w:rStyle w:val="a3"/>
          <w:rFonts w:eastAsia="TimesNewRomanPSMT"/>
          <w:sz w:val="28"/>
          <w:szCs w:val="28"/>
        </w:rPr>
        <w:footnoteReference w:id="1"/>
      </w:r>
      <w:r w:rsidR="00034D0E" w:rsidRPr="009368ED">
        <w:rPr>
          <w:rFonts w:eastAsia="TimesNewRomanPSMT"/>
          <w:sz w:val="28"/>
          <w:szCs w:val="28"/>
        </w:rPr>
        <w:t>:</w:t>
      </w:r>
    </w:p>
    <w:p w:rsidR="0002779A" w:rsidRPr="009368ED" w:rsidRDefault="0002779A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1. Осуществление систематической интеграции операционной и маркетинговой стратегии. При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использовании этой матрицы альтернативные варианты проявляются значительно ярче и, что еще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более важно, выкристаллизовываются по меньшей мере некоторые очень существенные для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проектирования переменные, которые могут применяться для анализа. Так, например, матрица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ясно показывает, что, если сервисная фирма планирует продавать свои услуги на основе твердых</w:t>
      </w:r>
      <w:r w:rsidR="00C16F4F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заявок, ей не стоит вкладывать средства в дорогостоящих профессионалов.</w:t>
      </w:r>
    </w:p>
    <w:p w:rsidR="000F073A" w:rsidRPr="009368ED" w:rsidRDefault="000F073A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2. Точная характеристика фирмы с точки зрения процесса предоставления услуг. Если компания использует все варианты обслуживания, перечисленные в матрице, то такой процесс предоставления услуг в ней становится диверсифицированным.</w:t>
      </w:r>
    </w:p>
    <w:p w:rsidR="000F073A" w:rsidRPr="009368ED" w:rsidRDefault="000F073A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3. Возможность сравнения способов предоставления подобных услуг в других сервисных фирмах. Это позволяет выявить конкурентное преимущество вашей компании.</w:t>
      </w:r>
    </w:p>
    <w:p w:rsidR="000F073A" w:rsidRPr="009368ED" w:rsidRDefault="000F073A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4. Определение эволюционных или циклических (в соответствии с жизненным циклом) изменений, возможных по мере дальнейшего роста и развития фирмы. Однако, в отличие от продуктово-процессной матрицы для производственного процесса, в соответствии с которой развитие по мере роста объемов производства обычно идет в одном направлении (от выпуска продукции по заказу клиента к сборочной линии), эволюция в обслуживании может идти в любом направлении по диагонали матрицы, отражая компромисс между сбытом и производительностью обслуживания.</w:t>
      </w:r>
    </w:p>
    <w:p w:rsidR="009368ED" w:rsidRDefault="009368ED" w:rsidP="009368ED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5B6959" w:rsidRPr="009368ED" w:rsidRDefault="005B6959" w:rsidP="009368ED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9368ED">
        <w:rPr>
          <w:b/>
          <w:color w:val="000000"/>
          <w:sz w:val="28"/>
          <w:szCs w:val="28"/>
        </w:rPr>
        <w:t xml:space="preserve">2. </w:t>
      </w:r>
      <w:r w:rsidR="00FC5902" w:rsidRPr="009368ED">
        <w:rPr>
          <w:b/>
          <w:color w:val="000000"/>
          <w:sz w:val="28"/>
          <w:szCs w:val="28"/>
        </w:rPr>
        <w:t>Управление товарно-материальными запасами в системе сервисов</w:t>
      </w:r>
    </w:p>
    <w:p w:rsidR="009368ED" w:rsidRDefault="009368ED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</w:p>
    <w:p w:rsidR="00CC4FAF" w:rsidRPr="009368ED" w:rsidRDefault="00CC4FAF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Из традиционного подхода к управлению запасами следует, что их единственное негативное</w:t>
      </w:r>
      <w:r w:rsidR="002E3305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влияние на показатели эффективности фирмы состоит исключительно в связанных с ними</w:t>
      </w:r>
      <w:r w:rsidR="00C55D11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текущими издержками. Однако теперь можно добавить, что такое влияние объясняется</w:t>
      </w:r>
      <w:r w:rsidR="002A2F91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увеличением времени производства и появлением проблем в процессе внедрения технических</w:t>
      </w:r>
      <w:r w:rsidR="002A2F91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новшеств. При любых технических улучшениях продукции, что происходит непрерывно, часто</w:t>
      </w:r>
      <w:r w:rsidR="002A2F91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бывает, что изделия, уже находящиеся в производственной системе, также должны быть</w:t>
      </w:r>
      <w:r w:rsidR="002A2F91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соответствующим образом изменены. Следовательно, при меньшем объеме незавершенного</w:t>
      </w:r>
      <w:r w:rsidR="002A2F91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производства сокращается количество технических переделок находящихся в производстве</w:t>
      </w:r>
      <w:r w:rsidR="002A2F91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изделий.</w:t>
      </w:r>
    </w:p>
    <w:p w:rsidR="00AE70B0" w:rsidRPr="009368ED" w:rsidRDefault="00CC4FAF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Р. Фокс и Е. Голдрат предлагают рассматривать запасы как заем, выданный конкретной</w:t>
      </w:r>
      <w:r w:rsidR="002A2F91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производственной единице. Стоимость такого займа основывается исключительно на закупаемой</w:t>
      </w:r>
      <w:r w:rsidR="002A2F91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 xml:space="preserve">продукции, которая является частью товарно-материальных запасов. </w:t>
      </w:r>
    </w:p>
    <w:p w:rsidR="005B1FAC" w:rsidRPr="009368ED" w:rsidRDefault="005B1FAC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Удобным критерием эффективности является концепция долларо-дней — критерий,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объединяющий стоимость товарно-материальных запасов и время, в течение которого эти запасы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пребывают в данной производственной единице. При использовании этого критерия мы просто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умножаем общую стоимость запасов на количество дней их пребывания в подразделении.</w:t>
      </w:r>
    </w:p>
    <w:p w:rsidR="005B1FAC" w:rsidRPr="009368ED" w:rsidRDefault="005B1FAC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 xml:space="preserve">Предположим, подразделение </w:t>
      </w:r>
      <w:r w:rsidRPr="009368ED">
        <w:rPr>
          <w:rFonts w:eastAsia="TimesNewRomanPS-ItalicMT"/>
          <w:i/>
          <w:iCs/>
          <w:sz w:val="28"/>
          <w:szCs w:val="28"/>
        </w:rPr>
        <w:t xml:space="preserve">X </w:t>
      </w:r>
      <w:r w:rsidRPr="009368ED">
        <w:rPr>
          <w:rFonts w:eastAsia="TimesNewRomanPSMT"/>
          <w:sz w:val="28"/>
          <w:szCs w:val="28"/>
        </w:rPr>
        <w:t>имеет средние запасы на 40 тысяч долларов и в среднем они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 xml:space="preserve">остаются в нем в течение пяти дней. Таким образом, запасы подразделения </w:t>
      </w:r>
      <w:r w:rsidRPr="009368ED">
        <w:rPr>
          <w:rFonts w:eastAsia="TimesNewRomanPS-ItalicMT"/>
          <w:i/>
          <w:iCs/>
          <w:sz w:val="28"/>
          <w:szCs w:val="28"/>
        </w:rPr>
        <w:t xml:space="preserve">X </w:t>
      </w:r>
      <w:r w:rsidRPr="009368ED">
        <w:rPr>
          <w:rFonts w:eastAsia="TimesNewRomanPSMT"/>
          <w:sz w:val="28"/>
          <w:szCs w:val="28"/>
        </w:rPr>
        <w:t>умножаем на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количество дней и получаем объем товарно-материальных запасов, равный 200 тысяч долларо-дней. Из этого мы не можем определить, высок или низок данный уровень запасов, но этот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критерий ясно показывает, где именно они размещены. После этого управленческий персонал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может понять, на чем следует сосредоточить внимание, и определить приемлемые уровни. При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этом можно попытаться разработать методы сокращения количества долларо-дней, помня при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этом, что такая мера не должна стать локальной целью, например, только минимизировать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количество долларо-дней, и наносить вред глобальным задачам — повышению прибыли на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инвестированный капитал, увеличению потока наличности и чистой прибыли.</w:t>
      </w:r>
    </w:p>
    <w:p w:rsidR="005B1FAC" w:rsidRPr="009368ED" w:rsidRDefault="005B1FAC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Применение критерия долларо-дней выгодно со многих точек зрения. Рассмотрим,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например, современную практику использования в качестве критериев эффективности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коэффициента загрузки оборудования. Для достижения высокого коэффициента загрузки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компании создают значительные запасы, благодаря чему все участки работают без простоев.</w:t>
      </w:r>
    </w:p>
    <w:p w:rsidR="005B1FAC" w:rsidRPr="009368ED" w:rsidRDefault="005B1FAC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Однако высокий уровень запасов ведет к повышению показателя долларо-дней, что в свою</w:t>
      </w:r>
      <w:r w:rsidR="0070072D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очередь является стимулом для отказа от больших запасов продукции в процессе производства.</w:t>
      </w:r>
    </w:p>
    <w:p w:rsidR="005B1FAC" w:rsidRPr="009368ED" w:rsidRDefault="005B1FAC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>Критерий долларо-дней может применяться и в других областях</w:t>
      </w:r>
      <w:r w:rsidR="00AE70B0" w:rsidRPr="009368ED">
        <w:rPr>
          <w:rStyle w:val="a3"/>
          <w:rFonts w:eastAsia="TimesNewRomanPSMT"/>
          <w:sz w:val="28"/>
          <w:szCs w:val="28"/>
        </w:rPr>
        <w:footnoteReference w:id="2"/>
      </w:r>
      <w:r w:rsidR="00AE70B0" w:rsidRPr="009368ED">
        <w:rPr>
          <w:rFonts w:eastAsia="TimesNewRomanPSMT"/>
          <w:sz w:val="28"/>
          <w:szCs w:val="28"/>
        </w:rPr>
        <w:t>:</w:t>
      </w:r>
    </w:p>
    <w:p w:rsidR="005B1FAC" w:rsidRPr="009368ED" w:rsidRDefault="005B1FAC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 xml:space="preserve">• </w:t>
      </w:r>
      <w:r w:rsidRPr="009368ED">
        <w:rPr>
          <w:rFonts w:eastAsia="TimesNewRomanPS-ItalicMT"/>
          <w:i/>
          <w:iCs/>
          <w:sz w:val="28"/>
          <w:szCs w:val="28"/>
        </w:rPr>
        <w:t xml:space="preserve">Маркетинг. </w:t>
      </w:r>
      <w:r w:rsidRPr="009368ED">
        <w:rPr>
          <w:rFonts w:eastAsia="TimesNewRomanPSMT"/>
          <w:sz w:val="28"/>
          <w:szCs w:val="28"/>
        </w:rPr>
        <w:t>Стимулирует отказ от создания больших запасов готовой продукции.</w:t>
      </w:r>
      <w:r w:rsidR="00E42935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Основной результат проявляется в увеличении продаж готовой продукции.</w:t>
      </w:r>
    </w:p>
    <w:p w:rsidR="005B1FAC" w:rsidRPr="009368ED" w:rsidRDefault="005B1FAC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 xml:space="preserve">• </w:t>
      </w:r>
      <w:r w:rsidRPr="009368ED">
        <w:rPr>
          <w:rFonts w:eastAsia="TimesNewRomanPS-ItalicMT"/>
          <w:i/>
          <w:iCs/>
          <w:sz w:val="28"/>
          <w:szCs w:val="28"/>
        </w:rPr>
        <w:t xml:space="preserve">Закупки. </w:t>
      </w:r>
      <w:r w:rsidRPr="009368ED">
        <w:rPr>
          <w:rFonts w:eastAsia="TimesNewRomanPSMT"/>
          <w:sz w:val="28"/>
          <w:szCs w:val="28"/>
        </w:rPr>
        <w:t>Стимулирует уменьшение размеров заказов на закупки, что на первый взгляд</w:t>
      </w:r>
      <w:r w:rsidR="00E42935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может показаться невыгодным ввиду существования скидок при приобретении больших объемов</w:t>
      </w:r>
      <w:r w:rsidR="00E42935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продукции. Но в результате это приводит к переходу на закупки по системе "точно в срок".</w:t>
      </w:r>
    </w:p>
    <w:p w:rsidR="005B1FAC" w:rsidRPr="009368ED" w:rsidRDefault="005B1FAC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 xml:space="preserve">• </w:t>
      </w:r>
      <w:r w:rsidRPr="009368ED">
        <w:rPr>
          <w:rFonts w:eastAsia="TimesNewRomanPS-ItalicMT"/>
          <w:i/>
          <w:iCs/>
          <w:sz w:val="28"/>
          <w:szCs w:val="28"/>
        </w:rPr>
        <w:t xml:space="preserve">Производство. </w:t>
      </w:r>
      <w:r w:rsidRPr="009368ED">
        <w:rPr>
          <w:rFonts w:eastAsia="TimesNewRomanPSMT"/>
          <w:sz w:val="28"/>
          <w:szCs w:val="28"/>
        </w:rPr>
        <w:t>Обеспечивает стимул не создавать больших объемов незавершенного</w:t>
      </w:r>
      <w:r w:rsidR="00E42935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производства и не выпускать продукцию раньше того момента, когда в ней возникает</w:t>
      </w:r>
      <w:r w:rsidR="00E42935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потребность. Это ускоряет движение материалов на предприятии.</w:t>
      </w:r>
    </w:p>
    <w:p w:rsidR="005B1FAC" w:rsidRPr="009368ED" w:rsidRDefault="005B1FAC" w:rsidP="009368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9368ED">
        <w:rPr>
          <w:rFonts w:eastAsia="TimesNewRomanPSMT"/>
          <w:sz w:val="28"/>
          <w:szCs w:val="28"/>
        </w:rPr>
        <w:t xml:space="preserve">• </w:t>
      </w:r>
      <w:r w:rsidRPr="009368ED">
        <w:rPr>
          <w:rFonts w:eastAsia="TimesNewRomanPS-ItalicMT"/>
          <w:i/>
          <w:iCs/>
          <w:sz w:val="28"/>
          <w:szCs w:val="28"/>
        </w:rPr>
        <w:t xml:space="preserve">Управление проектами. </w:t>
      </w:r>
      <w:r w:rsidRPr="009368ED">
        <w:rPr>
          <w:rFonts w:eastAsia="TimesNewRomanPSMT"/>
          <w:sz w:val="28"/>
          <w:szCs w:val="28"/>
        </w:rPr>
        <w:t>Позволяет количественно оценивать эффективность инвестиций</w:t>
      </w:r>
      <w:r w:rsidR="00E42935" w:rsidRP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проекта и стимулирует правильное распределение ограниченных ресурсов между</w:t>
      </w:r>
      <w:r w:rsidR="009368ED">
        <w:rPr>
          <w:rFonts w:eastAsia="TimesNewRomanPSMT"/>
          <w:sz w:val="28"/>
          <w:szCs w:val="28"/>
        </w:rPr>
        <w:t xml:space="preserve"> </w:t>
      </w:r>
      <w:r w:rsidRPr="009368ED">
        <w:rPr>
          <w:rFonts w:eastAsia="TimesNewRomanPSMT"/>
          <w:sz w:val="28"/>
          <w:szCs w:val="28"/>
        </w:rPr>
        <w:t>конкурирующими проектами.</w:t>
      </w:r>
    </w:p>
    <w:p w:rsidR="00977332" w:rsidRDefault="00977332" w:rsidP="009368ED">
      <w:pPr>
        <w:tabs>
          <w:tab w:val="left" w:leader="dot" w:pos="8789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9368ED">
        <w:rPr>
          <w:sz w:val="28"/>
          <w:szCs w:val="28"/>
        </w:rPr>
        <w:br w:type="page"/>
      </w:r>
      <w:r w:rsidRPr="009368ED">
        <w:rPr>
          <w:b/>
          <w:sz w:val="28"/>
          <w:szCs w:val="28"/>
        </w:rPr>
        <w:t>С</w:t>
      </w:r>
      <w:r w:rsidR="00FC5902" w:rsidRPr="009368ED">
        <w:rPr>
          <w:b/>
          <w:sz w:val="28"/>
          <w:szCs w:val="28"/>
        </w:rPr>
        <w:t>писок использованных источников</w:t>
      </w:r>
    </w:p>
    <w:p w:rsidR="009368ED" w:rsidRPr="009368ED" w:rsidRDefault="009368ED" w:rsidP="009368ED">
      <w:pPr>
        <w:tabs>
          <w:tab w:val="left" w:leader="dot" w:pos="878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CC72F6" w:rsidRPr="009368ED" w:rsidRDefault="00CC72F6" w:rsidP="009368E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368ED">
        <w:rPr>
          <w:sz w:val="28"/>
          <w:szCs w:val="28"/>
        </w:rPr>
        <w:t xml:space="preserve">Ильенкова С.Д. Производственный менеджмент. Учебник для вузов. – М.: ЮНИТИ-ДАНА, 2000 </w:t>
      </w:r>
    </w:p>
    <w:p w:rsidR="00971426" w:rsidRPr="009368ED" w:rsidRDefault="00971426" w:rsidP="009368E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368ED">
        <w:rPr>
          <w:bCs/>
          <w:sz w:val="28"/>
          <w:szCs w:val="28"/>
        </w:rPr>
        <w:t>Казанцев А.К.</w:t>
      </w:r>
      <w:r w:rsidR="009368ED">
        <w:rPr>
          <w:sz w:val="28"/>
          <w:szCs w:val="28"/>
        </w:rPr>
        <w:t xml:space="preserve"> </w:t>
      </w:r>
      <w:r w:rsidRPr="009368ED">
        <w:rPr>
          <w:sz w:val="28"/>
          <w:szCs w:val="28"/>
        </w:rPr>
        <w:t>Основы производственного менеджмента: Учеб. посо</w:t>
      </w:r>
      <w:r w:rsidR="00BB2281" w:rsidRPr="009368ED">
        <w:rPr>
          <w:sz w:val="28"/>
          <w:szCs w:val="28"/>
        </w:rPr>
        <w:t xml:space="preserve">бие. – </w:t>
      </w:r>
      <w:r w:rsidRPr="009368ED">
        <w:rPr>
          <w:sz w:val="28"/>
          <w:szCs w:val="28"/>
        </w:rPr>
        <w:t>М.:</w:t>
      </w:r>
      <w:r w:rsidR="009368ED">
        <w:rPr>
          <w:sz w:val="28"/>
          <w:szCs w:val="28"/>
        </w:rPr>
        <w:t xml:space="preserve"> </w:t>
      </w:r>
      <w:r w:rsidRPr="009368ED">
        <w:rPr>
          <w:sz w:val="28"/>
          <w:szCs w:val="28"/>
        </w:rPr>
        <w:t>ИНФРА-М,</w:t>
      </w:r>
      <w:r w:rsidR="009368ED">
        <w:rPr>
          <w:sz w:val="28"/>
          <w:szCs w:val="28"/>
        </w:rPr>
        <w:t xml:space="preserve"> </w:t>
      </w:r>
      <w:r w:rsidRPr="009368ED">
        <w:rPr>
          <w:sz w:val="28"/>
          <w:szCs w:val="28"/>
        </w:rPr>
        <w:t>2002</w:t>
      </w:r>
    </w:p>
    <w:p w:rsidR="00BB2281" w:rsidRPr="009368ED" w:rsidRDefault="00BB2281" w:rsidP="009368E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368ED">
        <w:rPr>
          <w:bCs/>
          <w:sz w:val="28"/>
          <w:szCs w:val="28"/>
        </w:rPr>
        <w:t>Макаренко М.В.</w:t>
      </w:r>
      <w:r w:rsidR="009368ED">
        <w:rPr>
          <w:sz w:val="28"/>
          <w:szCs w:val="28"/>
        </w:rPr>
        <w:t xml:space="preserve"> </w:t>
      </w:r>
      <w:r w:rsidRPr="009368ED">
        <w:rPr>
          <w:sz w:val="28"/>
          <w:szCs w:val="28"/>
        </w:rPr>
        <w:t>Производственный менеджмент: Учебное пособие для вузов. – М.: Приор,</w:t>
      </w:r>
      <w:r w:rsidR="009368ED">
        <w:rPr>
          <w:sz w:val="28"/>
          <w:szCs w:val="28"/>
        </w:rPr>
        <w:t xml:space="preserve"> </w:t>
      </w:r>
      <w:r w:rsidRPr="009368ED">
        <w:rPr>
          <w:sz w:val="28"/>
          <w:szCs w:val="28"/>
        </w:rPr>
        <w:t>1998</w:t>
      </w:r>
    </w:p>
    <w:p w:rsidR="00A80AB1" w:rsidRPr="009368ED" w:rsidRDefault="00A80AB1" w:rsidP="009368E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368ED">
        <w:rPr>
          <w:color w:val="000000"/>
          <w:sz w:val="28"/>
          <w:szCs w:val="28"/>
        </w:rPr>
        <w:t>Соломатин Н</w:t>
      </w:r>
      <w:r w:rsidR="00933616" w:rsidRPr="009368ED">
        <w:rPr>
          <w:color w:val="000000"/>
          <w:sz w:val="28"/>
          <w:szCs w:val="28"/>
        </w:rPr>
        <w:t>.</w:t>
      </w:r>
      <w:r w:rsidRPr="009368ED">
        <w:rPr>
          <w:color w:val="000000"/>
          <w:sz w:val="28"/>
          <w:szCs w:val="28"/>
        </w:rPr>
        <w:t>Л. Оперативное управление производст</w:t>
      </w:r>
      <w:r w:rsidRPr="009368ED">
        <w:rPr>
          <w:color w:val="000000"/>
          <w:sz w:val="28"/>
          <w:szCs w:val="28"/>
        </w:rPr>
        <w:softHyphen/>
        <w:t xml:space="preserve">вом. </w:t>
      </w:r>
      <w:r w:rsidR="00933616" w:rsidRPr="009368ED">
        <w:rPr>
          <w:color w:val="000000"/>
          <w:sz w:val="28"/>
          <w:szCs w:val="28"/>
        </w:rPr>
        <w:t>– М., 1993</w:t>
      </w:r>
    </w:p>
    <w:p w:rsidR="00971426" w:rsidRPr="009368ED" w:rsidRDefault="00971426" w:rsidP="009368E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368ED">
        <w:rPr>
          <w:bCs/>
          <w:sz w:val="28"/>
          <w:szCs w:val="28"/>
        </w:rPr>
        <w:t>Фатхутдинов Р.А.</w:t>
      </w:r>
      <w:r w:rsidRPr="009368ED">
        <w:rPr>
          <w:sz w:val="28"/>
          <w:szCs w:val="28"/>
        </w:rPr>
        <w:t xml:space="preserve"> Производственный менеджмент. Учебник для вузов. – М.: Дашков и К,</w:t>
      </w:r>
      <w:r w:rsidR="009368ED">
        <w:rPr>
          <w:sz w:val="28"/>
          <w:szCs w:val="28"/>
        </w:rPr>
        <w:t xml:space="preserve"> </w:t>
      </w:r>
      <w:r w:rsidRPr="009368ED">
        <w:rPr>
          <w:sz w:val="28"/>
          <w:szCs w:val="28"/>
        </w:rPr>
        <w:t>2002</w:t>
      </w:r>
    </w:p>
    <w:p w:rsidR="00531177" w:rsidRPr="009368ED" w:rsidRDefault="00531177" w:rsidP="009368E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368ED">
        <w:rPr>
          <w:color w:val="000000"/>
          <w:sz w:val="28"/>
          <w:szCs w:val="28"/>
        </w:rPr>
        <w:t>Чейз Р.</w:t>
      </w:r>
      <w:r w:rsidR="00971426" w:rsidRPr="009368ED">
        <w:rPr>
          <w:color w:val="000000"/>
          <w:sz w:val="28"/>
          <w:szCs w:val="28"/>
        </w:rPr>
        <w:t>, Эквилайн Н.</w:t>
      </w:r>
      <w:r w:rsidRPr="009368ED">
        <w:rPr>
          <w:color w:val="000000"/>
          <w:sz w:val="28"/>
          <w:szCs w:val="28"/>
        </w:rPr>
        <w:t xml:space="preserve"> </w:t>
      </w:r>
      <w:r w:rsidRPr="009368ED">
        <w:rPr>
          <w:sz w:val="28"/>
          <w:szCs w:val="28"/>
        </w:rPr>
        <w:t>Производственный и операционный менеджмент</w:t>
      </w:r>
      <w:r w:rsidR="00971426" w:rsidRPr="009368ED">
        <w:rPr>
          <w:sz w:val="28"/>
          <w:szCs w:val="28"/>
        </w:rPr>
        <w:t>. – М.: Вильямс, 2004</w:t>
      </w:r>
      <w:bookmarkStart w:id="0" w:name="_GoBack"/>
      <w:bookmarkEnd w:id="0"/>
    </w:p>
    <w:sectPr w:rsidR="00531177" w:rsidRPr="009368ED" w:rsidSect="009368ED">
      <w:headerReference w:type="even" r:id="rId9"/>
      <w:headerReference w:type="default" r:id="rId10"/>
      <w:pgSz w:w="11906" w:h="16838"/>
      <w:pgMar w:top="1134" w:right="851" w:bottom="1134" w:left="1701" w:header="454" w:footer="454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CD" w:rsidRDefault="007124CD">
      <w:r>
        <w:separator/>
      </w:r>
    </w:p>
  </w:endnote>
  <w:endnote w:type="continuationSeparator" w:id="0">
    <w:p w:rsidR="007124CD" w:rsidRDefault="0071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CD" w:rsidRDefault="007124CD">
      <w:r>
        <w:separator/>
      </w:r>
    </w:p>
  </w:footnote>
  <w:footnote w:type="continuationSeparator" w:id="0">
    <w:p w:rsidR="007124CD" w:rsidRDefault="007124CD">
      <w:r>
        <w:continuationSeparator/>
      </w:r>
    </w:p>
  </w:footnote>
  <w:footnote w:id="1">
    <w:p w:rsidR="007124CD" w:rsidRDefault="00034D0E">
      <w:pPr>
        <w:pStyle w:val="a8"/>
      </w:pPr>
      <w:r w:rsidRPr="00034D0E">
        <w:rPr>
          <w:rStyle w:val="a3"/>
        </w:rPr>
        <w:footnoteRef/>
      </w:r>
      <w:r w:rsidRPr="00034D0E">
        <w:t xml:space="preserve"> </w:t>
      </w:r>
      <w:r w:rsidRPr="00034D0E">
        <w:rPr>
          <w:color w:val="000000"/>
        </w:rPr>
        <w:t xml:space="preserve">Чейз Р., Эквилайн Н. </w:t>
      </w:r>
      <w:r w:rsidRPr="00034D0E">
        <w:t>Производственный и операционный менеджмент. – М.: Вильямс, 2004</w:t>
      </w:r>
      <w:r>
        <w:t>, стр. 174</w:t>
      </w:r>
    </w:p>
  </w:footnote>
  <w:footnote w:id="2">
    <w:p w:rsidR="007124CD" w:rsidRDefault="00AE70B0">
      <w:pPr>
        <w:pStyle w:val="a8"/>
      </w:pPr>
      <w:r w:rsidRPr="00AE70B0">
        <w:rPr>
          <w:rStyle w:val="a3"/>
        </w:rPr>
        <w:footnoteRef/>
      </w:r>
      <w:r w:rsidRPr="00AE70B0">
        <w:t xml:space="preserve"> </w:t>
      </w:r>
      <w:r w:rsidRPr="00AE70B0">
        <w:rPr>
          <w:color w:val="000000"/>
        </w:rPr>
        <w:t xml:space="preserve">Чейз Р., Эквилайн Н. </w:t>
      </w:r>
      <w:r w:rsidRPr="00AE70B0">
        <w:t>Производственный и операционный менеджмент. – М.: Вильямс, 2004</w:t>
      </w:r>
      <w:r>
        <w:t>, стр. 885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3A" w:rsidRDefault="000F073A" w:rsidP="003F4539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23</w:t>
    </w:r>
  </w:p>
  <w:p w:rsidR="000F073A" w:rsidRDefault="000F073A" w:rsidP="003F4539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3A" w:rsidRDefault="00500319" w:rsidP="00AA433D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3</w:t>
    </w:r>
  </w:p>
  <w:p w:rsidR="000F073A" w:rsidRDefault="000F073A" w:rsidP="003F4539">
    <w:pPr>
      <w:pStyle w:val="ac"/>
      <w:framePr w:wrap="around" w:vAnchor="text" w:hAnchor="page" w:x="6382" w:y="-93"/>
      <w:ind w:right="360"/>
      <w:rPr>
        <w:rStyle w:val="ae"/>
      </w:rPr>
    </w:pPr>
  </w:p>
  <w:p w:rsidR="000F073A" w:rsidRDefault="000F073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79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491BDF"/>
    <w:multiLevelType w:val="singleLevel"/>
    <w:tmpl w:val="148828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0CC801A5"/>
    <w:multiLevelType w:val="singleLevel"/>
    <w:tmpl w:val="AB4627F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1442588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64736F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78C63B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6">
    <w:nsid w:val="287D7B9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D0E40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4FB4567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55F4A9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78C47D5"/>
    <w:multiLevelType w:val="hybridMultilevel"/>
    <w:tmpl w:val="07BACEA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8E484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2573B61"/>
    <w:multiLevelType w:val="hybridMultilevel"/>
    <w:tmpl w:val="A94EC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460DA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3641349"/>
    <w:multiLevelType w:val="hybridMultilevel"/>
    <w:tmpl w:val="EAE4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F818D5"/>
    <w:multiLevelType w:val="singleLevel"/>
    <w:tmpl w:val="B25CED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6">
    <w:nsid w:val="47292BF4"/>
    <w:multiLevelType w:val="hybridMultilevel"/>
    <w:tmpl w:val="80222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922DE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6F25A1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DF379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F5D389D"/>
    <w:multiLevelType w:val="singleLevel"/>
    <w:tmpl w:val="A8E6F82E"/>
    <w:lvl w:ilvl="0">
      <w:start w:val="1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2F47407"/>
    <w:multiLevelType w:val="hybridMultilevel"/>
    <w:tmpl w:val="761EF3D0"/>
    <w:lvl w:ilvl="0" w:tplc="39387B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652A403E"/>
    <w:multiLevelType w:val="hybridMultilevel"/>
    <w:tmpl w:val="A99C4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1C5A79"/>
    <w:multiLevelType w:val="hybridMultilevel"/>
    <w:tmpl w:val="41B060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CF1743"/>
    <w:multiLevelType w:val="hybridMultilevel"/>
    <w:tmpl w:val="33C0A9D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73C1D22"/>
    <w:multiLevelType w:val="singleLevel"/>
    <w:tmpl w:val="29BC7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B0F45CE"/>
    <w:multiLevelType w:val="singleLevel"/>
    <w:tmpl w:val="9862624C"/>
    <w:lvl w:ilvl="0">
      <w:start w:val="1"/>
      <w:numFmt w:val="decimal"/>
      <w:lvlText w:val="%1) "/>
      <w:legacy w:legacy="1" w:legacySpace="0" w:legacyIndent="283"/>
      <w:lvlJc w:val="left"/>
      <w:pPr>
        <w:ind w:left="56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7">
    <w:nsid w:val="7D4F066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0"/>
  </w:num>
  <w:num w:numId="5">
    <w:abstractNumId w:val="23"/>
  </w:num>
  <w:num w:numId="6">
    <w:abstractNumId w:val="14"/>
  </w:num>
  <w:num w:numId="7">
    <w:abstractNumId w:val="12"/>
  </w:num>
  <w:num w:numId="8">
    <w:abstractNumId w:val="16"/>
  </w:num>
  <w:num w:numId="9">
    <w:abstractNumId w:val="2"/>
  </w:num>
  <w:num w:numId="10">
    <w:abstractNumId w:val="1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</w:num>
  <w:num w:numId="14">
    <w:abstractNumId w:val="5"/>
  </w:num>
  <w:num w:numId="15">
    <w:abstractNumId w:val="25"/>
  </w:num>
  <w:num w:numId="16">
    <w:abstractNumId w:val="4"/>
  </w:num>
  <w:num w:numId="17">
    <w:abstractNumId w:val="13"/>
  </w:num>
  <w:num w:numId="18">
    <w:abstractNumId w:val="3"/>
  </w:num>
  <w:num w:numId="19">
    <w:abstractNumId w:val="0"/>
  </w:num>
  <w:num w:numId="20">
    <w:abstractNumId w:val="11"/>
  </w:num>
  <w:num w:numId="21">
    <w:abstractNumId w:val="18"/>
  </w:num>
  <w:num w:numId="22">
    <w:abstractNumId w:val="8"/>
  </w:num>
  <w:num w:numId="23">
    <w:abstractNumId w:val="27"/>
  </w:num>
  <w:num w:numId="24">
    <w:abstractNumId w:val="19"/>
  </w:num>
  <w:num w:numId="25">
    <w:abstractNumId w:val="6"/>
  </w:num>
  <w:num w:numId="26">
    <w:abstractNumId w:val="20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3CB"/>
    <w:rsid w:val="00001D59"/>
    <w:rsid w:val="00013861"/>
    <w:rsid w:val="00021198"/>
    <w:rsid w:val="0002779A"/>
    <w:rsid w:val="00031C1C"/>
    <w:rsid w:val="00031F84"/>
    <w:rsid w:val="000325FF"/>
    <w:rsid w:val="00034D0E"/>
    <w:rsid w:val="000426C0"/>
    <w:rsid w:val="0004394D"/>
    <w:rsid w:val="00044A8C"/>
    <w:rsid w:val="00045A3D"/>
    <w:rsid w:val="00046A98"/>
    <w:rsid w:val="00063FCE"/>
    <w:rsid w:val="00072130"/>
    <w:rsid w:val="00090F03"/>
    <w:rsid w:val="0009213B"/>
    <w:rsid w:val="000A0D94"/>
    <w:rsid w:val="000A53CB"/>
    <w:rsid w:val="000C2602"/>
    <w:rsid w:val="000D2C50"/>
    <w:rsid w:val="000D798E"/>
    <w:rsid w:val="000F073A"/>
    <w:rsid w:val="000F4556"/>
    <w:rsid w:val="00111F0C"/>
    <w:rsid w:val="0011311C"/>
    <w:rsid w:val="00116E25"/>
    <w:rsid w:val="001256C9"/>
    <w:rsid w:val="00132CBD"/>
    <w:rsid w:val="00132E30"/>
    <w:rsid w:val="00147683"/>
    <w:rsid w:val="00153FE8"/>
    <w:rsid w:val="00156D63"/>
    <w:rsid w:val="00163060"/>
    <w:rsid w:val="001672DB"/>
    <w:rsid w:val="00173AAB"/>
    <w:rsid w:val="00176A7B"/>
    <w:rsid w:val="00181B33"/>
    <w:rsid w:val="00186585"/>
    <w:rsid w:val="00187097"/>
    <w:rsid w:val="00192191"/>
    <w:rsid w:val="001A1996"/>
    <w:rsid w:val="001A5E21"/>
    <w:rsid w:val="001A7D7C"/>
    <w:rsid w:val="001B1B95"/>
    <w:rsid w:val="001F0899"/>
    <w:rsid w:val="001F096C"/>
    <w:rsid w:val="00201621"/>
    <w:rsid w:val="0020451A"/>
    <w:rsid w:val="00204EB9"/>
    <w:rsid w:val="002050C6"/>
    <w:rsid w:val="00213EED"/>
    <w:rsid w:val="00225329"/>
    <w:rsid w:val="00230B4B"/>
    <w:rsid w:val="00231B87"/>
    <w:rsid w:val="00235367"/>
    <w:rsid w:val="00254AB0"/>
    <w:rsid w:val="00277484"/>
    <w:rsid w:val="00277EDA"/>
    <w:rsid w:val="00281694"/>
    <w:rsid w:val="00281C42"/>
    <w:rsid w:val="002860BF"/>
    <w:rsid w:val="00293B68"/>
    <w:rsid w:val="002A0F5F"/>
    <w:rsid w:val="002A277A"/>
    <w:rsid w:val="002A2F91"/>
    <w:rsid w:val="002C10A3"/>
    <w:rsid w:val="002C32B1"/>
    <w:rsid w:val="002C368D"/>
    <w:rsid w:val="002D1028"/>
    <w:rsid w:val="002D513E"/>
    <w:rsid w:val="002E0131"/>
    <w:rsid w:val="002E1AC2"/>
    <w:rsid w:val="002E3305"/>
    <w:rsid w:val="002E4917"/>
    <w:rsid w:val="002F0FB2"/>
    <w:rsid w:val="002F163F"/>
    <w:rsid w:val="003008A7"/>
    <w:rsid w:val="00302691"/>
    <w:rsid w:val="00302BEC"/>
    <w:rsid w:val="00303E4E"/>
    <w:rsid w:val="003079F8"/>
    <w:rsid w:val="003200DF"/>
    <w:rsid w:val="00330560"/>
    <w:rsid w:val="0033592C"/>
    <w:rsid w:val="003420BA"/>
    <w:rsid w:val="00343590"/>
    <w:rsid w:val="003458F2"/>
    <w:rsid w:val="00345E0A"/>
    <w:rsid w:val="003467A8"/>
    <w:rsid w:val="003504DC"/>
    <w:rsid w:val="00353E2D"/>
    <w:rsid w:val="003671AA"/>
    <w:rsid w:val="0037024F"/>
    <w:rsid w:val="00377DA1"/>
    <w:rsid w:val="00381C4D"/>
    <w:rsid w:val="003977AA"/>
    <w:rsid w:val="003A3F5B"/>
    <w:rsid w:val="003A6124"/>
    <w:rsid w:val="003C2744"/>
    <w:rsid w:val="003E16F7"/>
    <w:rsid w:val="003E4811"/>
    <w:rsid w:val="003E5258"/>
    <w:rsid w:val="003F24B7"/>
    <w:rsid w:val="003F4539"/>
    <w:rsid w:val="003F4A47"/>
    <w:rsid w:val="003F52F9"/>
    <w:rsid w:val="00410BBD"/>
    <w:rsid w:val="004159F9"/>
    <w:rsid w:val="00426651"/>
    <w:rsid w:val="0042750C"/>
    <w:rsid w:val="00433F3C"/>
    <w:rsid w:val="00446ADB"/>
    <w:rsid w:val="004560D4"/>
    <w:rsid w:val="00456B23"/>
    <w:rsid w:val="004603A2"/>
    <w:rsid w:val="0046053F"/>
    <w:rsid w:val="0046452F"/>
    <w:rsid w:val="00464699"/>
    <w:rsid w:val="00485406"/>
    <w:rsid w:val="00485AA9"/>
    <w:rsid w:val="0048653D"/>
    <w:rsid w:val="004A1795"/>
    <w:rsid w:val="004A6858"/>
    <w:rsid w:val="004B56B1"/>
    <w:rsid w:val="004D2770"/>
    <w:rsid w:val="004D286A"/>
    <w:rsid w:val="004E66B5"/>
    <w:rsid w:val="004F322A"/>
    <w:rsid w:val="004F579D"/>
    <w:rsid w:val="005000B7"/>
    <w:rsid w:val="00500319"/>
    <w:rsid w:val="00516872"/>
    <w:rsid w:val="00531177"/>
    <w:rsid w:val="005706A1"/>
    <w:rsid w:val="00585406"/>
    <w:rsid w:val="00586226"/>
    <w:rsid w:val="005A10E0"/>
    <w:rsid w:val="005A6585"/>
    <w:rsid w:val="005B02C1"/>
    <w:rsid w:val="005B1FAC"/>
    <w:rsid w:val="005B6959"/>
    <w:rsid w:val="005B72FA"/>
    <w:rsid w:val="005B7894"/>
    <w:rsid w:val="005C5885"/>
    <w:rsid w:val="005D2164"/>
    <w:rsid w:val="005E59D5"/>
    <w:rsid w:val="005E792E"/>
    <w:rsid w:val="005F331B"/>
    <w:rsid w:val="006025E6"/>
    <w:rsid w:val="006123FA"/>
    <w:rsid w:val="00614676"/>
    <w:rsid w:val="006202E3"/>
    <w:rsid w:val="00627FA6"/>
    <w:rsid w:val="006325F6"/>
    <w:rsid w:val="00645D0A"/>
    <w:rsid w:val="006532AB"/>
    <w:rsid w:val="00654469"/>
    <w:rsid w:val="00655D69"/>
    <w:rsid w:val="00656F95"/>
    <w:rsid w:val="00693B45"/>
    <w:rsid w:val="006A3F9E"/>
    <w:rsid w:val="006B4FA9"/>
    <w:rsid w:val="006C0D14"/>
    <w:rsid w:val="006C2D6C"/>
    <w:rsid w:val="006C50B3"/>
    <w:rsid w:val="006C5D74"/>
    <w:rsid w:val="006C62BB"/>
    <w:rsid w:val="006E2D26"/>
    <w:rsid w:val="006F357E"/>
    <w:rsid w:val="0070072D"/>
    <w:rsid w:val="0070163D"/>
    <w:rsid w:val="00703E2C"/>
    <w:rsid w:val="00705CD1"/>
    <w:rsid w:val="00710A91"/>
    <w:rsid w:val="007124CD"/>
    <w:rsid w:val="00722E01"/>
    <w:rsid w:val="0073156A"/>
    <w:rsid w:val="007373C6"/>
    <w:rsid w:val="00740747"/>
    <w:rsid w:val="007526E8"/>
    <w:rsid w:val="00755FAE"/>
    <w:rsid w:val="00782460"/>
    <w:rsid w:val="00786FA6"/>
    <w:rsid w:val="007920F0"/>
    <w:rsid w:val="007A30E8"/>
    <w:rsid w:val="007B10FE"/>
    <w:rsid w:val="007B45B7"/>
    <w:rsid w:val="007B54D5"/>
    <w:rsid w:val="007C0FCE"/>
    <w:rsid w:val="007C14A2"/>
    <w:rsid w:val="007D166C"/>
    <w:rsid w:val="007E25C6"/>
    <w:rsid w:val="007E318B"/>
    <w:rsid w:val="007E6E39"/>
    <w:rsid w:val="007F368F"/>
    <w:rsid w:val="00814C2C"/>
    <w:rsid w:val="008311DF"/>
    <w:rsid w:val="0084537B"/>
    <w:rsid w:val="0084614B"/>
    <w:rsid w:val="00852A24"/>
    <w:rsid w:val="0085793C"/>
    <w:rsid w:val="008628A5"/>
    <w:rsid w:val="00863F48"/>
    <w:rsid w:val="00873E79"/>
    <w:rsid w:val="00873F1C"/>
    <w:rsid w:val="00880CAD"/>
    <w:rsid w:val="0088142B"/>
    <w:rsid w:val="0088309B"/>
    <w:rsid w:val="00890B2B"/>
    <w:rsid w:val="00891D9D"/>
    <w:rsid w:val="00893A96"/>
    <w:rsid w:val="008A7586"/>
    <w:rsid w:val="008A7894"/>
    <w:rsid w:val="008B710C"/>
    <w:rsid w:val="008C4719"/>
    <w:rsid w:val="008C7FF4"/>
    <w:rsid w:val="008E1EB6"/>
    <w:rsid w:val="00933616"/>
    <w:rsid w:val="009368ED"/>
    <w:rsid w:val="00941773"/>
    <w:rsid w:val="0095110F"/>
    <w:rsid w:val="00965E8C"/>
    <w:rsid w:val="00971426"/>
    <w:rsid w:val="00972E97"/>
    <w:rsid w:val="009739FF"/>
    <w:rsid w:val="009745EB"/>
    <w:rsid w:val="00977332"/>
    <w:rsid w:val="00994A8B"/>
    <w:rsid w:val="0099685C"/>
    <w:rsid w:val="009A1ED7"/>
    <w:rsid w:val="009D00A9"/>
    <w:rsid w:val="009D293C"/>
    <w:rsid w:val="009E2BC6"/>
    <w:rsid w:val="009F37AD"/>
    <w:rsid w:val="00A01907"/>
    <w:rsid w:val="00A05CAE"/>
    <w:rsid w:val="00A1545B"/>
    <w:rsid w:val="00A20F3C"/>
    <w:rsid w:val="00A46C0F"/>
    <w:rsid w:val="00A505EE"/>
    <w:rsid w:val="00A63420"/>
    <w:rsid w:val="00A66F7F"/>
    <w:rsid w:val="00A71317"/>
    <w:rsid w:val="00A74EC5"/>
    <w:rsid w:val="00A80AB1"/>
    <w:rsid w:val="00A8295E"/>
    <w:rsid w:val="00A87737"/>
    <w:rsid w:val="00A979F6"/>
    <w:rsid w:val="00AA2500"/>
    <w:rsid w:val="00AA433D"/>
    <w:rsid w:val="00AB50BD"/>
    <w:rsid w:val="00AC4053"/>
    <w:rsid w:val="00AD4C0E"/>
    <w:rsid w:val="00AD4DC2"/>
    <w:rsid w:val="00AD4FF7"/>
    <w:rsid w:val="00AE70B0"/>
    <w:rsid w:val="00AF51CD"/>
    <w:rsid w:val="00B00D0D"/>
    <w:rsid w:val="00B00FC3"/>
    <w:rsid w:val="00B0611E"/>
    <w:rsid w:val="00B06908"/>
    <w:rsid w:val="00B13AFA"/>
    <w:rsid w:val="00B2060C"/>
    <w:rsid w:val="00B34424"/>
    <w:rsid w:val="00B43B37"/>
    <w:rsid w:val="00B5280C"/>
    <w:rsid w:val="00B67503"/>
    <w:rsid w:val="00B67CB8"/>
    <w:rsid w:val="00B75EA8"/>
    <w:rsid w:val="00B857E6"/>
    <w:rsid w:val="00B85A6B"/>
    <w:rsid w:val="00B85BD5"/>
    <w:rsid w:val="00B95719"/>
    <w:rsid w:val="00BA5104"/>
    <w:rsid w:val="00BB2281"/>
    <w:rsid w:val="00BB40C9"/>
    <w:rsid w:val="00BB6A41"/>
    <w:rsid w:val="00BC7438"/>
    <w:rsid w:val="00BD26B4"/>
    <w:rsid w:val="00BE39CC"/>
    <w:rsid w:val="00BE444F"/>
    <w:rsid w:val="00BF265D"/>
    <w:rsid w:val="00BF5461"/>
    <w:rsid w:val="00BF71C0"/>
    <w:rsid w:val="00C000DC"/>
    <w:rsid w:val="00C011F6"/>
    <w:rsid w:val="00C01DE2"/>
    <w:rsid w:val="00C16F4F"/>
    <w:rsid w:val="00C3030F"/>
    <w:rsid w:val="00C30F9F"/>
    <w:rsid w:val="00C32088"/>
    <w:rsid w:val="00C40C1F"/>
    <w:rsid w:val="00C51241"/>
    <w:rsid w:val="00C51282"/>
    <w:rsid w:val="00C55D11"/>
    <w:rsid w:val="00C65F09"/>
    <w:rsid w:val="00C738A7"/>
    <w:rsid w:val="00CA0C70"/>
    <w:rsid w:val="00CA3F2F"/>
    <w:rsid w:val="00CA6690"/>
    <w:rsid w:val="00CB53DC"/>
    <w:rsid w:val="00CB6207"/>
    <w:rsid w:val="00CC4FAF"/>
    <w:rsid w:val="00CC65E2"/>
    <w:rsid w:val="00CC72F6"/>
    <w:rsid w:val="00CF6491"/>
    <w:rsid w:val="00CF7B20"/>
    <w:rsid w:val="00D0070C"/>
    <w:rsid w:val="00D008AD"/>
    <w:rsid w:val="00D04AA0"/>
    <w:rsid w:val="00D13B79"/>
    <w:rsid w:val="00D15BB4"/>
    <w:rsid w:val="00D20F80"/>
    <w:rsid w:val="00D218D3"/>
    <w:rsid w:val="00D244EC"/>
    <w:rsid w:val="00D2460C"/>
    <w:rsid w:val="00D25D91"/>
    <w:rsid w:val="00D35BD0"/>
    <w:rsid w:val="00D441B8"/>
    <w:rsid w:val="00D61B78"/>
    <w:rsid w:val="00D7499D"/>
    <w:rsid w:val="00D952FC"/>
    <w:rsid w:val="00DC1DCB"/>
    <w:rsid w:val="00DC4353"/>
    <w:rsid w:val="00DC65F2"/>
    <w:rsid w:val="00DD6757"/>
    <w:rsid w:val="00DD7589"/>
    <w:rsid w:val="00E0200D"/>
    <w:rsid w:val="00E145CD"/>
    <w:rsid w:val="00E25105"/>
    <w:rsid w:val="00E27C16"/>
    <w:rsid w:val="00E31623"/>
    <w:rsid w:val="00E32270"/>
    <w:rsid w:val="00E34101"/>
    <w:rsid w:val="00E42935"/>
    <w:rsid w:val="00E5431A"/>
    <w:rsid w:val="00E61D72"/>
    <w:rsid w:val="00E761EF"/>
    <w:rsid w:val="00E80615"/>
    <w:rsid w:val="00E84292"/>
    <w:rsid w:val="00E87A09"/>
    <w:rsid w:val="00E9341C"/>
    <w:rsid w:val="00EA039B"/>
    <w:rsid w:val="00ED75B0"/>
    <w:rsid w:val="00EE6CE9"/>
    <w:rsid w:val="00EE6FE8"/>
    <w:rsid w:val="00EF1F22"/>
    <w:rsid w:val="00EF68A0"/>
    <w:rsid w:val="00F02302"/>
    <w:rsid w:val="00F40B34"/>
    <w:rsid w:val="00F53C33"/>
    <w:rsid w:val="00F60766"/>
    <w:rsid w:val="00F65B2D"/>
    <w:rsid w:val="00F7302F"/>
    <w:rsid w:val="00F77BF2"/>
    <w:rsid w:val="00FA1F26"/>
    <w:rsid w:val="00FA79B3"/>
    <w:rsid w:val="00FB2886"/>
    <w:rsid w:val="00FB7F4D"/>
    <w:rsid w:val="00FC26FD"/>
    <w:rsid w:val="00FC5902"/>
    <w:rsid w:val="00FC7573"/>
    <w:rsid w:val="00FE198F"/>
    <w:rsid w:val="00FE7656"/>
    <w:rsid w:val="00FE7CDA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E857CE5-3467-46C6-BD5B-55092532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pPr>
      <w:keepNext/>
      <w:ind w:right="88" w:firstLine="567"/>
      <w:jc w:val="center"/>
      <w:outlineLvl w:val="1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3F24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4">
    <w:name w:val="H4"/>
    <w:basedOn w:val="a"/>
    <w:next w:val="a"/>
    <w:uiPriority w:val="99"/>
    <w:pPr>
      <w:keepNext/>
      <w:spacing w:before="100" w:after="100"/>
      <w:outlineLvl w:val="4"/>
    </w:pPr>
    <w:rPr>
      <w:b/>
      <w:sz w:val="24"/>
    </w:rPr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paragraph" w:styleId="a4">
    <w:name w:val="Body Text Indent"/>
    <w:basedOn w:val="a"/>
    <w:link w:val="a5"/>
    <w:uiPriority w:val="99"/>
    <w:pPr>
      <w:ind w:right="88" w:firstLine="567"/>
      <w:jc w:val="both"/>
    </w:pPr>
    <w:rPr>
      <w:sz w:val="28"/>
      <w:lang w:val="en-US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right="88" w:firstLine="1134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6">
    <w:name w:val="Body Text"/>
    <w:basedOn w:val="a"/>
    <w:link w:val="a7"/>
    <w:uiPriority w:val="99"/>
    <w:pPr>
      <w:ind w:right="2200"/>
      <w:jc w:val="center"/>
    </w:pPr>
    <w:rPr>
      <w:b/>
      <w:sz w:val="28"/>
      <w:lang w:val="en-US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  <w:style w:type="character" w:styleId="ae">
    <w:name w:val="page number"/>
    <w:uiPriority w:val="99"/>
    <w:rPr>
      <w:rFonts w:cs="Times New Roman"/>
    </w:rPr>
  </w:style>
  <w:style w:type="paragraph" w:styleId="af">
    <w:name w:val="footer"/>
    <w:basedOn w:val="a"/>
    <w:link w:val="af0"/>
    <w:uiPriority w:val="99"/>
    <w:rsid w:val="006E2D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852A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f1">
    <w:name w:val="Block Text"/>
    <w:basedOn w:val="a"/>
    <w:uiPriority w:val="99"/>
    <w:rsid w:val="003008A7"/>
    <w:pPr>
      <w:spacing w:line="360" w:lineRule="auto"/>
      <w:ind w:left="57" w:right="57" w:firstLine="709"/>
      <w:jc w:val="both"/>
    </w:pPr>
    <w:rPr>
      <w:sz w:val="28"/>
      <w:szCs w:val="24"/>
    </w:rPr>
  </w:style>
  <w:style w:type="paragraph" w:styleId="af2">
    <w:name w:val="Normal (Web)"/>
    <w:basedOn w:val="a"/>
    <w:uiPriority w:val="99"/>
    <w:rsid w:val="004F322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303E4E"/>
    <w:rPr>
      <w:rFonts w:cs="Times New Roman"/>
      <w:color w:val="000000"/>
      <w:u w:val="none"/>
      <w:effect w:val="none"/>
    </w:rPr>
  </w:style>
  <w:style w:type="paragraph" w:customStyle="1" w:styleId="23">
    <w:name w:val="Обычный (веб)2"/>
    <w:basedOn w:val="a"/>
    <w:uiPriority w:val="99"/>
    <w:rsid w:val="00303E4E"/>
    <w:pPr>
      <w:spacing w:before="120" w:after="15"/>
    </w:pPr>
    <w:rPr>
      <w:rFonts w:ascii="Verdana" w:hAnsi="Verdana"/>
    </w:rPr>
  </w:style>
  <w:style w:type="table" w:styleId="af4">
    <w:name w:val="Table Grid"/>
    <w:basedOn w:val="a1"/>
    <w:uiPriority w:val="99"/>
    <w:rsid w:val="00BD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343590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Pr>
      <w:sz w:val="20"/>
      <w:szCs w:val="20"/>
    </w:rPr>
  </w:style>
  <w:style w:type="paragraph" w:customStyle="1" w:styleId="1">
    <w:name w:val="заголовок 1"/>
    <w:basedOn w:val="a"/>
    <w:next w:val="a"/>
    <w:uiPriority w:val="99"/>
    <w:rsid w:val="00343590"/>
    <w:pPr>
      <w:keepNext/>
      <w:autoSpaceDE w:val="0"/>
      <w:autoSpaceDN w:val="0"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343590"/>
    <w:pPr>
      <w:keepNext/>
      <w:autoSpaceDE w:val="0"/>
      <w:autoSpaceDN w:val="0"/>
      <w:spacing w:before="600"/>
      <w:ind w:firstLine="7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343590"/>
    <w:pPr>
      <w:keepNext/>
      <w:autoSpaceDE w:val="0"/>
      <w:autoSpaceDN w:val="0"/>
      <w:spacing w:before="720"/>
      <w:ind w:firstLine="720"/>
      <w:jc w:val="center"/>
    </w:pPr>
    <w:rPr>
      <w:rFonts w:ascii="Arial" w:hAnsi="Arial" w:cs="Arial"/>
      <w:b/>
      <w:bCs/>
      <w:sz w:val="28"/>
      <w:szCs w:val="28"/>
    </w:rPr>
  </w:style>
  <w:style w:type="paragraph" w:styleId="af5">
    <w:name w:val="Title"/>
    <w:basedOn w:val="a"/>
    <w:link w:val="af6"/>
    <w:uiPriority w:val="99"/>
    <w:qFormat/>
    <w:rsid w:val="00343590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ANRI</dc:creator>
  <cp:keywords/>
  <dc:description/>
  <cp:lastModifiedBy>admin</cp:lastModifiedBy>
  <cp:revision>2</cp:revision>
  <dcterms:created xsi:type="dcterms:W3CDTF">2014-02-28T21:04:00Z</dcterms:created>
  <dcterms:modified xsi:type="dcterms:W3CDTF">2014-02-28T21:04:00Z</dcterms:modified>
</cp:coreProperties>
</file>