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26687">
        <w:rPr>
          <w:noProof/>
          <w:color w:val="000000"/>
          <w:sz w:val="28"/>
          <w:szCs w:val="28"/>
        </w:rPr>
        <w:t>КОНТРОЛЬНАЯ РАБОТА</w:t>
      </w:r>
    </w:p>
    <w:p w:rsidR="007E6927" w:rsidRPr="00426687" w:rsidRDefault="007E6927" w:rsidP="007E6927">
      <w:pPr>
        <w:tabs>
          <w:tab w:val="right" w:pos="9638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426687">
        <w:rPr>
          <w:noProof/>
          <w:color w:val="000000"/>
          <w:sz w:val="28"/>
          <w:szCs w:val="28"/>
        </w:rPr>
        <w:t>н</w:t>
      </w:r>
      <w:r w:rsidR="00E37CD4" w:rsidRPr="00426687">
        <w:rPr>
          <w:noProof/>
          <w:color w:val="000000"/>
          <w:sz w:val="28"/>
          <w:szCs w:val="28"/>
        </w:rPr>
        <w:t>а тему</w:t>
      </w:r>
    </w:p>
    <w:p w:rsidR="00E37CD4" w:rsidRPr="00426687" w:rsidRDefault="00E37CD4" w:rsidP="007E6927">
      <w:pPr>
        <w:tabs>
          <w:tab w:val="right" w:pos="9638"/>
        </w:tabs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426687">
        <w:rPr>
          <w:b/>
          <w:noProof/>
          <w:color w:val="000000"/>
          <w:sz w:val="28"/>
          <w:szCs w:val="28"/>
        </w:rPr>
        <w:t>Сопоставления сальдо расходов и поступлений</w:t>
      </w: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E6927" w:rsidRPr="00426687" w:rsidRDefault="007E6927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26687">
        <w:rPr>
          <w:noProof/>
          <w:color w:val="000000"/>
          <w:sz w:val="28"/>
          <w:szCs w:val="28"/>
        </w:rPr>
        <w:t>Архангельск</w:t>
      </w:r>
    </w:p>
    <w:p w:rsidR="00E37CD4" w:rsidRPr="00426687" w:rsidRDefault="00E37CD4" w:rsidP="007E6927">
      <w:pPr>
        <w:spacing w:line="360" w:lineRule="auto"/>
        <w:jc w:val="center"/>
        <w:rPr>
          <w:noProof/>
          <w:color w:val="000000"/>
          <w:sz w:val="28"/>
        </w:rPr>
      </w:pPr>
      <w:r w:rsidRPr="00426687">
        <w:rPr>
          <w:noProof/>
          <w:color w:val="000000"/>
          <w:sz w:val="28"/>
          <w:szCs w:val="28"/>
        </w:rPr>
        <w:t>2008</w: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687">
        <w:rPr>
          <w:noProof/>
          <w:color w:val="000000"/>
          <w:sz w:val="28"/>
          <w:szCs w:val="28"/>
        </w:rPr>
        <w:br w:type="page"/>
        <w:t>ЗАДАНИЕ 1</w: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687">
        <w:rPr>
          <w:noProof/>
          <w:color w:val="000000"/>
          <w:sz w:val="28"/>
          <w:szCs w:val="28"/>
        </w:rPr>
        <w:t>Таблица 1 – Расчет ежегодных поступлений при эксплуатации нового или старого модернизированного оборудования (тыс. руб.)</w:t>
      </w: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34"/>
        <w:gridCol w:w="2041"/>
        <w:gridCol w:w="2596"/>
      </w:tblGrid>
      <w:tr w:rsidR="00E37CD4" w:rsidRPr="00426687" w:rsidTr="007E6927">
        <w:trPr>
          <w:trHeight w:val="23"/>
        </w:trPr>
        <w:tc>
          <w:tcPr>
            <w:tcW w:w="257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1066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Новый комплекс</w:t>
            </w:r>
          </w:p>
        </w:tc>
        <w:tc>
          <w:tcPr>
            <w:tcW w:w="135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Старый модернизированный комплекс КИА</w:t>
            </w:r>
          </w:p>
        </w:tc>
      </w:tr>
      <w:tr w:rsidR="00E37CD4" w:rsidRPr="00426687" w:rsidTr="007E6927">
        <w:trPr>
          <w:trHeight w:val="23"/>
        </w:trPr>
        <w:tc>
          <w:tcPr>
            <w:tcW w:w="257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Ежегодная экономия, получаемая при эксплуатации комплекса</w:t>
            </w:r>
          </w:p>
        </w:tc>
        <w:tc>
          <w:tcPr>
            <w:tcW w:w="1066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20 000</w:t>
            </w:r>
          </w:p>
        </w:tc>
        <w:tc>
          <w:tcPr>
            <w:tcW w:w="135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12 000</w:t>
            </w:r>
          </w:p>
        </w:tc>
      </w:tr>
      <w:tr w:rsidR="00E37CD4" w:rsidRPr="00426687" w:rsidTr="007E6927">
        <w:trPr>
          <w:trHeight w:val="23"/>
        </w:trPr>
        <w:tc>
          <w:tcPr>
            <w:tcW w:w="257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Ежегодные эксплуатационные расходы</w:t>
            </w:r>
          </w:p>
        </w:tc>
        <w:tc>
          <w:tcPr>
            <w:tcW w:w="1066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5 000</w:t>
            </w:r>
          </w:p>
        </w:tc>
        <w:tc>
          <w:tcPr>
            <w:tcW w:w="135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12 000</w:t>
            </w:r>
          </w:p>
        </w:tc>
      </w:tr>
      <w:tr w:rsidR="00E37CD4" w:rsidRPr="00426687" w:rsidTr="007E6927">
        <w:trPr>
          <w:trHeight w:val="23"/>
        </w:trPr>
        <w:tc>
          <w:tcPr>
            <w:tcW w:w="257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Ежегодные поступления при эксплуатации комплекса (1-2)</w:t>
            </w:r>
          </w:p>
        </w:tc>
        <w:tc>
          <w:tcPr>
            <w:tcW w:w="1066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15 000</w:t>
            </w:r>
          </w:p>
        </w:tc>
        <w:tc>
          <w:tcPr>
            <w:tcW w:w="135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0</w:t>
            </w:r>
          </w:p>
        </w:tc>
      </w:tr>
    </w:tbl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687">
        <w:rPr>
          <w:noProof/>
          <w:color w:val="000000"/>
          <w:sz w:val="28"/>
          <w:szCs w:val="28"/>
        </w:rPr>
        <w:t>Коэффициент дисконтирования:</w:t>
      </w:r>
    </w:p>
    <w:p w:rsidR="007E6927" w:rsidRPr="00426687" w:rsidRDefault="007E6927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26687">
        <w:rPr>
          <w:noProof/>
          <w:color w:val="000000"/>
          <w:sz w:val="28"/>
          <w:szCs w:val="22"/>
        </w:rPr>
        <w:object w:dxaOrig="14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9.75pt" o:ole="">
            <v:imagedata r:id="rId6" o:title=""/>
          </v:shape>
          <o:OLEObject Type="Embed" ProgID="Equation.3" ShapeID="_x0000_i1025" DrawAspect="Content" ObjectID="_1462159324" r:id="rId7"/>
        </w:object>
      </w:r>
      <w:r w:rsidRPr="00426687">
        <w:rPr>
          <w:noProof/>
          <w:color w:val="000000"/>
          <w:sz w:val="28"/>
          <w:szCs w:val="22"/>
        </w:rPr>
        <w:t>,</w:t>
      </w:r>
    </w:p>
    <w:p w:rsidR="007E6927" w:rsidRPr="00426687" w:rsidRDefault="007E6927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26687">
        <w:rPr>
          <w:noProof/>
          <w:color w:val="000000"/>
          <w:sz w:val="28"/>
          <w:szCs w:val="22"/>
        </w:rPr>
        <w:t xml:space="preserve">где </w:t>
      </w:r>
      <w:r w:rsidRPr="00426687">
        <w:rPr>
          <w:noProof/>
          <w:color w:val="000000"/>
          <w:sz w:val="28"/>
        </w:rPr>
        <w:object w:dxaOrig="260" w:dyaOrig="240">
          <v:shape id="_x0000_i1026" type="#_x0000_t75" style="width:12.75pt;height:12pt" o:ole="">
            <v:imagedata r:id="rId8" o:title=""/>
          </v:shape>
          <o:OLEObject Type="Embed" ProgID="Equation.3" ShapeID="_x0000_i1026" DrawAspect="Content" ObjectID="_1462159325" r:id="rId9"/>
        </w:object>
      </w:r>
      <w:r w:rsidRPr="00426687">
        <w:rPr>
          <w:noProof/>
          <w:color w:val="000000"/>
          <w:sz w:val="28"/>
        </w:rPr>
        <w:t xml:space="preserve">- </w:t>
      </w:r>
      <w:r w:rsidRPr="00426687">
        <w:rPr>
          <w:noProof/>
          <w:color w:val="000000"/>
          <w:sz w:val="28"/>
          <w:szCs w:val="22"/>
        </w:rPr>
        <w:t>коэффициент дисконтирования,</w: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26687">
        <w:rPr>
          <w:noProof/>
          <w:color w:val="000000"/>
          <w:sz w:val="28"/>
          <w:szCs w:val="22"/>
        </w:rPr>
        <w:t>E- банковская ставка процента,</w: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26687">
        <w:rPr>
          <w:noProof/>
          <w:color w:val="000000"/>
          <w:sz w:val="28"/>
          <w:szCs w:val="22"/>
        </w:rPr>
        <w:t>t- год, для которого производится расчет коэффициента.</w: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26687">
        <w:rPr>
          <w:noProof/>
          <w:color w:val="000000"/>
          <w:sz w:val="28"/>
          <w:szCs w:val="22"/>
        </w:rPr>
        <w:t>593+88338+7000- 11000=84931 тыс. руб.</w: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E37CD4" w:rsidRPr="00426687" w:rsidRDefault="007E6927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687">
        <w:rPr>
          <w:noProof/>
          <w:color w:val="000000"/>
          <w:sz w:val="28"/>
          <w:szCs w:val="28"/>
        </w:rPr>
        <w:br w:type="page"/>
      </w:r>
      <w:r w:rsidR="00E37CD4" w:rsidRPr="00426687">
        <w:rPr>
          <w:noProof/>
          <w:color w:val="000000"/>
          <w:sz w:val="28"/>
          <w:szCs w:val="28"/>
        </w:rPr>
        <w:t>Таблица 2 – Расчет сальдо поступлений и расходов в случаях приобретения комплекса оборудования или модернизации старого</w:t>
      </w: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38"/>
        <w:gridCol w:w="2418"/>
        <w:gridCol w:w="1671"/>
        <w:gridCol w:w="1539"/>
        <w:gridCol w:w="1656"/>
        <w:gridCol w:w="1949"/>
      </w:tblGrid>
      <w:tr w:rsidR="00E37CD4" w:rsidRPr="00426687" w:rsidTr="007E6927">
        <w:trPr>
          <w:trHeight w:val="23"/>
        </w:trPr>
        <w:tc>
          <w:tcPr>
            <w:tcW w:w="17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iCs/>
                <w:noProof/>
                <w:color w:val="000000"/>
                <w:szCs w:val="24"/>
              </w:rPr>
            </w:pPr>
          </w:p>
        </w:tc>
        <w:tc>
          <w:tcPr>
            <w:tcW w:w="126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rFonts w:eastAsia="Arial Unicode MS"/>
                <w:iCs/>
                <w:noProof/>
                <w:color w:val="000000"/>
                <w:szCs w:val="24"/>
              </w:rPr>
            </w:pPr>
            <w:r w:rsidRPr="00426687">
              <w:rPr>
                <w:iCs/>
                <w:noProof/>
                <w:color w:val="000000"/>
                <w:szCs w:val="24"/>
              </w:rPr>
              <w:t>Показатели</w:t>
            </w:r>
          </w:p>
        </w:tc>
        <w:tc>
          <w:tcPr>
            <w:tcW w:w="87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rFonts w:eastAsia="Arial Unicode MS"/>
                <w:iCs/>
                <w:noProof/>
                <w:color w:val="000000"/>
                <w:szCs w:val="24"/>
              </w:rPr>
            </w:pPr>
            <w:r w:rsidRPr="00426687">
              <w:rPr>
                <w:iCs/>
                <w:noProof/>
                <w:color w:val="000000"/>
                <w:szCs w:val="24"/>
              </w:rPr>
              <w:t>Период времени</w:t>
            </w:r>
          </w:p>
        </w:tc>
        <w:tc>
          <w:tcPr>
            <w:tcW w:w="804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rFonts w:eastAsia="Arial Unicode MS"/>
                <w:iCs/>
                <w:noProof/>
                <w:color w:val="000000"/>
                <w:szCs w:val="24"/>
              </w:rPr>
            </w:pPr>
            <w:r w:rsidRPr="00426687">
              <w:rPr>
                <w:iCs/>
                <w:noProof/>
                <w:color w:val="000000"/>
                <w:szCs w:val="24"/>
              </w:rPr>
              <w:t>Сумма, тыс.руб.</w:t>
            </w:r>
          </w:p>
        </w:tc>
        <w:tc>
          <w:tcPr>
            <w:tcW w:w="865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rFonts w:eastAsia="Arial Unicode MS"/>
                <w:iCs/>
                <w:noProof/>
                <w:color w:val="000000"/>
                <w:szCs w:val="24"/>
              </w:rPr>
            </w:pPr>
            <w:r w:rsidRPr="00426687">
              <w:rPr>
                <w:iCs/>
                <w:noProof/>
                <w:color w:val="000000"/>
                <w:szCs w:val="24"/>
              </w:rPr>
              <w:t>Вклад в банк в начале периода, необходимый для получения в конце каждого года одного рубля, руб.</w:t>
            </w:r>
          </w:p>
        </w:tc>
        <w:tc>
          <w:tcPr>
            <w:tcW w:w="101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rFonts w:eastAsia="Arial Unicode MS"/>
                <w:iCs/>
                <w:noProof/>
                <w:color w:val="000000"/>
                <w:szCs w:val="24"/>
              </w:rPr>
            </w:pPr>
            <w:r w:rsidRPr="00426687">
              <w:rPr>
                <w:iCs/>
                <w:noProof/>
                <w:color w:val="000000"/>
                <w:szCs w:val="24"/>
              </w:rPr>
              <w:t>Вклад в банк в начале периода, необходимый для получения в конце каждого года предполагаемых поступлений за год или за другой период, тыс. руб.</w:t>
            </w:r>
          </w:p>
        </w:tc>
      </w:tr>
      <w:tr w:rsidR="00E37CD4" w:rsidRPr="00426687" w:rsidTr="007E6927">
        <w:trPr>
          <w:trHeight w:val="23"/>
        </w:trPr>
        <w:tc>
          <w:tcPr>
            <w:tcW w:w="17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126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87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2</w:t>
            </w:r>
          </w:p>
        </w:tc>
        <w:tc>
          <w:tcPr>
            <w:tcW w:w="804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865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101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5=гр.3 ×гр.4</w:t>
            </w:r>
          </w:p>
        </w:tc>
      </w:tr>
      <w:tr w:rsidR="00E37CD4" w:rsidRPr="00426687" w:rsidTr="007E6927">
        <w:trPr>
          <w:trHeight w:val="23"/>
        </w:trPr>
        <w:tc>
          <w:tcPr>
            <w:tcW w:w="17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26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Дополнительные средства, необходимые для приобретения нового комплекса в случае отказа от модернизации старого</w:t>
            </w:r>
          </w:p>
        </w:tc>
        <w:tc>
          <w:tcPr>
            <w:tcW w:w="87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Момент приобретения нового комплекса</w:t>
            </w:r>
          </w:p>
        </w:tc>
        <w:tc>
          <w:tcPr>
            <w:tcW w:w="804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11000</w:t>
            </w:r>
          </w:p>
        </w:tc>
        <w:tc>
          <w:tcPr>
            <w:tcW w:w="865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1,000</w:t>
            </w:r>
          </w:p>
        </w:tc>
        <w:tc>
          <w:tcPr>
            <w:tcW w:w="101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11000</w:t>
            </w:r>
          </w:p>
        </w:tc>
      </w:tr>
      <w:tr w:rsidR="00E37CD4" w:rsidRPr="00426687" w:rsidTr="007E6927">
        <w:trPr>
          <w:trHeight w:val="23"/>
        </w:trPr>
        <w:tc>
          <w:tcPr>
            <w:tcW w:w="17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2</w:t>
            </w:r>
          </w:p>
        </w:tc>
        <w:tc>
          <w:tcPr>
            <w:tcW w:w="126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Экономия на ремонте нового комплекса в случае отказа от модернизации старого</w:t>
            </w:r>
          </w:p>
        </w:tc>
        <w:tc>
          <w:tcPr>
            <w:tcW w:w="87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Через 5 лет</w:t>
            </w:r>
          </w:p>
        </w:tc>
        <w:tc>
          <w:tcPr>
            <w:tcW w:w="804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1000 (4000-3000=1000)</w:t>
            </w:r>
          </w:p>
        </w:tc>
        <w:tc>
          <w:tcPr>
            <w:tcW w:w="865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0,593</w:t>
            </w:r>
          </w:p>
        </w:tc>
        <w:tc>
          <w:tcPr>
            <w:tcW w:w="101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593</w:t>
            </w:r>
          </w:p>
        </w:tc>
      </w:tr>
      <w:tr w:rsidR="00E37CD4" w:rsidRPr="00426687" w:rsidTr="007E6927">
        <w:trPr>
          <w:trHeight w:val="23"/>
        </w:trPr>
        <w:tc>
          <w:tcPr>
            <w:tcW w:w="17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126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Увеличение суммы поступлений в случае отказа от модернизации старого комплекса и приобретения нового</w:t>
            </w:r>
          </w:p>
        </w:tc>
        <w:tc>
          <w:tcPr>
            <w:tcW w:w="87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В течение</w:t>
            </w:r>
          </w:p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года или 10</w:t>
            </w:r>
          </w:p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лет</w:t>
            </w:r>
          </w:p>
        </w:tc>
        <w:tc>
          <w:tcPr>
            <w:tcW w:w="804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15000 (15000-</w:t>
            </w:r>
          </w:p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-0=15000) в течение каждого года</w:t>
            </w:r>
          </w:p>
        </w:tc>
        <w:tc>
          <w:tcPr>
            <w:tcW w:w="865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5,889 - вклад в банк, дающий в течение каждого из 10 лет, по 1 долл.</w:t>
            </w:r>
          </w:p>
        </w:tc>
        <w:tc>
          <w:tcPr>
            <w:tcW w:w="101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 xml:space="preserve">88338 </w:t>
            </w:r>
          </w:p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(в течение 10 лет)</w:t>
            </w:r>
          </w:p>
        </w:tc>
      </w:tr>
      <w:tr w:rsidR="00E37CD4" w:rsidRPr="00426687" w:rsidTr="007E6927">
        <w:trPr>
          <w:trHeight w:val="23"/>
        </w:trPr>
        <w:tc>
          <w:tcPr>
            <w:tcW w:w="17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126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Остаточная стоимость старого комплекса</w:t>
            </w:r>
          </w:p>
        </w:tc>
        <w:tc>
          <w:tcPr>
            <w:tcW w:w="87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Момент приобретения нового комплекса</w:t>
            </w:r>
          </w:p>
        </w:tc>
        <w:tc>
          <w:tcPr>
            <w:tcW w:w="804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7000</w:t>
            </w:r>
          </w:p>
        </w:tc>
        <w:tc>
          <w:tcPr>
            <w:tcW w:w="865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1,000</w:t>
            </w:r>
          </w:p>
        </w:tc>
        <w:tc>
          <w:tcPr>
            <w:tcW w:w="101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7000</w:t>
            </w:r>
          </w:p>
        </w:tc>
      </w:tr>
      <w:tr w:rsidR="00E37CD4" w:rsidRPr="00426687" w:rsidTr="007E6927">
        <w:trPr>
          <w:trHeight w:val="23"/>
        </w:trPr>
        <w:tc>
          <w:tcPr>
            <w:tcW w:w="17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126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Различие в остаточных стоимостях нового и модернизированного комплексов через десять лет эксплуатации</w:t>
            </w:r>
          </w:p>
        </w:tc>
        <w:tc>
          <w:tcPr>
            <w:tcW w:w="87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Через 10 лет</w:t>
            </w:r>
          </w:p>
        </w:tc>
        <w:tc>
          <w:tcPr>
            <w:tcW w:w="804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10333</w:t>
            </w:r>
          </w:p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(15500-5167=10333)</w:t>
            </w:r>
          </w:p>
        </w:tc>
        <w:tc>
          <w:tcPr>
            <w:tcW w:w="865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0,352</w:t>
            </w:r>
          </w:p>
        </w:tc>
        <w:tc>
          <w:tcPr>
            <w:tcW w:w="101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3637</w:t>
            </w:r>
          </w:p>
        </w:tc>
      </w:tr>
      <w:tr w:rsidR="00E37CD4" w:rsidRPr="00426687" w:rsidTr="007E6927">
        <w:trPr>
          <w:trHeight w:val="23"/>
        </w:trPr>
        <w:tc>
          <w:tcPr>
            <w:tcW w:w="177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6</w:t>
            </w:r>
          </w:p>
        </w:tc>
        <w:tc>
          <w:tcPr>
            <w:tcW w:w="126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Сопоставление сальдо поступлений и расходов, рассчитанных для нового и</w:t>
            </w:r>
            <w:r w:rsidR="007E6927" w:rsidRPr="00426687">
              <w:rPr>
                <w:noProof/>
                <w:color w:val="000000"/>
                <w:szCs w:val="24"/>
              </w:rPr>
              <w:t xml:space="preserve"> </w:t>
            </w:r>
            <w:r w:rsidRPr="00426687">
              <w:rPr>
                <w:noProof/>
                <w:color w:val="000000"/>
                <w:szCs w:val="24"/>
              </w:rPr>
              <w:t>модернизированного комплексов за десять лет их</w:t>
            </w:r>
            <w:r w:rsidR="007E6927" w:rsidRPr="00426687">
              <w:rPr>
                <w:noProof/>
                <w:color w:val="000000"/>
                <w:szCs w:val="24"/>
              </w:rPr>
              <w:t xml:space="preserve"> </w:t>
            </w:r>
            <w:r w:rsidRPr="00426687">
              <w:rPr>
                <w:noProof/>
                <w:color w:val="000000"/>
                <w:szCs w:val="24"/>
              </w:rPr>
              <w:t>эксплуатации</w:t>
            </w:r>
          </w:p>
        </w:tc>
        <w:tc>
          <w:tcPr>
            <w:tcW w:w="873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865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1018" w:type="pct"/>
          </w:tcPr>
          <w:p w:rsidR="00E37CD4" w:rsidRPr="00426687" w:rsidRDefault="00E37CD4" w:rsidP="007E692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426687">
              <w:rPr>
                <w:noProof/>
                <w:color w:val="000000"/>
                <w:szCs w:val="24"/>
              </w:rPr>
              <w:t>84931</w:t>
            </w:r>
          </w:p>
        </w:tc>
      </w:tr>
    </w:tbl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687">
        <w:rPr>
          <w:noProof/>
          <w:color w:val="000000"/>
          <w:sz w:val="28"/>
          <w:szCs w:val="28"/>
        </w:rPr>
        <w:t>Вывод: результаты расчетов показывают, что более выгодно приобретение нового комплекса, а не модернизация старого, так как в этом случае фирма получает дополнительную прибыль в размере 84931 тыс. руб., что видно из сопоставления сальдо расходов и поступлений для нового и модернизированного комплексов.</w: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687">
        <w:rPr>
          <w:noProof/>
          <w:color w:val="000000"/>
          <w:sz w:val="28"/>
          <w:szCs w:val="28"/>
        </w:rPr>
        <w:t>ЗАДАНИЕ 2</w: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7CD4" w:rsidRPr="00426687" w:rsidRDefault="007E6927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687">
        <w:rPr>
          <w:noProof/>
          <w:color w:val="000000"/>
          <w:sz w:val="28"/>
          <w:szCs w:val="28"/>
        </w:rPr>
        <w:object w:dxaOrig="14085" w:dyaOrig="7830">
          <v:shape id="_x0000_i1027" type="#_x0000_t75" style="width:345pt;height:211.5pt" o:ole="">
            <v:imagedata r:id="rId10" o:title=""/>
          </v:shape>
          <o:OLEObject Type="Embed" ProgID="AutoCAD.Drawing.16" ShapeID="_x0000_i1027" DrawAspect="Content" ObjectID="_1462159326" r:id="rId11"/>
        </w:objec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26687">
        <w:rPr>
          <w:noProof/>
          <w:color w:val="000000"/>
          <w:sz w:val="28"/>
          <w:szCs w:val="28"/>
        </w:rPr>
        <w:t>Рисунок 1 – Анализ дерева решений</w: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26687">
        <w:rPr>
          <w:noProof/>
          <w:color w:val="000000"/>
          <w:sz w:val="28"/>
          <w:szCs w:val="22"/>
        </w:rPr>
        <w:t>Предполагаемый средний ожидаемый выигрыш при стратегии энергокомпании — высокая цена - составит:</w:t>
      </w:r>
    </w:p>
    <w:p w:rsidR="007E6927" w:rsidRPr="00426687" w:rsidRDefault="007E6927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6687">
        <w:rPr>
          <w:noProof/>
          <w:color w:val="000000"/>
          <w:sz w:val="28"/>
          <w:szCs w:val="22"/>
        </w:rPr>
        <w:t>(27 х 0,3) + (-25 х 0,5) + (-58 х 0,2) = -16.</w:t>
      </w:r>
    </w:p>
    <w:p w:rsidR="007E6927" w:rsidRPr="00426687" w:rsidRDefault="007E6927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6687">
        <w:rPr>
          <w:noProof/>
          <w:color w:val="000000"/>
          <w:sz w:val="28"/>
          <w:szCs w:val="22"/>
        </w:rPr>
        <w:t>Предполагаемый средний ожидаемый выигрыш при стратегии энергокомпании — средняя и низкая цена — составят соответственно:</w:t>
      </w:r>
    </w:p>
    <w:p w:rsidR="00E37CD4" w:rsidRPr="00426687" w:rsidRDefault="007E6927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26687">
        <w:rPr>
          <w:noProof/>
          <w:color w:val="000000"/>
          <w:sz w:val="28"/>
          <w:szCs w:val="22"/>
        </w:rPr>
        <w:br w:type="page"/>
      </w:r>
      <w:r w:rsidR="00E37CD4" w:rsidRPr="00426687">
        <w:rPr>
          <w:noProof/>
          <w:color w:val="000000"/>
          <w:sz w:val="28"/>
          <w:szCs w:val="22"/>
        </w:rPr>
        <w:t xml:space="preserve">(196 х 0,2) + (20 х 0,3) + (-57х 0,5) = 16,7; </w: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6687">
        <w:rPr>
          <w:noProof/>
          <w:color w:val="000000"/>
          <w:sz w:val="28"/>
          <w:szCs w:val="22"/>
        </w:rPr>
        <w:t>(239</w:t>
      </w:r>
      <w:r w:rsidRPr="00426687">
        <w:rPr>
          <w:bCs/>
          <w:noProof/>
          <w:color w:val="000000"/>
          <w:sz w:val="28"/>
          <w:szCs w:val="22"/>
        </w:rPr>
        <w:t xml:space="preserve"> </w:t>
      </w:r>
      <w:r w:rsidRPr="00426687">
        <w:rPr>
          <w:noProof/>
          <w:color w:val="000000"/>
          <w:sz w:val="28"/>
          <w:szCs w:val="22"/>
        </w:rPr>
        <w:t>х 0,1) + (73 х 0,3) + (-250 х 0,6) = -104,2.</w:t>
      </w:r>
    </w:p>
    <w:p w:rsidR="007E6927" w:rsidRPr="00426687" w:rsidRDefault="007E6927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26687">
        <w:rPr>
          <w:noProof/>
          <w:color w:val="000000"/>
          <w:sz w:val="28"/>
          <w:szCs w:val="22"/>
        </w:rPr>
        <w:t>Поскольку средняя цена дает самый высокий средний ожидаемый выигрыш, то остальные ветви не являются оптимальными. Фирма выбирает стратегию — средняя цена, при которой средний ожидаемый выигрыш (16,7 млн руб.) максимален.</w:t>
      </w: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26687">
        <w:rPr>
          <w:noProof/>
          <w:color w:val="000000"/>
          <w:sz w:val="28"/>
          <w:szCs w:val="22"/>
        </w:rPr>
        <w:t>Для ветви дерева, когда конкуренция отсутствует, оптимальной для энергокомпании является высокая цена. Ожидаемая средняя прибыль в этом случае будет равна 350 млн руб. В точке первого события (внедрение продукции на конкурентном и неконкурентном рынках) средний ожидаемый выигрыш составит:</w:t>
      </w:r>
    </w:p>
    <w:p w:rsidR="007E6927" w:rsidRPr="00426687" w:rsidRDefault="007E6927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26687">
        <w:rPr>
          <w:noProof/>
          <w:color w:val="000000"/>
          <w:sz w:val="28"/>
          <w:szCs w:val="22"/>
        </w:rPr>
        <w:t>(16,7 х 0,7) + (350 х 0,3) = 116,69 млн руб.</w:t>
      </w:r>
    </w:p>
    <w:p w:rsidR="007E6927" w:rsidRPr="00426687" w:rsidRDefault="007E6927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E37CD4" w:rsidRPr="00426687" w:rsidRDefault="00E37CD4" w:rsidP="00E37CD4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426687">
        <w:rPr>
          <w:noProof/>
          <w:color w:val="000000"/>
          <w:sz w:val="28"/>
          <w:szCs w:val="22"/>
        </w:rPr>
        <w:t>Предприятие получило данные, что при внедрении на новом открытом</w:t>
      </w:r>
      <w:r w:rsidRPr="00426687">
        <w:rPr>
          <w:bCs/>
          <w:noProof/>
          <w:color w:val="000000"/>
          <w:sz w:val="28"/>
          <w:szCs w:val="22"/>
        </w:rPr>
        <w:t xml:space="preserve"> </w:t>
      </w:r>
      <w:r w:rsidRPr="00426687">
        <w:rPr>
          <w:noProof/>
          <w:color w:val="000000"/>
          <w:sz w:val="28"/>
          <w:szCs w:val="22"/>
        </w:rPr>
        <w:t>рынке фирма получит средний ожидаемый выигрыш 116,69 млн руб., а при инвестициях — только 7,5 млн руб. Фирме выгодно завоевывать новый рынок.</w:t>
      </w:r>
      <w:bookmarkStart w:id="0" w:name="_GoBack"/>
      <w:bookmarkEnd w:id="0"/>
    </w:p>
    <w:sectPr w:rsidR="00E37CD4" w:rsidRPr="00426687" w:rsidSect="007E692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C4" w:rsidRDefault="000015C4" w:rsidP="00E37CD4">
      <w:r>
        <w:separator/>
      </w:r>
    </w:p>
  </w:endnote>
  <w:endnote w:type="continuationSeparator" w:id="0">
    <w:p w:rsidR="000015C4" w:rsidRDefault="000015C4" w:rsidP="00E3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C4" w:rsidRDefault="000015C4" w:rsidP="00E37CD4">
      <w:r>
        <w:separator/>
      </w:r>
    </w:p>
  </w:footnote>
  <w:footnote w:type="continuationSeparator" w:id="0">
    <w:p w:rsidR="000015C4" w:rsidRDefault="000015C4" w:rsidP="00E3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CD4"/>
    <w:rsid w:val="000015C4"/>
    <w:rsid w:val="00014E39"/>
    <w:rsid w:val="000E55B9"/>
    <w:rsid w:val="00195447"/>
    <w:rsid w:val="001E4BD4"/>
    <w:rsid w:val="00241E3A"/>
    <w:rsid w:val="00290526"/>
    <w:rsid w:val="002A7A25"/>
    <w:rsid w:val="003C6CCB"/>
    <w:rsid w:val="00425DC7"/>
    <w:rsid w:val="00426687"/>
    <w:rsid w:val="005432C5"/>
    <w:rsid w:val="006C0B60"/>
    <w:rsid w:val="007C2D8A"/>
    <w:rsid w:val="007E6927"/>
    <w:rsid w:val="00853E5C"/>
    <w:rsid w:val="008B34C2"/>
    <w:rsid w:val="009003FB"/>
    <w:rsid w:val="00964C0B"/>
    <w:rsid w:val="009F2F2A"/>
    <w:rsid w:val="00A35567"/>
    <w:rsid w:val="00D90A52"/>
    <w:rsid w:val="00E37CD4"/>
    <w:rsid w:val="00EB7691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BDAEABDC-7BF5-4224-8188-0174EC73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53E5C"/>
    <w:pPr>
      <w:autoSpaceDE w:val="0"/>
      <w:autoSpaceDN w:val="0"/>
      <w:adjustRightInd w:val="0"/>
      <w:spacing w:line="360" w:lineRule="auto"/>
      <w:ind w:firstLine="709"/>
      <w:jc w:val="both"/>
    </w:pPr>
    <w:rPr>
      <w:b/>
      <w:color w:val="000000"/>
      <w:sz w:val="28"/>
      <w:szCs w:val="28"/>
    </w:rPr>
  </w:style>
  <w:style w:type="table" w:styleId="a3">
    <w:name w:val="Table Professional"/>
    <w:basedOn w:val="a1"/>
    <w:uiPriority w:val="99"/>
    <w:rsid w:val="00E37C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header"/>
    <w:basedOn w:val="a"/>
    <w:link w:val="a5"/>
    <w:uiPriority w:val="99"/>
    <w:rsid w:val="00E37C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37CD4"/>
    <w:rPr>
      <w:rFonts w:cs="Times New Roman"/>
    </w:rPr>
  </w:style>
  <w:style w:type="paragraph" w:styleId="a6">
    <w:name w:val="footer"/>
    <w:basedOn w:val="a"/>
    <w:link w:val="a7"/>
    <w:uiPriority w:val="99"/>
    <w:rsid w:val="00E37C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37C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2014-05-21T03:35:00Z</dcterms:created>
  <dcterms:modified xsi:type="dcterms:W3CDTF">2014-05-21T03:35:00Z</dcterms:modified>
</cp:coreProperties>
</file>