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B9" w:rsidRDefault="009A36B9" w:rsidP="00B455FE">
      <w:pPr>
        <w:spacing w:line="360" w:lineRule="auto"/>
        <w:ind w:firstLine="709"/>
        <w:jc w:val="center"/>
        <w:rPr>
          <w:sz w:val="28"/>
          <w:szCs w:val="28"/>
        </w:rPr>
      </w:pPr>
    </w:p>
    <w:p w:rsidR="00397797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</w:p>
    <w:p w:rsidR="00397797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</w:p>
    <w:p w:rsidR="00397797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97797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</w:p>
    <w:p w:rsidR="00397797" w:rsidRPr="00AF0390" w:rsidRDefault="00397797" w:rsidP="003977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Контроль за использованием и погашением банковских ссуд.</w:t>
      </w:r>
    </w:p>
    <w:p w:rsidR="00397797" w:rsidRDefault="00397797" w:rsidP="003977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2D42">
        <w:rPr>
          <w:sz w:val="28"/>
          <w:szCs w:val="28"/>
        </w:rPr>
        <w:t>Сущность лизингов</w:t>
      </w:r>
      <w:r>
        <w:rPr>
          <w:sz w:val="28"/>
          <w:szCs w:val="28"/>
        </w:rPr>
        <w:t>ых операций. Виды лизинговых сделок.</w:t>
      </w:r>
    </w:p>
    <w:p w:rsidR="00397797" w:rsidRDefault="00397797" w:rsidP="003977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2D42">
        <w:rPr>
          <w:sz w:val="28"/>
          <w:szCs w:val="28"/>
        </w:rPr>
        <w:t>Форфейтинг</w:t>
      </w:r>
      <w:r>
        <w:rPr>
          <w:sz w:val="28"/>
          <w:szCs w:val="28"/>
        </w:rPr>
        <w:t>. Сущность и значение для экспортных операций с векселями.</w:t>
      </w:r>
    </w:p>
    <w:p w:rsidR="00397797" w:rsidRPr="002B2D42" w:rsidRDefault="00397797" w:rsidP="003977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397797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</w:p>
    <w:p w:rsidR="00B455FE" w:rsidRPr="00AF0390" w:rsidRDefault="00397797" w:rsidP="00B455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55FE">
        <w:rPr>
          <w:sz w:val="28"/>
          <w:szCs w:val="28"/>
        </w:rPr>
        <w:t>1. Контроль за использованием и погашением банковских ссуд.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>Рынок кредитов - сфера обращения ссудных средств. Модель любой кредитной сделки можно представить в виде цепочки, состоящей как минимум из трех агентов (держателя сбережений, одного или нескольких финансовых институтов и реципиента), цепочки, по которой движутся кредитные ресурсы.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>Механизм кредитного рынка является составной частью кредитного механизма каждого отдельного банка, включая принципы кредитования, кредитное планирование и управление кредитом. С помощью кредитного механизма банком проводится кредитная политика.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0390">
        <w:rPr>
          <w:sz w:val="28"/>
          <w:szCs w:val="28"/>
        </w:rPr>
        <w:t>роцесс кредитования любого банка, по возможности, необходимо разделять на несколько этапов, каждый из которых вносит свой вклад в качественные характеристики кредита и определяет степень его надежности и прибыльности для банка.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1. Формирование портфеля кредитных заявок. Клиент, обращающийся в банк за получением кредита, должен представить заявку, где содержатся исходные сведения о требуемой ссуде, предполагаемом обеспечении. Банк на основе поступившей информации осуществляет предварительный отбор наиболее привлекательных предложений и создает на их основе информационный портфель кредитных заявок для последующей работы. 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2. Рассмотрение заявки и проведение переговоров с будущим заемщиком. 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3. Оценка кредитоспособности заемщика и риска, связанного с выдачей ссуды. 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4. Принятие решения о целесообразности выдачи кредита и форме его предоставления - структурирование ссуды. 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5. Заключение кредитного договора и оформление кредитного дела заемщика. 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Кредитный договор - это развернутый документ, который подписывают участники кредитной сделки и который содержит подробное описание всех условий предоставления ссуды. 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6. Контроль над выполнением условий договора и погашения кредита (кредитный маркетинг). 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 xml:space="preserve">7. Возврат кредита с процентами и закрытие кредитного дела. 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F0390">
        <w:rPr>
          <w:sz w:val="28"/>
          <w:szCs w:val="28"/>
        </w:rPr>
        <w:t>ля осуществления лучшего контроля над ходом погашения ссуды в кредитном досье содержатся переписка по ссуде (переписка  клиента, записи телефонных разговоров и т.д.) и текущие материалы о кредитоспособности клиента (сведения, полученные от других банков, телефонные запросы и т.д.), а также другая финансово-экономическая информация (финансовые отчеты, аналитические таблицы, графики погашения кредитов и т.п.).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погашением ссуды</w:t>
      </w:r>
      <w:r w:rsidRPr="00AF0390">
        <w:rPr>
          <w:sz w:val="28"/>
          <w:szCs w:val="28"/>
        </w:rPr>
        <w:t xml:space="preserve"> очень важный этап процесса кредитования, поскольку его конечная цель - обеспечить погашение в срок основного долга и уплату процентов по ссуде. На этом этапе банк контролирует регулярность поступления процентов за пользование кредитом, проводит плановые и внеплановые проверки на местах с составлением акта проверки. В ходе таких проверок контролируется соответствие расходования ссуды ее целевому назначению, предусмотренному в кредитном договоре. Кроме того, банк проверяет накладные, договоры на куплю-продажу товарно-материальных ценностей, изучает выписки из банка заемщика и баланс на последнюю отчетную дату. Далее кредитный работник банка знакомит заемщика с актом или справкой о проведенной проверке. Кредитный работник регулярно отмечает в кредитной позиции движение задолженности по ссуде, поступление процентов по ней и ставит в известность банк клиента, если в этом возникает необходимость. В случае ухудшения финансового положения клиента и возникновения риска невозврата ссуды кредитный работник ставит в известность об этом свое руководство для принятия соответствующих мер. Появление проблемной ссуды, как правило, не является неожиданным фактом: опытный финансист может обнаружить признаки опасности задолго до того, как неспособность клиента погасить ссуду станет явной. Тщательный анализ финансовой отчетности в сопоставлении с прошлыми отчетами выявляет такие тревожные сигналы, как резкое увеличение дебиторской задолженности, снижение коэффициентов ликвидности, падение объема продаж, убытки от операционной деятельности и т.д. Плохими симптомами являются непредставление в срок запрошенной банком информации или финансовых отчетов, уклонение руководителей фирмы от телефонных и личных контактов с банком, увлечение клиента созданием новых предприятий или скупкой недвижимости, накопление спекулятивных запасов, потеря важных клиентов и т.д. Многое может сказать кредитному отделу поведение деловых партнеров заемщика (запросы о платежеспособности его поставщиков, аннулирование страховки страховой компанией) или сообщение других отделов банка (например, появление сальдо на счете клиента в данном банке).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>Если банк обнаружил неблагополучную ссуду, чреватую неплатежом, он должен действовать незамедлительно. Наилучший выход - обсуждение дел с заемщиком и разработка программы преодоления кризисной ситуации. Такой вариант более предпочтителен, чем объявление заемщика банкротом. Судебное преследование заемщика может иметь отрицательное действие, если последний докажет, что действия банка нанесли ему ущерб и довели до банкротства.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>Если удастся убедить клиента, что положение можно исправить, банк может предложить продать активы, сократить персонал, снизить накладные расходы, изменить маркетинговую стратегию, сменить руководство компании и т.д. Банки также (хотя пока и редко) могут использовать более прогрессивные методы контроля над состоянием дел заемщика в виде совместной с ним деятельности или даже долевого участия в акционерном обществе.</w:t>
      </w:r>
    </w:p>
    <w:p w:rsidR="00B455FE" w:rsidRPr="00AF0390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AF0390">
        <w:rPr>
          <w:sz w:val="28"/>
          <w:szCs w:val="28"/>
        </w:rPr>
        <w:t>После полного погашения ссуды и соответствующих процентов кредитное дело закрывается. На отдельном листе указываются даты выдачи и возврата ссуды, расчеты по начислению процентов и даты их перечисления (лист подшивается в дело). Далее на этом листе делается отметка "кредит возвращен полностью с процентами, кредитное дело №__ закрыто (дата закрытия)". Отметка заверяется подписями кредитного работника и главного бухгалтера банка, а начальник планово-экономического управления банка делает отметку о передаче кредитного дела в архив, где оно хранится в течение трех лет с момента его закрытия.</w:t>
      </w:r>
    </w:p>
    <w:p w:rsidR="00B455FE" w:rsidRDefault="00B455FE" w:rsidP="00B455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Pr="002B2D42">
        <w:rPr>
          <w:sz w:val="28"/>
          <w:szCs w:val="28"/>
        </w:rPr>
        <w:t>Сущность лизингов</w:t>
      </w:r>
      <w:r>
        <w:rPr>
          <w:sz w:val="28"/>
          <w:szCs w:val="28"/>
        </w:rPr>
        <w:t>ых операций. Виды лизинговых сделок.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 мировой практике термин "лизинг" используется для обозначения различного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 xml:space="preserve">рода сделок, основанных на аренде товаров длительного пользования. 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Под лизингом обычно понимают долгосрочную аренду машин и оборудования или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договор аренды машин и оборудования, купленных арендодателем для арендатора с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целью их производственного использования при сохранении права собственности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на них за арендодателем на весь срок договора. Кроме того, лизинг можно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рассматривать как специфическую форму финансирования вложений в основные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фонды при посредничестве специализированной (лизинговой) компании, которая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приобретает для третьего лица имущество и отдает ему это имущество в аренду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на долгосрочный период. Таким образом, лизинговая компания фактически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кредитует арендатора. Поэтому лизинг иногда называют "кредит-аренда" (фр.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"креди-бай").В отличие от договора купли-продажи, по которому право собственности на товар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переходит от продавца к покупателю, при лизинге право собственности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предмет аренды сохраняется за арендодателем, а лизингополучатель приобретает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лишь право на его временное использование. По истечении срока лизингового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договора лизингополучатель может приобрести объект сделки по согласованной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цене, продлить лизинговый договор или вернуть оборудование владельцу по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истечении срока договора.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С экономической точки зрения лизинг имеет сходство с кредитом,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предоставленным на покупку оборудования. При кредите в основные фонды заемщик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вносит в установленные сроки платежи в погашение долга, при этом банк для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обеспечения возврата кредита сохраняет за собой право собственности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кредитуемый объект до полного погашения ссуды. При лизинге арендатор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становится владельцем взятого в аренду имущества только по истечении срока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договора и выплаты им полной стоимости арендованного имущества. Однако такое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сходство характерно только для финансового лизинга. Для другого вида лизинга</w:t>
      </w:r>
      <w:r>
        <w:rPr>
          <w:sz w:val="28"/>
          <w:szCs w:val="28"/>
        </w:rPr>
        <w:t xml:space="preserve"> –</w:t>
      </w:r>
      <w:r w:rsidRPr="002B2D42">
        <w:rPr>
          <w:sz w:val="28"/>
          <w:szCs w:val="28"/>
        </w:rPr>
        <w:t xml:space="preserve"> оперативного </w:t>
      </w:r>
      <w:r>
        <w:rPr>
          <w:sz w:val="28"/>
          <w:szCs w:val="28"/>
        </w:rPr>
        <w:t xml:space="preserve">– </w:t>
      </w:r>
      <w:r w:rsidRPr="002B2D42">
        <w:rPr>
          <w:sz w:val="28"/>
          <w:szCs w:val="28"/>
        </w:rPr>
        <w:t>наблюдается большее сходство с классической арендой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оборудования.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 своей юридической форме лизинговая сделка является своеобразным видом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долгосрочной аренды инвестиционных ценностей.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Четкое определение лизинговой операции имеет важное практическое значение,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так как при несоблюдении установленных законом правил ее оформления она не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может быть признана лизинговой сделкой, что чревато для участников операции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рядом неблагоприятных финансовых последствий.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Современный рынок лизинговых услуг характеризуется многообразием форм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лизинга, моделей лизинговых контрактов и юридических норм, регулирующих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лизинговые операции.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Существующие формы лизинга можно объединить в два основных вида: оперативный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 финансовый лизинг.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Оперативный лизинг - это арендные отношения, при которых расходы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лизингодателя, связанные с приобретением и содержанием сдаваемых в аренду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предметов, не покрываются арендными платежами в течение одного лизингового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контракта.</w:t>
      </w:r>
    </w:p>
    <w:p w:rsidR="00B455FE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Для оперативного лизинга характерны следующие основные признаки:</w:t>
      </w:r>
    </w:p>
    <w:p w:rsidR="00B455FE" w:rsidRDefault="00B455FE" w:rsidP="00B455FE">
      <w:pPr>
        <w:numPr>
          <w:ilvl w:val="0"/>
          <w:numId w:val="1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лизингодатель не рассчитывает возместить все свои затраты за счет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поступления лизинговых платежей от одного лизингополучателя;</w:t>
      </w:r>
    </w:p>
    <w:p w:rsidR="00B455FE" w:rsidRPr="002B2D42" w:rsidRDefault="00B455FE" w:rsidP="00B455FE">
      <w:pPr>
        <w:numPr>
          <w:ilvl w:val="0"/>
          <w:numId w:val="1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лизинговый договор заключается, как правило, на 2-5 лет, что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значительно меньше сроков физического износа оборудования, и может быть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расторгнут лизингополучателем в любое время;</w:t>
      </w:r>
    </w:p>
    <w:p w:rsidR="00B455FE" w:rsidRPr="002B2D42" w:rsidRDefault="00B455FE" w:rsidP="00B455FE">
      <w:pPr>
        <w:numPr>
          <w:ilvl w:val="0"/>
          <w:numId w:val="1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риск порчи или утери объекта сделки лежит в основном на лизингодателе.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При оперативном лизинге лизинговая компания приобретает оборудование заранее,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не зная конкретного арендатора. Поэтому фирмы, занимающиеся оперативным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лизингом, должны хорошо знать конъюнктуру рынка инвестиционных товаров, как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новых, так и бывших уже в употреблении. Лизинговые компании при этом виде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лизинга сами страхуют имущество, сдаваемое в аренду, и обеспечивают его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техническое обслуживание и ремонт.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 окончании срока лизингового договора лизингополучатель имеет следующие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возможности его завершения:</w:t>
      </w:r>
    </w:p>
    <w:p w:rsidR="00B455FE" w:rsidRPr="002B2D42" w:rsidRDefault="00B455FE" w:rsidP="00B455FE">
      <w:pPr>
        <w:numPr>
          <w:ilvl w:val="0"/>
          <w:numId w:val="2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продлить срок договора на более выгодных условиях;</w:t>
      </w:r>
    </w:p>
    <w:p w:rsidR="00B455FE" w:rsidRPr="002B2D42" w:rsidRDefault="00B455FE" w:rsidP="00B455FE">
      <w:pPr>
        <w:numPr>
          <w:ilvl w:val="0"/>
          <w:numId w:val="2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вернуть оборудование лизингодателю;</w:t>
      </w:r>
    </w:p>
    <w:p w:rsidR="00B455FE" w:rsidRDefault="00B455FE" w:rsidP="00B455FE">
      <w:pPr>
        <w:numPr>
          <w:ilvl w:val="0"/>
          <w:numId w:val="2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купить оборудование у лизингодателя при наличии соглашения (опциона)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 xml:space="preserve">покупку по справедливой рыночной стоимости. 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Лизингополучатель при помощи оперативного лизинга стремится избежать рисков,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связанных с владением имуществом, например с моральным старением, снижением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рентабельности в связи с изменением спроса на производимую продукцию,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поломкой оборудования, увеличением прямых и косвенных непроизводительных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затрат, вызванных ремонтом и простоем оборудования, и т.д. Поэтому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лизингополучатель предпочитает оперативный лизинг в случаях, когда:</w:t>
      </w:r>
    </w:p>
    <w:p w:rsidR="00B455FE" w:rsidRPr="002B2D42" w:rsidRDefault="00B455FE" w:rsidP="00B455FE">
      <w:pPr>
        <w:numPr>
          <w:ilvl w:val="0"/>
          <w:numId w:val="3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предполагаемые доходы от использования арендованного оборудования не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окупают его первоначальной цены;</w:t>
      </w:r>
    </w:p>
    <w:p w:rsidR="00B455FE" w:rsidRPr="002B2D42" w:rsidRDefault="00B455FE" w:rsidP="00B455FE">
      <w:pPr>
        <w:numPr>
          <w:ilvl w:val="0"/>
          <w:numId w:val="3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оборудование требуется на небольшой срок (сезонные работы или разовое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использование);</w:t>
      </w:r>
    </w:p>
    <w:p w:rsidR="00B455FE" w:rsidRPr="002B2D42" w:rsidRDefault="00B455FE" w:rsidP="00B455FE">
      <w:pPr>
        <w:numPr>
          <w:ilvl w:val="0"/>
          <w:numId w:val="3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оборудование требует специального технического обслуживания;</w:t>
      </w:r>
    </w:p>
    <w:p w:rsidR="00B455FE" w:rsidRPr="002B2D42" w:rsidRDefault="00B455FE" w:rsidP="00B455FE">
      <w:pPr>
        <w:numPr>
          <w:ilvl w:val="0"/>
          <w:numId w:val="3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объектом сделки выступает новое, непроверенное оборудование.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Перечисленные особенности оперативного лизинга определили его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распространение в таких отраслях, как сельское хозяйство, транспорт,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горнодобывающая промышленность, строительство, электронная обработка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информации.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Финансовый лизинг - это соглашение, предусматривающее в течение периода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своего действия выплату лизинговых платежей, покрывающих полную стоимость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амортизации оборудования или большую ее часть, дополнительные издержки 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прибыль лизингодателя.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Финансовый лизинг характеризуется следующими основными чертами:</w:t>
      </w:r>
    </w:p>
    <w:p w:rsidR="00B455FE" w:rsidRPr="002B2D42" w:rsidRDefault="00B455FE" w:rsidP="00B455FE">
      <w:pPr>
        <w:numPr>
          <w:ilvl w:val="0"/>
          <w:numId w:val="4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участием третьей стороны (производителя или поставщика объекта сделки);</w:t>
      </w:r>
    </w:p>
    <w:p w:rsidR="00B455FE" w:rsidRPr="002B2D42" w:rsidRDefault="00B455FE" w:rsidP="00B455FE">
      <w:pPr>
        <w:numPr>
          <w:ilvl w:val="0"/>
          <w:numId w:val="4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невозможностью расторжения договора в течение так называемого основного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срока аренды, т.е. срока, необходимого для возмещения расходов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арендодателя. Однако на практике это иногда происходит, что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оговаривается в соглашении о лизинге, но в этом случае стоимость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операции значительно возрастает;</w:t>
      </w:r>
    </w:p>
    <w:p w:rsidR="00B455FE" w:rsidRPr="002B2D42" w:rsidRDefault="00B455FE" w:rsidP="00B455FE">
      <w:pPr>
        <w:numPr>
          <w:ilvl w:val="0"/>
          <w:numId w:val="4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более продолжительным периодом лизингового соглашения (обычно близким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сроку службы объекта сделки);</w:t>
      </w:r>
    </w:p>
    <w:p w:rsidR="00B455FE" w:rsidRPr="002B2D42" w:rsidRDefault="00B455FE" w:rsidP="00B455FE">
      <w:pPr>
        <w:numPr>
          <w:ilvl w:val="0"/>
          <w:numId w:val="4"/>
        </w:numPr>
        <w:tabs>
          <w:tab w:val="clear" w:pos="2155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объекты сделок при финансовом лизинге, как правило, отличаются высокой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стоимостью.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Так же. как и при оперативном лизинге, после завершения срока контракта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лизингополучатель может:</w:t>
      </w:r>
    </w:p>
    <w:p w:rsidR="00B455FE" w:rsidRPr="002B2D42" w:rsidRDefault="00B455FE" w:rsidP="00B455FE">
      <w:pPr>
        <w:numPr>
          <w:ilvl w:val="0"/>
          <w:numId w:val="5"/>
        </w:numPr>
        <w:tabs>
          <w:tab w:val="clear" w:pos="2155"/>
          <w:tab w:val="num" w:pos="-504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купить объект сделки, но по остаточной стоимости;</w:t>
      </w:r>
    </w:p>
    <w:p w:rsidR="00B455FE" w:rsidRPr="002B2D42" w:rsidRDefault="00B455FE" w:rsidP="00B455FE">
      <w:pPr>
        <w:numPr>
          <w:ilvl w:val="0"/>
          <w:numId w:val="5"/>
        </w:numPr>
        <w:tabs>
          <w:tab w:val="clear" w:pos="2155"/>
          <w:tab w:val="num" w:pos="-504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заключить новый договор на меньший срок и по льготной ставке;</w:t>
      </w:r>
    </w:p>
    <w:p w:rsidR="00B455FE" w:rsidRPr="002B2D42" w:rsidRDefault="00B455FE" w:rsidP="00B455FE">
      <w:pPr>
        <w:numPr>
          <w:ilvl w:val="0"/>
          <w:numId w:val="5"/>
        </w:numPr>
        <w:tabs>
          <w:tab w:val="clear" w:pos="2155"/>
          <w:tab w:val="num" w:pos="-504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вернуть объект сделки лизинговой компании.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 своем выборе лизингополучатель сообщает лизингодателю за 6 месяцев или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другой период до окончания срока договора. Если в договоре предусматривается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соглашение (опцион) на покупку предмета сделки, то стороны заранее определяют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остаточную стоимость объекта. Обычно она составляет от 1 до 10%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первоначальной стоимости, что дает право лизингодателю начислять амортизацию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на всю стоимость оборудования.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Поскольку финансовый лизинг по экономическим признакам схож с долгосрочным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банковским кредитованием капитальных вложений, то особое место на рынке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финансового лизинга занимают банки, финансовые компании и специализированные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лизинговые компании, тесно связанные с банками. В ряде стран банкам разрешено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заниматься только финансовым лизингом. Законодательством этих стран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установлены требования, которым должны отвечать арендные отношения, для того,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 xml:space="preserve">чтобы они были отнесены к финансовому лизингу. 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Мы рассмотрели два основных вида лизинга. На практике же существует множество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форм лизинговых сделок, однако их нельзя рассматривать как самостоятельные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типы лизинговых операций.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Под формами лизинговых сделок понимаются устоявшиеся модели лизинговых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контрактов. Наибольшее распространение в международной практике получили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следующие формы лизинговых операций: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 "Стандарт". Под этой формой лизинга поставщик продает объект сделки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финансирующему обществу, которое через свои лизинговые компании сдает его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аренду потребителям.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При возвратном лизинге собственник оборудования продает его лизинговой фирме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 одновременно берет это оборудование у него в аренду. В результате этой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операции продавец становится арендатором. Возвратный лизинг применяется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случаях, когда собственник объекта сделки испытывает острую потребность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денежных средствах и с помощью данной формы лизинга улучшает свое финансовое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состояние.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Лизинг "поставщику". В этом случае продавец оборудования также становится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лизингополучателем, как и при возвратном лизинге, но арендованное имущество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используется не им, а другими арендаторами, которых он обязан найти и сдать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им объект сделки в аренду. Субаренда является обязательным условием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контрактах подобного рода.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Компенсационный лизинг. При этой форме лизинга арендные платежи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осуществляются поставками продукции, изготовленной на оборудовании,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являющемся объектом лизинговой сделки.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Возобновляемый лизинг. В лизинговом соглашении при данной форме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предусматривается периодическая замена оборудования по требованию арендатора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на более совершенные образцы.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Лизинг с привлечением средств. Эта форма лизинга предусматривает получение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лизингодателем долгосрочного займа у одного или нескольких кредиторов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сумму до 80% сдаваемых в аренду активов. Кредиторами в таких сделках являются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крупные коммерческие и инвестиционные банки, располагающие значительными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ресурсами, привлеченными на долговременной основе.</w:t>
      </w:r>
    </w:p>
    <w:p w:rsidR="00B455FE" w:rsidRDefault="00B455FE" w:rsidP="00B455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 w:rsidRPr="002B2D42">
        <w:rPr>
          <w:sz w:val="28"/>
          <w:szCs w:val="28"/>
        </w:rPr>
        <w:t>Форфейтинг</w:t>
      </w:r>
      <w:r>
        <w:rPr>
          <w:sz w:val="28"/>
          <w:szCs w:val="28"/>
        </w:rPr>
        <w:t xml:space="preserve">. </w:t>
      </w:r>
    </w:p>
    <w:p w:rsidR="00B455FE" w:rsidRPr="002B2D42" w:rsidRDefault="00B455FE" w:rsidP="00B455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Сущность и значение для экспортных операций с векселями.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Форфейтирование - это один из альтернативных подходов в финансировании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международной торговли, который представляет собой покупку экспортных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требований форфейтером (коммерческим банком или специализированной компанией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 финансированию) с исключением права регресса на экспортера (форфейтиста) в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случае неуплаты.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Важнейшими предпосылками его развития служит усиление международной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интеграции, рост конкурентоспособности банков, устранение государственных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ограничений на экспортную торговлю, а также рост рисков, которым подвергаются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экспортеры.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 xml:space="preserve">Итак, форфейтинг (или, используя французское выражение, -a forfait) </w:t>
      </w:r>
      <w:r>
        <w:rPr>
          <w:sz w:val="28"/>
          <w:szCs w:val="28"/>
        </w:rPr>
        <w:t>–</w:t>
      </w:r>
      <w:r w:rsidRPr="002B2D42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покупка долга, выраженного в оборотном документе, таком, как переводной или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простой вексель, у кредитора на безоборотной основе. Это означает, что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покупатель долга (форфейтер) принимает на себя обязательство об отказе -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форфейтинге - от своего права на обращения регрессивного требования к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кредитору при невозможности получения удовлетворения у должника. Покупка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оборотного обязательства происходит, естественно, со скидкой.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Механизм форфейтинга используется в двух видах сделок:</w:t>
      </w:r>
    </w:p>
    <w:p w:rsidR="00B455FE" w:rsidRPr="002B2D42" w:rsidRDefault="00B455FE" w:rsidP="00B455FE">
      <w:pPr>
        <w:numPr>
          <w:ilvl w:val="0"/>
          <w:numId w:val="6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 финансовых сделках - в целях быстрой реализации долгосрочных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финансовых обязательств;</w:t>
      </w:r>
    </w:p>
    <w:p w:rsidR="00B455FE" w:rsidRPr="002B2D42" w:rsidRDefault="00B455FE" w:rsidP="00B455FE">
      <w:pPr>
        <w:numPr>
          <w:ilvl w:val="0"/>
          <w:numId w:val="6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 экспортных сделках для содействия поступлению наличных денег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экспортеру, предоставившему кредит иностранному покупателю.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Основными оборотными документами, используемыми в качестве форфейтинговых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инструментов, являются векселя. Однако объектом форфейтинга могут стать 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другие виды ценных бумаг. Важно, чтобы эти бумаги были "чистыми" (содержащими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абстрактное обязательство).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Форфейтинг возник после второй мировой войны. Наибольшее развитие форфейтинг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получил в странах, где относительно слабо развито государственное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кредитование экспорта. Первоначально форфейтиро-вание осуществлялось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коммерческими банками, но по мере увеличения объема операций "а-форфе" стали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создаваться также специализированные институты.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Специализированными финансовыми компаниями, выполняющими форфейтинговые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операции, являются преимущественно дочерние отделения коммерческих банков.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Должниками при форфейтировании могут быть только импортеры, страна которых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имеет хороший рейтинг (в международном масштабе) и за которых банк с хорошим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рейтингом (в международном масштабе) обязался удовлетворить обязательства.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 настоящее время одним из основных центров форфейтинга является Лондон,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поскольку экспорт многих европейских стран давно финансируется из Сити,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никогда не медлившего с освоением новых банковских технологий. Значительная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часть форфейтингового бизнеса сконцентрирована также в Германии и Швейцарии.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Таким образом, форфейтинг развивается в различных финансовых центрах, причем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отмечается ежегодный рост подобных сделок. Тем не менее было бы ошибкой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связывать увеличение количества сделок "а-форфе" с ростом числа таких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центров. Это объясняется, возрастанием рисков, которые несут экспортеры, 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также недостатком адекватных источников финансирования в связи с ростом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рисков. Форфейтинг обладает существенными достоинствами, что делает его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привлекательной формой среднесрочного финансирования. Основным достоинством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этой формы является то, что форфейтер берет на себя все риски, связанные с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операцией. Кроме того, ее привлекательность возрастает в связи с отказом в некоторых странах от фиксированных процентных ставок, хроническим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недостатком во многих развивающихся странах валюты для оплаты импортируемых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товаров, ростом политических рисков и некоторыми иными обстоятельствами.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Срок форфейтирования составляет от 180 дней до 5 лет, а в некоторых случаях -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до 7 лет. В настоящее время к форфейтированию принимают суммы, которые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значительно меньше требуемых ранее 100 000 немецких марок.</w:t>
      </w:r>
      <w:r>
        <w:rPr>
          <w:sz w:val="28"/>
          <w:szCs w:val="28"/>
        </w:rPr>
        <w:t xml:space="preserve"> 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Договоры на форфейтирование заключаются преимущественно в немецких марках,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швейцарских франках или долларах, так как форфей-тер при менее ходовых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рынках валютах будет испытывать трудности с рефинансированием.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 xml:space="preserve">Совершение форфейтинговой сделки происходит в несколько этапов. Первый </w:t>
      </w:r>
      <w:r>
        <w:rPr>
          <w:sz w:val="28"/>
          <w:szCs w:val="28"/>
        </w:rPr>
        <w:t>–</w:t>
      </w:r>
      <w:r w:rsidRPr="002B2D42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подготовка сделки. На этом этапе экспортер, банк экспортера или импортер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выступают инициатором сделки. Для экспортера очень важно определить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требования форфейтера к гарантии, и примерный размер дисконта до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окончательного заключения сделки с импортером. Без учета этой информации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экспортер не в состоянии точно определить цену контракта и в результате может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обнаружить, что маржа за финансирование, включенная им в цену контракта, не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обоснована. Далее на этом этапе происходит рассмотрение заявки экспортера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форфейтером. Последний обязательно определяет характер подлежащей сделки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(финансовая или товарная), поскольку в случае продажи финансовых бумаг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обязательным является предварительное уведомление об этом.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Следующим шагом является сбор иной информации о предполагаемой сделке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(валюта, срок финансирования, импортер, экспортер, их местонахождение 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т.д.). Затем форфейтер проводит кредитный анализ и называет твердую цену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экспортеру. По достижении предварительной договоренности о заключении сделки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производится ее документальное оформление. Затем экспортер готовит серии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переводных векселей или подписывает соглашение о принятии простых векселей от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покупателя. Кроме того, экспортер должен получить гарантию или аваль на свои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векселя.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Таким образом, форфейтинговая сделка предполагает довольно длительную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подготовку. Однако в последние годы форфейтинг получает все большее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распространение. Объясняется это тем, что он обладает многими достоинствами,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что делает его привлекательным методом финансирования.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Финансирование в процессе форфейтирования дает экспортеру преимущества в виде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улучшения ликвидности и вида баланса наряду с сокращением риска, а именно:</w:t>
      </w:r>
    </w:p>
    <w:p w:rsidR="00B455FE" w:rsidRPr="002B2D42" w:rsidRDefault="00B455FE" w:rsidP="00B455FE">
      <w:pPr>
        <w:numPr>
          <w:ilvl w:val="0"/>
          <w:numId w:val="7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исключение валютного и других рисков с момента купли требований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форфейтером;</w:t>
      </w:r>
    </w:p>
    <w:p w:rsidR="00B455FE" w:rsidRPr="002B2D42" w:rsidRDefault="00B455FE" w:rsidP="00B455FE">
      <w:pPr>
        <w:numPr>
          <w:ilvl w:val="0"/>
          <w:numId w:val="7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превращение операции поставки с предоставлением (отодвинутого) срока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платежа в операцию за наличный расчет (экспортер получает средства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сразу по поставке продукции);</w:t>
      </w:r>
    </w:p>
    <w:p w:rsidR="00B455FE" w:rsidRPr="002B2D42" w:rsidRDefault="00B455FE" w:rsidP="00B455FE">
      <w:pPr>
        <w:numPr>
          <w:ilvl w:val="0"/>
          <w:numId w:val="7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форфейтинговое финансирование предоставляется на основе фиксированной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процентной ставки. Таким образом, существует четкая основа для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калькуляции благодаря отсутствию плавающих процентных ставок, которые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могут иметь место при других видах кредитования;</w:t>
      </w:r>
    </w:p>
    <w:p w:rsidR="00B455FE" w:rsidRPr="002B2D42" w:rsidRDefault="00B455FE" w:rsidP="00B455FE">
      <w:pPr>
        <w:numPr>
          <w:ilvl w:val="0"/>
          <w:numId w:val="7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простота документации и быстрота ее оформления;</w:t>
      </w:r>
    </w:p>
    <w:p w:rsidR="00B455FE" w:rsidRPr="002B2D42" w:rsidRDefault="00B455FE" w:rsidP="00B455FE">
      <w:pPr>
        <w:numPr>
          <w:ilvl w:val="0"/>
          <w:numId w:val="7"/>
        </w:numPr>
        <w:tabs>
          <w:tab w:val="clear" w:pos="2155"/>
          <w:tab w:val="num" w:pos="-52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форфейтер получает больший доход, чем при операции по кредитованию.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По сравнению с лизингом форфейтинг отличается более простым документальным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оформлением. Кроме того, если в договор лизинга от имени экспортера вступает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финансовая компания, она обязательно требует сохранения права регресса на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экспортера, т.е. экспортер несет на себе риски банкротства импортера. В то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время как при использовании форфейтирования риски полностью берет на себя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форфейтер. То же относится к факторингу, при котором финансовые дома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оставляют за собой право регресса на экспортера. Простота документооборота и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освобождение экспорта от риска выгодно отличают форфейтинг и от кредитования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по обороту.</w:t>
      </w:r>
    </w:p>
    <w:p w:rsidR="00B455FE" w:rsidRPr="002B2D42" w:rsidRDefault="00B455FE" w:rsidP="00B455FE">
      <w:pPr>
        <w:spacing w:line="360" w:lineRule="auto"/>
        <w:ind w:firstLine="709"/>
        <w:jc w:val="both"/>
        <w:rPr>
          <w:sz w:val="28"/>
          <w:szCs w:val="28"/>
        </w:rPr>
      </w:pPr>
      <w:r w:rsidRPr="002B2D42">
        <w:rPr>
          <w:sz w:val="28"/>
          <w:szCs w:val="28"/>
        </w:rPr>
        <w:t>Вместе с тем, с точки зрения форфейтера, риск достаточно высок. Поэтому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большое внимание при использовании этого метода финансирования уделяется</w:t>
      </w:r>
      <w:r>
        <w:rPr>
          <w:sz w:val="28"/>
          <w:szCs w:val="28"/>
        </w:rPr>
        <w:t xml:space="preserve"> </w:t>
      </w:r>
      <w:r w:rsidRPr="002B2D42">
        <w:rPr>
          <w:sz w:val="28"/>
          <w:szCs w:val="28"/>
        </w:rPr>
        <w:t>хеджированию и минимизации рисков.</w:t>
      </w:r>
    </w:p>
    <w:p w:rsidR="00397797" w:rsidRPr="00405148" w:rsidRDefault="00397797" w:rsidP="00405148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405148" w:rsidRPr="00405148">
        <w:rPr>
          <w:sz w:val="28"/>
          <w:szCs w:val="28"/>
        </w:rPr>
        <w:t>Список использованной литературы</w:t>
      </w:r>
    </w:p>
    <w:p w:rsidR="00405148" w:rsidRPr="00405148" w:rsidRDefault="00405148" w:rsidP="00405148">
      <w:pPr>
        <w:spacing w:line="360" w:lineRule="auto"/>
        <w:rPr>
          <w:sz w:val="28"/>
          <w:szCs w:val="28"/>
        </w:rPr>
      </w:pPr>
    </w:p>
    <w:p w:rsidR="00397797" w:rsidRPr="00405148" w:rsidRDefault="00397797" w:rsidP="0040514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05148">
        <w:rPr>
          <w:sz w:val="28"/>
          <w:szCs w:val="28"/>
        </w:rPr>
        <w:t>Балабанов. И.Т. Банки и банковское дело – СПб.: Питер, 2003</w:t>
      </w:r>
    </w:p>
    <w:p w:rsidR="00397797" w:rsidRPr="00405148" w:rsidRDefault="00397797" w:rsidP="0040514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05148">
        <w:rPr>
          <w:sz w:val="28"/>
          <w:szCs w:val="28"/>
        </w:rPr>
        <w:t>Владиславлев Д.Н. Энциклопедия банковского маркетинга – М.: Ось-89, 2005</w:t>
      </w:r>
    </w:p>
    <w:p w:rsidR="00397797" w:rsidRPr="00405148" w:rsidRDefault="00397797" w:rsidP="0040514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05148">
        <w:rPr>
          <w:sz w:val="28"/>
          <w:szCs w:val="28"/>
        </w:rPr>
        <w:t>Свиридов О. Ю. Банковское дело: 100 экзаменационных— Ростов н/Д: Издательский центр «МарТ»; Феникс, 2010.</w:t>
      </w:r>
    </w:p>
    <w:p w:rsidR="00405148" w:rsidRPr="00405148" w:rsidRDefault="00405148" w:rsidP="0040514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05148">
        <w:rPr>
          <w:sz w:val="28"/>
          <w:szCs w:val="28"/>
        </w:rPr>
        <w:t>Жарковская  Е. П. Банковское дело — М.: Омега-Л, 2005.</w:t>
      </w:r>
    </w:p>
    <w:p w:rsidR="00397797" w:rsidRPr="00405148" w:rsidRDefault="00397797" w:rsidP="0040514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405148">
        <w:rPr>
          <w:sz w:val="28"/>
          <w:szCs w:val="28"/>
        </w:rPr>
        <w:t>Лаврушин О. И., Мамонова И. Д., Валенцева Н. И. и др. Банковское дело: Учебник . - М.: Финансы и. статистика, 2005</w:t>
      </w:r>
      <w:bookmarkStart w:id="0" w:name="_GoBack"/>
      <w:bookmarkEnd w:id="0"/>
    </w:p>
    <w:sectPr w:rsidR="00397797" w:rsidRPr="00405148" w:rsidSect="00B455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6D3"/>
    <w:multiLevelType w:val="hybridMultilevel"/>
    <w:tmpl w:val="F2AC7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250AD"/>
    <w:multiLevelType w:val="hybridMultilevel"/>
    <w:tmpl w:val="9F5C0CA4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8957E2"/>
    <w:multiLevelType w:val="hybridMultilevel"/>
    <w:tmpl w:val="8724EB9C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CFF0C6A"/>
    <w:multiLevelType w:val="hybridMultilevel"/>
    <w:tmpl w:val="E0F83EF2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DC9225C"/>
    <w:multiLevelType w:val="hybridMultilevel"/>
    <w:tmpl w:val="B6324D32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747F31"/>
    <w:multiLevelType w:val="hybridMultilevel"/>
    <w:tmpl w:val="7B6A3100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8565BB9"/>
    <w:multiLevelType w:val="hybridMultilevel"/>
    <w:tmpl w:val="37CA87AE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95F761D"/>
    <w:multiLevelType w:val="hybridMultilevel"/>
    <w:tmpl w:val="2F509696"/>
    <w:lvl w:ilvl="0" w:tplc="3E8E264E">
      <w:start w:val="1"/>
      <w:numFmt w:val="bullet"/>
      <w:lvlText w:val=""/>
      <w:lvlJc w:val="left"/>
      <w:pPr>
        <w:tabs>
          <w:tab w:val="num" w:pos="2155"/>
        </w:tabs>
        <w:ind w:left="2127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5FE"/>
    <w:rsid w:val="000F2158"/>
    <w:rsid w:val="00397797"/>
    <w:rsid w:val="00405148"/>
    <w:rsid w:val="005B5960"/>
    <w:rsid w:val="00642182"/>
    <w:rsid w:val="009A36B9"/>
    <w:rsid w:val="009E7029"/>
    <w:rsid w:val="00B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CD5C2-BF89-4B61-9AF4-67DC53F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7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2014-04-18T19:12:00Z</dcterms:created>
  <dcterms:modified xsi:type="dcterms:W3CDTF">2014-04-18T19:12:00Z</dcterms:modified>
</cp:coreProperties>
</file>