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AA" w:rsidRPr="0093273C" w:rsidRDefault="00F610AA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1. Страхование финансовых рисков</w:t>
      </w:r>
    </w:p>
    <w:p w:rsidR="00F610AA" w:rsidRPr="0093273C" w:rsidRDefault="00F610AA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В любой хозяйственной деятельности всегда существует опасность денежных потерь, вытекающая из специфики тех или иных хозяйственных операций. Опасность таких потерь представляют собой финансовые риски.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iCs/>
          <w:sz w:val="28"/>
          <w:szCs w:val="28"/>
        </w:rPr>
        <w:t>Финансовые риски —</w:t>
      </w:r>
      <w:r w:rsidRPr="0093273C">
        <w:rPr>
          <w:rFonts w:ascii="Times New Roman" w:hAnsi="Times New Roman" w:cs="Times New Roman"/>
          <w:sz w:val="28"/>
          <w:szCs w:val="28"/>
        </w:rPr>
        <w:t xml:space="preserve"> это коммерческие риски. Риски бывают чистые и спекулятивные. Чистые риски означают возможность получения убытка или нулевого результата. Спекулятивные риски выражаются в возможности получения как положительного, так и отрицательного результата. Финансовые риски — это спекулятивные риски. Инвестор, осуществляя венчурное вложение капитала, заранее знает, что для него возможны только два вида результатов: доход или убыток. Особенностью финансового риска является вероятность наступления ущерба в результате проведения каких-либо операций в финансово-кредитной и биржевой сферах, совершения операций с фондовыми ценными бумагами, т.е. риска, который</w:t>
      </w:r>
      <w:r w:rsidR="00E236F2" w:rsidRP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вытекает из природы этих операций. К финансовым рискам относятся кредитный риск, процентный риск, валютный риск; риск упущенной финансовой выгоды</w:t>
      </w:r>
      <w:r w:rsidR="00AD212B" w:rsidRPr="0093273C">
        <w:rPr>
          <w:rFonts w:ascii="Times New Roman" w:hAnsi="Times New Roman" w:cs="Times New Roman"/>
          <w:sz w:val="28"/>
          <w:szCs w:val="28"/>
        </w:rPr>
        <w:t xml:space="preserve"> [4]</w:t>
      </w:r>
      <w:r w:rsidRPr="0093273C">
        <w:rPr>
          <w:rFonts w:ascii="Times New Roman" w:hAnsi="Times New Roman" w:cs="Times New Roman"/>
          <w:sz w:val="28"/>
          <w:szCs w:val="28"/>
        </w:rPr>
        <w:t>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iCs/>
          <w:sz w:val="28"/>
          <w:szCs w:val="28"/>
        </w:rPr>
        <w:t>Кредитные риски —</w:t>
      </w:r>
      <w:r w:rsidRPr="0093273C">
        <w:rPr>
          <w:rFonts w:ascii="Times New Roman" w:hAnsi="Times New Roman" w:cs="Times New Roman"/>
          <w:sz w:val="28"/>
          <w:szCs w:val="28"/>
        </w:rPr>
        <w:t xml:space="preserve"> опасность неуплаты заемщиком основного долга и процентов, причитающихся кредитору.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iCs/>
          <w:sz w:val="28"/>
          <w:szCs w:val="28"/>
        </w:rPr>
        <w:t>Процентный риск</w:t>
      </w:r>
      <w:r w:rsidRPr="0093273C">
        <w:rPr>
          <w:rFonts w:ascii="Times New Roman" w:hAnsi="Times New Roman" w:cs="Times New Roman"/>
          <w:sz w:val="28"/>
          <w:szCs w:val="28"/>
        </w:rPr>
        <w:t xml:space="preserve"> — опасность потерь коммерческими банками, кредитными учреждениями, инвестиционными фондами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результате превышения процентных ставок, выплачиваемых ими по привлеченным средствам, над ставками по предоставленным кредитам.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iCs/>
          <w:sz w:val="28"/>
          <w:szCs w:val="28"/>
        </w:rPr>
        <w:t>Валютные риски</w:t>
      </w:r>
      <w:r w:rsidRPr="0093273C">
        <w:rPr>
          <w:rFonts w:ascii="Times New Roman" w:hAnsi="Times New Roman" w:cs="Times New Roman"/>
          <w:sz w:val="28"/>
          <w:szCs w:val="28"/>
        </w:rPr>
        <w:t xml:space="preserve"> представляют собой опасность валютных потерь, связанных с изменением курса одной иностранной валюты по отношению к другой, в том числе национальной валюте при проведении внешнеэкономических, кредитных и других валютных операций.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iCs/>
          <w:sz w:val="28"/>
          <w:szCs w:val="28"/>
        </w:rPr>
        <w:t>Риск упущенной финансовой выгоды —</w:t>
      </w:r>
      <w:r w:rsidRPr="0093273C">
        <w:rPr>
          <w:rFonts w:ascii="Times New Roman" w:hAnsi="Times New Roman" w:cs="Times New Roman"/>
          <w:sz w:val="28"/>
          <w:szCs w:val="28"/>
        </w:rPr>
        <w:t xml:space="preserve"> это риск наступления косвенного (побочного) финансового ущерба (неполученная прибыль) в результате неосуществления какого-либо мероприятия (например, страхование) или остановки хозяйственной деятельности.</w:t>
      </w:r>
      <w:bookmarkStart w:id="0" w:name="_Toc55287774"/>
      <w:bookmarkEnd w:id="0"/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 xml:space="preserve">Финансовые риски разрешаются с помощью различных средств и способов. Средствами разрешения финансовых рисков являются избежание их, удержание, передача, снижение степени. </w:t>
      </w:r>
      <w:r w:rsidRPr="0093273C">
        <w:rPr>
          <w:rFonts w:ascii="Times New Roman" w:hAnsi="Times New Roman" w:cs="Times New Roman"/>
          <w:iCs/>
          <w:sz w:val="28"/>
          <w:szCs w:val="28"/>
        </w:rPr>
        <w:t>Избежание риска</w:t>
      </w:r>
      <w:r w:rsidRPr="0093273C">
        <w:rPr>
          <w:rFonts w:ascii="Times New Roman" w:hAnsi="Times New Roman" w:cs="Times New Roman"/>
          <w:sz w:val="28"/>
          <w:szCs w:val="28"/>
        </w:rPr>
        <w:t xml:space="preserve"> означает простое уклонение от мероприятия, связанного с риском. Однако избежание риска для инвестора зачастую означает отказ от прибыли. </w:t>
      </w:r>
      <w:r w:rsidRPr="0093273C">
        <w:rPr>
          <w:rFonts w:ascii="Times New Roman" w:hAnsi="Times New Roman" w:cs="Times New Roman"/>
          <w:iCs/>
          <w:sz w:val="28"/>
          <w:szCs w:val="28"/>
        </w:rPr>
        <w:t>Удержание риска</w:t>
      </w:r>
      <w:r w:rsidR="009327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оставление риска за инвестором, т. е. на его ответственности</w:t>
      </w:r>
      <w:r w:rsidR="00AD212B" w:rsidRPr="0093273C">
        <w:rPr>
          <w:rFonts w:ascii="Times New Roman" w:hAnsi="Times New Roman" w:cs="Times New Roman"/>
          <w:sz w:val="28"/>
          <w:szCs w:val="28"/>
        </w:rPr>
        <w:t xml:space="preserve"> [3]</w:t>
      </w:r>
      <w:r w:rsidRPr="0093273C">
        <w:rPr>
          <w:rFonts w:ascii="Times New Roman" w:hAnsi="Times New Roman" w:cs="Times New Roman"/>
          <w:sz w:val="28"/>
          <w:szCs w:val="28"/>
        </w:rPr>
        <w:t xml:space="preserve">. Так, инвестор, вкладывая венчурный капитал, заранее уверен, что он может за счет собственных средств покрыть возможную потерю венчурного капитала. </w:t>
      </w:r>
      <w:r w:rsidRPr="0093273C">
        <w:rPr>
          <w:rFonts w:ascii="Times New Roman" w:hAnsi="Times New Roman" w:cs="Times New Roman"/>
          <w:iCs/>
          <w:sz w:val="28"/>
          <w:szCs w:val="28"/>
        </w:rPr>
        <w:t>Передача риска</w:t>
      </w:r>
      <w:r w:rsidRPr="0093273C">
        <w:rPr>
          <w:rFonts w:ascii="Times New Roman" w:hAnsi="Times New Roman" w:cs="Times New Roman"/>
          <w:sz w:val="28"/>
          <w:szCs w:val="28"/>
        </w:rPr>
        <w:t xml:space="preserve"> говорит о том, что инвестор передает ответственность за финансовый риск кому-то другому, например страховому обществу. В данном случае передача риска произошла путем страхования финансового риска. Снижение степени риска означает сокращение вероятности и объема потерь.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Особым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видом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страховой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защиты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является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заключение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договоров страхования со страховыми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компаниями.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Целью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такого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страхования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является защита инвестиционных вложений от возможных потерь,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возникающих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вследствие неблагоприятного, непредсказуемого изменения конъюнктуры рынка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ухудшения других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условий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для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осуществления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инвестиционной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деятельности.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Оно подразделяется по характеру страховых рисков на страхование от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политических 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коммерческих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рисков.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Договоры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страхования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политических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рисков заключают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осуществлении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инвестиций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зарубежные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страны.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Оно характеризуется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невозможностью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математической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оценки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вероятности наступления страховых случаев и крайне высокими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размерами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ущерба.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Поэтому частные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страховщики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этим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страхованием,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за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редким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исключением,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не занимаются.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Такое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страхование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проводят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основном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государственные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страховые структуры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страны-инвестора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международные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финансовые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организации</w:t>
      </w:r>
      <w:r w:rsidR="008217BB" w:rsidRPr="0093273C">
        <w:rPr>
          <w:rFonts w:ascii="Times New Roman" w:hAnsi="Times New Roman" w:cs="Times New Roman"/>
          <w:sz w:val="28"/>
          <w:szCs w:val="28"/>
        </w:rPr>
        <w:t xml:space="preserve">. </w:t>
      </w:r>
      <w:r w:rsidRPr="0093273C">
        <w:rPr>
          <w:rFonts w:ascii="Times New Roman" w:hAnsi="Times New Roman" w:cs="Times New Roman"/>
          <w:sz w:val="28"/>
          <w:szCs w:val="28"/>
        </w:rPr>
        <w:t>Страховыми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рисками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здесь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являются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события,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исходящие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органов власти, управления,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иных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образований,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также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народных масс. При определении конкретного их перечня 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договоре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учитываются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такие факторы,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как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политическое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экономическое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положение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страны,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ее потенциальные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финансовые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возможности,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уровень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развития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промышленности, величина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валового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внутреннего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продукта,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объемы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внутренней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внешней задолженности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государства,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своевременность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погашения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имеющихся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займов, уровень инфляции и т.п.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Страхование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инвестиционной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деятельности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проводится,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как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правило, частными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страховыми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копаниями.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Целью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является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защита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инвестиционных вложений от возможных потерь.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Одной из разновидностей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страхования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финансовых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инвестиций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является страхование финансовых гарантий. Его условия предусматривают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предоставление страховщиком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гарантий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того,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что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определенные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финансовые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обязательства, оговоренные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процессе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заключения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деловой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сделки,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сторонами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которой выступают заемщик и инвестор, будут выполнены.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Гражданский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кодекс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Российской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Федерации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разделяет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договоры поручительства и банковской гарантии. По договору поручительства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поручитель обязуется перед кредитором другого лица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отвечать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за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исполнение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последним его обязательства полностью или частично.</w:t>
      </w:r>
      <w:r w:rsidR="008217BB" w:rsidRP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 соответствии с договором банковской гарантии гарант дает по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просьбе другого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лица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(принципала)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письменное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обязательство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уплатить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кредитору принципала (бенефициару)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соответствии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условиями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даваемого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гарантом обязательства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денежную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сумму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представлении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бенефициаром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письменного требования об ее уплате. При этом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право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на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выдачу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банковских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гарантий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имеют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банки,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иные кредитные учреждения и страховые организации.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Среди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видов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страхования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финансовых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гарантий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можно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выделить страхование: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облигаций и других ценных бумаг;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кредитов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для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краткосрочных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торговых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сделок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долгосрочных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инвестиций;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закладных облигаций;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выплат по сдаче в аренду, лизинг и т.п.;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оплаты стоимости поставляемого оборудования;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автомобильных ссуд.</w:t>
      </w:r>
    </w:p>
    <w:p w:rsidR="00C93AA6" w:rsidRPr="0093273C" w:rsidRDefault="00C93AA6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Одним из наиболее известных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видов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самых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быстрорастущих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секторов страхования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финансовых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гарантий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является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страхование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муниципальных облигаций –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форма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финансовых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гарантий,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при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которой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страховая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компания предоставляет свою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оценку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кредитоспособности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репутацию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муниципальному выпуску облигаций в обмен на страховую премию.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Это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страхование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имеет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две функции. Оно позволяет заемщику существенно уменьшить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издержки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выплате процентов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его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долговым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обязательствам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путем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повышения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оценки кредитоспособности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выпускающего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облигации,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то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же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время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защищает держателей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облигаций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от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риска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того,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что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муниципалитет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не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выполнит обязательств по выплате процентов и основной суммы.</w:t>
      </w:r>
    </w:p>
    <w:p w:rsidR="007C79C0" w:rsidRPr="0093273C" w:rsidRDefault="007C79C0" w:rsidP="0093273C">
      <w:pPr>
        <w:pStyle w:val="a3"/>
        <w:rPr>
          <w:rFonts w:ascii="Times New Roman" w:hAnsi="Times New Roman"/>
          <w:szCs w:val="28"/>
        </w:rPr>
      </w:pPr>
      <w:r w:rsidRPr="0093273C">
        <w:rPr>
          <w:rFonts w:ascii="Times New Roman" w:hAnsi="Times New Roman"/>
          <w:szCs w:val="28"/>
        </w:rPr>
        <w:t>На практике при страховании финансовых рисков в обязательном порядке устанавливается франшиза, размер которой увеличивается с увеличением степени риска и может достигать 30% от страховой суммы.</w:t>
      </w:r>
    </w:p>
    <w:p w:rsidR="007C79C0" w:rsidRPr="0093273C" w:rsidRDefault="007C79C0" w:rsidP="0093273C">
      <w:pPr>
        <w:pStyle w:val="a3"/>
        <w:rPr>
          <w:rFonts w:ascii="Times New Roman" w:hAnsi="Times New Roman"/>
          <w:szCs w:val="28"/>
        </w:rPr>
      </w:pPr>
      <w:r w:rsidRPr="0093273C">
        <w:rPr>
          <w:rFonts w:ascii="Times New Roman" w:hAnsi="Times New Roman"/>
          <w:szCs w:val="28"/>
        </w:rPr>
        <w:t>Страховые тарифы при страховании финансовых рисков достаточно высоки и могут колебаться в пределах 1,5 - 4,5% от страховой суммы.</w:t>
      </w:r>
    </w:p>
    <w:p w:rsidR="007C79C0" w:rsidRPr="0093273C" w:rsidRDefault="007C79C0" w:rsidP="0093273C">
      <w:pPr>
        <w:pStyle w:val="a3"/>
        <w:rPr>
          <w:rFonts w:ascii="Times New Roman" w:hAnsi="Times New Roman"/>
          <w:szCs w:val="28"/>
        </w:rPr>
      </w:pPr>
      <w:r w:rsidRPr="0093273C">
        <w:rPr>
          <w:rFonts w:ascii="Times New Roman" w:hAnsi="Times New Roman"/>
          <w:szCs w:val="28"/>
        </w:rPr>
        <w:t>Срок ожидания - период (в календарных днях) после окончания установленного договором срока исполнения контрагентом страхователя своих обязательств, по истечении которого у страховщика возникает обязанность по урегулированию убытков.</w:t>
      </w:r>
    </w:p>
    <w:p w:rsidR="007C79C0" w:rsidRPr="0093273C" w:rsidRDefault="007C79C0" w:rsidP="0093273C">
      <w:pPr>
        <w:pStyle w:val="a3"/>
        <w:rPr>
          <w:rFonts w:ascii="Times New Roman" w:hAnsi="Times New Roman"/>
          <w:szCs w:val="28"/>
        </w:rPr>
      </w:pPr>
      <w:r w:rsidRPr="0093273C">
        <w:rPr>
          <w:rFonts w:ascii="Times New Roman" w:hAnsi="Times New Roman"/>
          <w:szCs w:val="28"/>
        </w:rPr>
        <w:t>Страхование финансовых рисков в предпринимательской деятельности (страхование на случай невыполнения контрагентом страхователя договорных обязательств по зак</w:t>
      </w:r>
      <w:r w:rsidR="000F3921">
        <w:rPr>
          <w:rFonts w:ascii="Times New Roman" w:hAnsi="Times New Roman"/>
          <w:szCs w:val="28"/>
        </w:rPr>
        <w:t xml:space="preserve">люченному между ними гражданско </w:t>
      </w:r>
      <w:r w:rsidRPr="0093273C">
        <w:rPr>
          <w:rFonts w:ascii="Times New Roman" w:hAnsi="Times New Roman"/>
          <w:szCs w:val="28"/>
        </w:rPr>
        <w:t>правовому договору). Разновидностями риска неисполнения договорных обязательств могут быть риски неоплаты контрагентами за отгруженный товар либо непоставки оплаченного страхователем товара.</w:t>
      </w:r>
    </w:p>
    <w:p w:rsidR="007C79C0" w:rsidRPr="0093273C" w:rsidRDefault="007C79C0" w:rsidP="0093273C">
      <w:pPr>
        <w:pStyle w:val="a3"/>
        <w:rPr>
          <w:rFonts w:ascii="Times New Roman" w:hAnsi="Times New Roman"/>
          <w:szCs w:val="28"/>
        </w:rPr>
      </w:pPr>
      <w:r w:rsidRPr="0093273C">
        <w:rPr>
          <w:rFonts w:ascii="Times New Roman" w:hAnsi="Times New Roman"/>
          <w:szCs w:val="28"/>
        </w:rPr>
        <w:t>Страхование финансового риска при операциях лизинга (страхование на случай несоблюдения условий и сроков выполнения финансовых обязательств лизингополучателем по договору лизинга) проводится в комплексе со страхованием объекта лизинга.</w:t>
      </w:r>
    </w:p>
    <w:p w:rsidR="007C79C0" w:rsidRPr="0093273C" w:rsidRDefault="007C79C0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 xml:space="preserve">Как правило, услуга по страхованию финансовых рисков предоставляется тем клиентам, которые уже имеют действующий договор страхования имущества. 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При выборе конкретного средства разрешения финансового риска инвестор должен исходить из следующих принципов.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1. Нельзя рисковать больше, чем это может позволить собственный капитал.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2. Надо думать о последствиях риска.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3. Нельзя рисковать многим ради малого.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Реализация первого принципа означает, что прежде чем вкладывать капитал, инвестор должен: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определить максимально возможный объем убытка по данному риску;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сопоставить его с объемом вкладываемого капитала;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сопоставить его со всеми собственными финансовыми ресурсами и определить, не приведет ли потеря этого капитала к банкротству инвестора.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Объем убытка от вложения капитала может быть равен объему данного капитала, быть меньше или больше его. При прямых инвестициях объем убытка, как правило, равен объему венчурного капитала.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При портфельных инвестициях, т. е. при покупке ценных бумаг, которые можно продать на вторичном рынке, объем убытка обычно меньше суммы затраченного капитала.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Реализация второго принципа требует, чтобы инвестор, зная максимально возможную величину убытка, определил бы, к чему она может привести, какова вероятность риска, и принял бы решение об отказе от риска (т. е. от мероприятия), о принятии риска на свою ответственность или о передаче риска на ответственность другому лицу.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Действие третьего принципа особенно ярко проявляется при передаче</w:t>
      </w:r>
      <w:r w:rsidR="00C93AA6" w:rsidRP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финансового риска. В этом случае он означает, что инвестор должен определить приемлемое для него соотношение между страховым взносом и страховой суммой.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Страховой взнос (или страховая премия) — это плата за страховой риск страхователя страховщику, согласно</w:t>
      </w:r>
      <w:r w:rsidR="0093273C"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договору страхования или в силу закона. Страховая сумма — это денежная сумма, на которую застрахованы материальные ценности (или гражданская ответственность, жизнь и здоровье страхователя).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Риск не должен быть удержан, т. е. инвестор не должен принимать на себя риск, если размер убытка относительно велик по сравнению с экономией на страховом взносе.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Для снижения степени финансового риска применяются различные способы: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диверсификация;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приобретение дополнительной информации о выборе и результатах;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лимитирование;</w:t>
      </w:r>
    </w:p>
    <w:p w:rsidR="00F541C5" w:rsidRPr="0093273C" w:rsidRDefault="00F541C5" w:rsidP="0093273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>- страхование (в том числе хеджирование) и др.</w:t>
      </w:r>
    </w:p>
    <w:p w:rsidR="002F3FC1" w:rsidRPr="0093273C" w:rsidRDefault="002F3FC1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10AA" w:rsidRPr="0093273C" w:rsidRDefault="0093273C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10AA" w:rsidRPr="0093273C">
        <w:rPr>
          <w:sz w:val="28"/>
          <w:szCs w:val="28"/>
        </w:rPr>
        <w:t>2. Расчет тарифных ставок в имущественных видах страхования</w:t>
      </w:r>
    </w:p>
    <w:p w:rsidR="0093273C" w:rsidRDefault="0093273C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5703" w:rsidRPr="0093273C" w:rsidRDefault="00DE5703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Вариант 13</w:t>
      </w:r>
    </w:p>
    <w:p w:rsidR="0093273C" w:rsidRDefault="0093273C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10AA" w:rsidRPr="0093273C" w:rsidRDefault="00F610AA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Методика 1</w:t>
      </w:r>
    </w:p>
    <w:p w:rsidR="00DE5703" w:rsidRDefault="00DE5703" w:rsidP="0093273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рассчитаем</w:t>
      </w:r>
      <w:r w:rsidR="0093273C">
        <w:rPr>
          <w:sz w:val="28"/>
          <w:szCs w:val="28"/>
        </w:rPr>
        <w:t xml:space="preserve"> </w:t>
      </w:r>
      <w:r w:rsidRPr="0093273C">
        <w:rPr>
          <w:sz w:val="28"/>
          <w:szCs w:val="28"/>
        </w:rPr>
        <w:t>основную часть</w:t>
      </w:r>
    </w:p>
    <w:p w:rsidR="0093273C" w:rsidRPr="0093273C" w:rsidRDefault="0093273C" w:rsidP="0093273C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E5703" w:rsidRPr="0093273C" w:rsidRDefault="00DE5703" w:rsidP="0093273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273C">
        <w:rPr>
          <w:sz w:val="28"/>
          <w:szCs w:val="28"/>
          <w:lang w:val="en-US"/>
        </w:rPr>
        <w:t>T</w:t>
      </w:r>
      <w:r w:rsidRPr="0093273C">
        <w:rPr>
          <w:sz w:val="28"/>
          <w:szCs w:val="16"/>
          <w:lang w:val="en-US"/>
        </w:rPr>
        <w:t>o</w:t>
      </w:r>
      <w:r w:rsidR="00D75F8F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0.75pt">
            <v:imagedata r:id="rId7" o:title=""/>
          </v:shape>
        </w:pict>
      </w:r>
    </w:p>
    <w:p w:rsidR="00F610AA" w:rsidRPr="0093273C" w:rsidRDefault="00DE5703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  <w:lang w:val="en-US"/>
        </w:rPr>
        <w:t>Sb</w:t>
      </w:r>
      <w:r w:rsidR="00D75F8F">
        <w:rPr>
          <w:sz w:val="28"/>
          <w:szCs w:val="28"/>
          <w:lang w:val="en-US"/>
        </w:rPr>
        <w:pict>
          <v:shape id="_x0000_i1026" type="#_x0000_t75" style="width:336.75pt;height:30.75pt">
            <v:imagedata r:id="rId8" o:title=""/>
          </v:shape>
        </w:pict>
      </w:r>
    </w:p>
    <w:p w:rsidR="00DE5703" w:rsidRPr="0093273C" w:rsidRDefault="00DE5703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  <w:lang w:val="en-US"/>
        </w:rPr>
        <w:t>q=</w:t>
      </w:r>
      <w:r w:rsidR="00D75F8F">
        <w:rPr>
          <w:sz w:val="28"/>
          <w:szCs w:val="28"/>
          <w:lang w:val="en-US"/>
        </w:rPr>
        <w:pict>
          <v:shape id="_x0000_i1027" type="#_x0000_t75" style="width:87.75pt;height:30.75pt">
            <v:imagedata r:id="rId9" o:title=""/>
          </v:shape>
        </w:pict>
      </w:r>
    </w:p>
    <w:p w:rsidR="00DE5703" w:rsidRPr="0093273C" w:rsidRDefault="00DE5703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Т</w:t>
      </w:r>
      <w:r w:rsidRPr="0093273C">
        <w:rPr>
          <w:sz w:val="28"/>
          <w:szCs w:val="16"/>
        </w:rPr>
        <w:t>о=</w:t>
      </w:r>
      <w:r w:rsidR="00D75F8F">
        <w:rPr>
          <w:sz w:val="28"/>
          <w:szCs w:val="16"/>
        </w:rPr>
        <w:pict>
          <v:shape id="_x0000_i1028" type="#_x0000_t75" style="width:107.25pt;height:30.75pt">
            <v:imagedata r:id="rId10" o:title=""/>
          </v:shape>
        </w:pict>
      </w:r>
    </w:p>
    <w:p w:rsidR="00F15470" w:rsidRPr="0093273C" w:rsidRDefault="00F15470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10AA" w:rsidRPr="0093273C" w:rsidRDefault="00F15470" w:rsidP="0093273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рассчитаем рисковую надбавку</w:t>
      </w:r>
    </w:p>
    <w:p w:rsidR="00F15470" w:rsidRPr="0093273C" w:rsidRDefault="00F15470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5470" w:rsidRPr="0093273C" w:rsidRDefault="00F15470" w:rsidP="0093273C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93273C">
        <w:rPr>
          <w:sz w:val="28"/>
          <w:szCs w:val="28"/>
        </w:rPr>
        <w:t>Т</w:t>
      </w:r>
      <w:r w:rsidRPr="0093273C">
        <w:rPr>
          <w:sz w:val="28"/>
          <w:szCs w:val="16"/>
        </w:rPr>
        <w:t>р</w:t>
      </w:r>
      <w:r w:rsidR="00D75F8F">
        <w:rPr>
          <w:sz w:val="28"/>
          <w:szCs w:val="16"/>
        </w:rPr>
        <w:pict>
          <v:shape id="_x0000_i1029" type="#_x0000_t75" style="width:408pt;height:36.75pt">
            <v:imagedata r:id="rId11" o:title=""/>
          </v:shape>
        </w:pict>
      </w:r>
    </w:p>
    <w:p w:rsidR="00F15470" w:rsidRPr="0093273C" w:rsidRDefault="00D75F8F" w:rsidP="0093273C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29pt;height:35.25pt">
            <v:imagedata r:id="rId12" o:title=""/>
          </v:shape>
        </w:pict>
      </w:r>
      <w:r>
        <w:rPr>
          <w:sz w:val="28"/>
          <w:szCs w:val="28"/>
        </w:rPr>
        <w:pict>
          <v:shape id="_x0000_i1031" type="#_x0000_t75" style="width:425.25pt;height:36pt">
            <v:imagedata r:id="rId13" o:title=""/>
          </v:shape>
        </w:pict>
      </w:r>
    </w:p>
    <w:p w:rsidR="000F63D2" w:rsidRPr="0093273C" w:rsidRDefault="00D75F8F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88.25pt;height:21pt">
            <v:imagedata r:id="rId14" o:title=""/>
          </v:shape>
        </w:pict>
      </w:r>
    </w:p>
    <w:p w:rsidR="000F63D2" w:rsidRPr="0093273C" w:rsidRDefault="000F63D2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63D2" w:rsidRPr="0093273C" w:rsidRDefault="000F63D2" w:rsidP="0093273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нетто-ставка</w:t>
      </w:r>
      <w:r w:rsidR="0093273C">
        <w:rPr>
          <w:sz w:val="28"/>
          <w:szCs w:val="28"/>
        </w:rPr>
        <w:t xml:space="preserve"> </w:t>
      </w:r>
      <w:r w:rsidR="00D75F8F">
        <w:rPr>
          <w:sz w:val="28"/>
          <w:szCs w:val="28"/>
        </w:rPr>
        <w:pict>
          <v:shape id="_x0000_i1033" type="#_x0000_t75" style="width:204.75pt;height:15.75pt">
            <v:imagedata r:id="rId15" o:title=""/>
          </v:shape>
        </w:pict>
      </w:r>
    </w:p>
    <w:p w:rsidR="000F63D2" w:rsidRPr="0093273C" w:rsidRDefault="000F63D2" w:rsidP="0093273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Брутто-ставка</w:t>
      </w:r>
      <w:r w:rsidR="0093273C">
        <w:rPr>
          <w:sz w:val="28"/>
          <w:szCs w:val="28"/>
        </w:rPr>
        <w:t xml:space="preserve"> </w:t>
      </w:r>
      <w:r w:rsidR="00D75F8F">
        <w:rPr>
          <w:sz w:val="28"/>
          <w:szCs w:val="28"/>
        </w:rPr>
        <w:pict>
          <v:shape id="_x0000_i1034" type="#_x0000_t75" style="width:225pt;height:30.75pt">
            <v:imagedata r:id="rId16" o:title=""/>
          </v:shape>
        </w:pict>
      </w:r>
    </w:p>
    <w:p w:rsidR="002D597E" w:rsidRPr="0093273C" w:rsidRDefault="002D597E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10AA" w:rsidRPr="0093273C" w:rsidRDefault="0093273C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10AA" w:rsidRPr="0093273C">
        <w:rPr>
          <w:sz w:val="28"/>
          <w:szCs w:val="28"/>
        </w:rPr>
        <w:t>Методика 2</w:t>
      </w:r>
    </w:p>
    <w:p w:rsidR="002D597E" w:rsidRPr="0093273C" w:rsidRDefault="002D597E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10AA" w:rsidRPr="0093273C" w:rsidRDefault="002D597E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Таблица - Оценка страхового возмещения и страховых сумм за 5 лет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77"/>
        <w:gridCol w:w="2393"/>
        <w:gridCol w:w="2393"/>
      </w:tblGrid>
      <w:tr w:rsidR="002D597E" w:rsidRPr="00572BF0" w:rsidTr="00572BF0">
        <w:tc>
          <w:tcPr>
            <w:tcW w:w="959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Годы</w:t>
            </w:r>
          </w:p>
        </w:tc>
        <w:tc>
          <w:tcPr>
            <w:tcW w:w="2877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Общая страховая сумма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Страховое возмещение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Фактическая убыточность</w:t>
            </w:r>
          </w:p>
        </w:tc>
      </w:tr>
      <w:tr w:rsidR="002D597E" w:rsidRPr="00572BF0" w:rsidTr="00572BF0">
        <w:tc>
          <w:tcPr>
            <w:tcW w:w="959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100000000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400000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0,4</w:t>
            </w:r>
          </w:p>
        </w:tc>
      </w:tr>
      <w:tr w:rsidR="002D597E" w:rsidRPr="00572BF0" w:rsidTr="00572BF0">
        <w:tc>
          <w:tcPr>
            <w:tcW w:w="959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100000000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758000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0,76</w:t>
            </w:r>
          </w:p>
        </w:tc>
      </w:tr>
      <w:tr w:rsidR="002D597E" w:rsidRPr="00572BF0" w:rsidTr="00572BF0">
        <w:tc>
          <w:tcPr>
            <w:tcW w:w="959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100000000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476000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0,48</w:t>
            </w:r>
          </w:p>
        </w:tc>
      </w:tr>
      <w:tr w:rsidR="002D597E" w:rsidRPr="00572BF0" w:rsidTr="00572BF0">
        <w:tc>
          <w:tcPr>
            <w:tcW w:w="959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4</w:t>
            </w:r>
          </w:p>
        </w:tc>
        <w:tc>
          <w:tcPr>
            <w:tcW w:w="2877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100000000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933000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0,93</w:t>
            </w:r>
          </w:p>
        </w:tc>
      </w:tr>
      <w:tr w:rsidR="002D597E" w:rsidRPr="00572BF0" w:rsidTr="00572BF0">
        <w:tc>
          <w:tcPr>
            <w:tcW w:w="959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100000000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150000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0,15</w:t>
            </w:r>
          </w:p>
        </w:tc>
      </w:tr>
      <w:tr w:rsidR="002D597E" w:rsidRPr="00572BF0" w:rsidTr="00572BF0">
        <w:tc>
          <w:tcPr>
            <w:tcW w:w="959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7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500000000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2717000</w:t>
            </w:r>
          </w:p>
        </w:tc>
        <w:tc>
          <w:tcPr>
            <w:tcW w:w="2393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2,72</w:t>
            </w:r>
          </w:p>
        </w:tc>
      </w:tr>
    </w:tbl>
    <w:p w:rsidR="0093273C" w:rsidRDefault="0093273C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597E" w:rsidRPr="0093273C" w:rsidRDefault="002D597E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Таблица -</w:t>
      </w:r>
      <w:r w:rsidR="0093273C">
        <w:rPr>
          <w:sz w:val="28"/>
          <w:szCs w:val="28"/>
        </w:rPr>
        <w:t xml:space="preserve"> </w:t>
      </w:r>
      <w:r w:rsidRPr="0093273C">
        <w:rPr>
          <w:sz w:val="28"/>
          <w:szCs w:val="28"/>
        </w:rPr>
        <w:t>Расчетные показатели для нахождения уравнений тренда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57"/>
        <w:gridCol w:w="2104"/>
        <w:gridCol w:w="1872"/>
        <w:gridCol w:w="1571"/>
      </w:tblGrid>
      <w:tr w:rsidR="002D597E" w:rsidRPr="00572BF0" w:rsidTr="00572BF0">
        <w:tc>
          <w:tcPr>
            <w:tcW w:w="1242" w:type="dxa"/>
            <w:vMerge w:val="restart"/>
            <w:shd w:val="clear" w:color="auto" w:fill="auto"/>
          </w:tcPr>
          <w:p w:rsidR="002D597E" w:rsidRPr="00572BF0" w:rsidRDefault="002D597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Годы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2D597E" w:rsidRPr="00572BF0" w:rsidRDefault="002D597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2D597E" w:rsidRPr="00572BF0" w:rsidRDefault="002D597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</w:rPr>
              <w:t>Фактическая убыточность,</w:t>
            </w:r>
            <w:r w:rsidRPr="00572BF0">
              <w:rPr>
                <w:sz w:val="20"/>
                <w:szCs w:val="20"/>
                <w:lang w:val="en-US"/>
              </w:rPr>
              <w:t>Yi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2D597E" w:rsidRPr="00572BF0" w:rsidRDefault="002D597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Расчетные показатели</w:t>
            </w:r>
          </w:p>
        </w:tc>
      </w:tr>
      <w:tr w:rsidR="002D597E" w:rsidRPr="00572BF0" w:rsidTr="00572BF0">
        <w:tc>
          <w:tcPr>
            <w:tcW w:w="1242" w:type="dxa"/>
            <w:vMerge/>
            <w:shd w:val="clear" w:color="auto" w:fill="auto"/>
          </w:tcPr>
          <w:p w:rsidR="002D597E" w:rsidRPr="00572BF0" w:rsidRDefault="002D597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2D597E" w:rsidRPr="00572BF0" w:rsidRDefault="002D597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2D597E" w:rsidRPr="00572BF0" w:rsidRDefault="002D597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2D597E" w:rsidRPr="00572BF0" w:rsidRDefault="002D597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Yi*I</w:t>
            </w:r>
          </w:p>
        </w:tc>
        <w:tc>
          <w:tcPr>
            <w:tcW w:w="1571" w:type="dxa"/>
            <w:shd w:val="clear" w:color="auto" w:fill="auto"/>
          </w:tcPr>
          <w:p w:rsidR="002D597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i²</w:t>
            </w:r>
          </w:p>
        </w:tc>
      </w:tr>
      <w:tr w:rsidR="009722BE" w:rsidRPr="00572BF0" w:rsidTr="00572BF0">
        <w:tc>
          <w:tcPr>
            <w:tcW w:w="124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0,4</w:t>
            </w:r>
          </w:p>
        </w:tc>
        <w:tc>
          <w:tcPr>
            <w:tcW w:w="187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571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1</w:t>
            </w:r>
          </w:p>
        </w:tc>
      </w:tr>
      <w:tr w:rsidR="009722BE" w:rsidRPr="00572BF0" w:rsidTr="00572BF0">
        <w:tc>
          <w:tcPr>
            <w:tcW w:w="124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0,76</w:t>
            </w:r>
          </w:p>
        </w:tc>
        <w:tc>
          <w:tcPr>
            <w:tcW w:w="187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1.52</w:t>
            </w:r>
          </w:p>
        </w:tc>
        <w:tc>
          <w:tcPr>
            <w:tcW w:w="1571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4</w:t>
            </w:r>
          </w:p>
        </w:tc>
      </w:tr>
      <w:tr w:rsidR="009722BE" w:rsidRPr="00572BF0" w:rsidTr="00572BF0">
        <w:tc>
          <w:tcPr>
            <w:tcW w:w="124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0,48</w:t>
            </w:r>
          </w:p>
        </w:tc>
        <w:tc>
          <w:tcPr>
            <w:tcW w:w="187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1571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9</w:t>
            </w:r>
          </w:p>
        </w:tc>
      </w:tr>
      <w:tr w:rsidR="009722BE" w:rsidRPr="00572BF0" w:rsidTr="00572BF0">
        <w:tc>
          <w:tcPr>
            <w:tcW w:w="124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0,93</w:t>
            </w:r>
          </w:p>
        </w:tc>
        <w:tc>
          <w:tcPr>
            <w:tcW w:w="187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3.72</w:t>
            </w:r>
          </w:p>
        </w:tc>
        <w:tc>
          <w:tcPr>
            <w:tcW w:w="1571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16</w:t>
            </w:r>
          </w:p>
        </w:tc>
      </w:tr>
      <w:tr w:rsidR="009722BE" w:rsidRPr="00572BF0" w:rsidTr="00572BF0">
        <w:tc>
          <w:tcPr>
            <w:tcW w:w="124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0,15</w:t>
            </w:r>
          </w:p>
        </w:tc>
        <w:tc>
          <w:tcPr>
            <w:tcW w:w="187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1571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25</w:t>
            </w:r>
          </w:p>
        </w:tc>
      </w:tr>
      <w:tr w:rsidR="009722BE" w:rsidRPr="00572BF0" w:rsidTr="00572BF0">
        <w:tc>
          <w:tcPr>
            <w:tcW w:w="124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104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2,72</w:t>
            </w:r>
          </w:p>
        </w:tc>
        <w:tc>
          <w:tcPr>
            <w:tcW w:w="1872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7.83</w:t>
            </w:r>
          </w:p>
        </w:tc>
        <w:tc>
          <w:tcPr>
            <w:tcW w:w="1571" w:type="dxa"/>
            <w:shd w:val="clear" w:color="auto" w:fill="auto"/>
          </w:tcPr>
          <w:p w:rsidR="009722BE" w:rsidRPr="00572BF0" w:rsidRDefault="009722BE" w:rsidP="00572BF0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55</w:t>
            </w:r>
          </w:p>
        </w:tc>
      </w:tr>
    </w:tbl>
    <w:p w:rsidR="009722BE" w:rsidRPr="0093273C" w:rsidRDefault="009722BE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22BE" w:rsidRPr="0093273C" w:rsidRDefault="00D75F8F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99.75pt;height:18pt">
            <v:imagedata r:id="rId17" o:title=""/>
          </v:shape>
        </w:pict>
      </w:r>
    </w:p>
    <w:p w:rsidR="009722BE" w:rsidRPr="0093273C" w:rsidRDefault="00D75F8F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05pt;height:18pt">
            <v:imagedata r:id="rId18" o:title=""/>
          </v:shape>
        </w:pict>
      </w:r>
    </w:p>
    <w:p w:rsidR="009722BE" w:rsidRPr="0093273C" w:rsidRDefault="00D75F8F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54pt;height:18pt">
            <v:imagedata r:id="rId19" o:title=""/>
          </v:shape>
        </w:pict>
      </w:r>
    </w:p>
    <w:p w:rsidR="009722BE" w:rsidRPr="0093273C" w:rsidRDefault="00D75F8F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0pt;height:17.25pt">
            <v:imagedata r:id="rId20" o:title=""/>
          </v:shape>
        </w:pict>
      </w:r>
    </w:p>
    <w:p w:rsidR="009722BE" w:rsidRPr="0093273C" w:rsidRDefault="00D75F8F" w:rsidP="0093273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219.75pt;height:30.75pt">
            <v:imagedata r:id="rId21" o:title=""/>
          </v:shape>
        </w:pict>
      </w:r>
    </w:p>
    <w:p w:rsidR="009722BE" w:rsidRPr="0093273C" w:rsidRDefault="009722BE" w:rsidP="0093273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97E" w:rsidRPr="0093273C" w:rsidRDefault="009722BE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Таблица</w:t>
      </w:r>
      <w:r w:rsidR="009E5FA8" w:rsidRPr="0093273C">
        <w:rPr>
          <w:sz w:val="28"/>
          <w:szCs w:val="28"/>
        </w:rPr>
        <w:t xml:space="preserve"> – Данные для расчета среднеквадратического отклонения убыточности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1754"/>
        <w:gridCol w:w="1815"/>
        <w:gridCol w:w="1595"/>
        <w:gridCol w:w="1618"/>
      </w:tblGrid>
      <w:tr w:rsidR="009E5FA8" w:rsidRPr="00572BF0" w:rsidTr="00572BF0">
        <w:tc>
          <w:tcPr>
            <w:tcW w:w="959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Годы</w:t>
            </w:r>
          </w:p>
        </w:tc>
        <w:tc>
          <w:tcPr>
            <w:tcW w:w="992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72BF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54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Фактическая убыточность</w:t>
            </w:r>
          </w:p>
        </w:tc>
        <w:tc>
          <w:tcPr>
            <w:tcW w:w="181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Выравненная убыточность</w:t>
            </w:r>
          </w:p>
        </w:tc>
        <w:tc>
          <w:tcPr>
            <w:tcW w:w="159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отклонение</w:t>
            </w:r>
          </w:p>
        </w:tc>
        <w:tc>
          <w:tcPr>
            <w:tcW w:w="1618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Квадраты отклонений</w:t>
            </w:r>
          </w:p>
        </w:tc>
      </w:tr>
      <w:tr w:rsidR="009E5FA8" w:rsidRPr="00572BF0" w:rsidTr="00572BF0">
        <w:tc>
          <w:tcPr>
            <w:tcW w:w="959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1</w:t>
            </w:r>
          </w:p>
        </w:tc>
        <w:tc>
          <w:tcPr>
            <w:tcW w:w="1754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0,4</w:t>
            </w:r>
          </w:p>
        </w:tc>
        <w:tc>
          <w:tcPr>
            <w:tcW w:w="181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0,61</w:t>
            </w:r>
          </w:p>
        </w:tc>
        <w:tc>
          <w:tcPr>
            <w:tcW w:w="159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0,21</w:t>
            </w:r>
          </w:p>
        </w:tc>
        <w:tc>
          <w:tcPr>
            <w:tcW w:w="1618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0,044</w:t>
            </w:r>
          </w:p>
        </w:tc>
      </w:tr>
      <w:tr w:rsidR="009E5FA8" w:rsidRPr="00572BF0" w:rsidTr="00572BF0">
        <w:tc>
          <w:tcPr>
            <w:tcW w:w="959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0,76</w:t>
            </w:r>
          </w:p>
        </w:tc>
        <w:tc>
          <w:tcPr>
            <w:tcW w:w="181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0,577</w:t>
            </w:r>
          </w:p>
        </w:tc>
        <w:tc>
          <w:tcPr>
            <w:tcW w:w="159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0,183</w:t>
            </w:r>
          </w:p>
        </w:tc>
        <w:tc>
          <w:tcPr>
            <w:tcW w:w="1618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0,033</w:t>
            </w:r>
          </w:p>
        </w:tc>
      </w:tr>
      <w:tr w:rsidR="009E5FA8" w:rsidRPr="00572BF0" w:rsidTr="00572BF0">
        <w:tc>
          <w:tcPr>
            <w:tcW w:w="959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0,48</w:t>
            </w:r>
          </w:p>
        </w:tc>
        <w:tc>
          <w:tcPr>
            <w:tcW w:w="181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0,544</w:t>
            </w:r>
          </w:p>
        </w:tc>
        <w:tc>
          <w:tcPr>
            <w:tcW w:w="159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0,064</w:t>
            </w:r>
          </w:p>
        </w:tc>
        <w:tc>
          <w:tcPr>
            <w:tcW w:w="1618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0,004</w:t>
            </w:r>
          </w:p>
        </w:tc>
      </w:tr>
      <w:tr w:rsidR="009E5FA8" w:rsidRPr="00572BF0" w:rsidTr="00572BF0">
        <w:tc>
          <w:tcPr>
            <w:tcW w:w="959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4</w:t>
            </w:r>
          </w:p>
        </w:tc>
        <w:tc>
          <w:tcPr>
            <w:tcW w:w="1754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0,93</w:t>
            </w:r>
          </w:p>
        </w:tc>
        <w:tc>
          <w:tcPr>
            <w:tcW w:w="181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0,511</w:t>
            </w:r>
          </w:p>
        </w:tc>
        <w:tc>
          <w:tcPr>
            <w:tcW w:w="159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0,429</w:t>
            </w:r>
          </w:p>
        </w:tc>
        <w:tc>
          <w:tcPr>
            <w:tcW w:w="1618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0,184</w:t>
            </w:r>
          </w:p>
        </w:tc>
      </w:tr>
      <w:tr w:rsidR="009E5FA8" w:rsidRPr="00572BF0" w:rsidTr="00572BF0">
        <w:tc>
          <w:tcPr>
            <w:tcW w:w="959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0,15</w:t>
            </w:r>
          </w:p>
        </w:tc>
        <w:tc>
          <w:tcPr>
            <w:tcW w:w="181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0,478</w:t>
            </w:r>
          </w:p>
        </w:tc>
        <w:tc>
          <w:tcPr>
            <w:tcW w:w="159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0,528</w:t>
            </w:r>
          </w:p>
        </w:tc>
        <w:tc>
          <w:tcPr>
            <w:tcW w:w="1618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0,108</w:t>
            </w:r>
          </w:p>
        </w:tc>
      </w:tr>
      <w:tr w:rsidR="009E5FA8" w:rsidRPr="00572BF0" w:rsidTr="00572BF0">
        <w:tc>
          <w:tcPr>
            <w:tcW w:w="959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15</w:t>
            </w:r>
          </w:p>
        </w:tc>
        <w:tc>
          <w:tcPr>
            <w:tcW w:w="1754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2,72</w:t>
            </w:r>
          </w:p>
        </w:tc>
        <w:tc>
          <w:tcPr>
            <w:tcW w:w="181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2,72</w:t>
            </w:r>
          </w:p>
        </w:tc>
        <w:tc>
          <w:tcPr>
            <w:tcW w:w="1595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9E5FA8" w:rsidRPr="00572BF0" w:rsidRDefault="009E5FA8" w:rsidP="00572B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2BF0">
              <w:rPr>
                <w:sz w:val="20"/>
                <w:szCs w:val="20"/>
              </w:rPr>
              <w:t>0,373</w:t>
            </w:r>
          </w:p>
        </w:tc>
      </w:tr>
    </w:tbl>
    <w:p w:rsidR="00444CAC" w:rsidRDefault="00444CAC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66C3" w:rsidRPr="0093273C" w:rsidRDefault="00D75F8F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99.75pt;height:35.25pt">
            <v:imagedata r:id="rId22" o:title=""/>
          </v:shape>
        </w:pict>
      </w:r>
    </w:p>
    <w:p w:rsidR="004206B6" w:rsidRPr="0093273C" w:rsidRDefault="004206B6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Нетто-ставка</w:t>
      </w:r>
      <w:r w:rsidR="0093273C">
        <w:rPr>
          <w:sz w:val="28"/>
          <w:szCs w:val="28"/>
        </w:rPr>
        <w:t xml:space="preserve"> </w:t>
      </w:r>
      <w:r w:rsidR="00D75F8F">
        <w:rPr>
          <w:sz w:val="28"/>
          <w:szCs w:val="28"/>
        </w:rPr>
        <w:pict>
          <v:shape id="_x0000_i1041" type="#_x0000_t75" style="width:156pt;height:15.75pt">
            <v:imagedata r:id="rId23" o:title=""/>
          </v:shape>
        </w:pict>
      </w:r>
    </w:p>
    <w:p w:rsidR="00CC7179" w:rsidRPr="0093273C" w:rsidRDefault="004206B6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Брутто-ставка</w:t>
      </w:r>
      <w:r w:rsidR="00D75F8F">
        <w:rPr>
          <w:sz w:val="28"/>
          <w:szCs w:val="28"/>
        </w:rPr>
        <w:pict>
          <v:shape id="_x0000_i1042" type="#_x0000_t75" style="width:224.25pt;height:30.75pt">
            <v:imagedata r:id="rId24" o:title=""/>
          </v:shape>
        </w:pict>
      </w:r>
    </w:p>
    <w:p w:rsidR="00CC7179" w:rsidRPr="0093273C" w:rsidRDefault="00CC7179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68DD" w:rsidRPr="0093273C" w:rsidRDefault="00CC7179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3. Расчет тарифной ставки при смешанном страховании жизни</w:t>
      </w:r>
    </w:p>
    <w:p w:rsidR="004C68DD" w:rsidRPr="0093273C" w:rsidRDefault="004C68DD" w:rsidP="0093273C">
      <w:pPr>
        <w:widowControl w:val="0"/>
        <w:tabs>
          <w:tab w:val="left" w:pos="2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38B3" w:rsidRPr="0093273C" w:rsidRDefault="004C68DD" w:rsidP="0093273C">
      <w:pPr>
        <w:widowControl w:val="0"/>
        <w:tabs>
          <w:tab w:val="left" w:pos="2580"/>
        </w:tabs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Вариант 13</w:t>
      </w:r>
    </w:p>
    <w:p w:rsidR="005838B3" w:rsidRPr="0093273C" w:rsidRDefault="005838B3" w:rsidP="0093273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38B3" w:rsidRPr="0093273C" w:rsidRDefault="00D75F8F" w:rsidP="0093273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3" type="#_x0000_t75" style="width:114.75pt;height:33.75pt">
            <v:imagedata r:id="rId25" o:title=""/>
          </v:shape>
        </w:pict>
      </w:r>
    </w:p>
    <w:p w:rsidR="005838B3" w:rsidRPr="0093273C" w:rsidRDefault="005838B3" w:rsidP="0093273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273C" w:rsidRDefault="005838B3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Нетто-ставка на дожитие</w:t>
      </w:r>
    </w:p>
    <w:p w:rsidR="0093273C" w:rsidRDefault="0093273C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38B3" w:rsidRPr="0093273C" w:rsidRDefault="00D75F8F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79.75pt;height:30.75pt">
            <v:imagedata r:id="rId26" o:title=""/>
          </v:shape>
        </w:pict>
      </w:r>
    </w:p>
    <w:p w:rsidR="005838B3" w:rsidRPr="0093273C" w:rsidRDefault="005838B3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273C" w:rsidRDefault="005838B3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Нетто-ставка на случай смерти</w:t>
      </w:r>
      <w:r w:rsidR="0093273C">
        <w:rPr>
          <w:sz w:val="28"/>
          <w:szCs w:val="28"/>
        </w:rPr>
        <w:t xml:space="preserve"> </w:t>
      </w:r>
    </w:p>
    <w:p w:rsidR="0093273C" w:rsidRDefault="0093273C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06B6" w:rsidRPr="0093273C" w:rsidRDefault="00D75F8F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45.25pt;height:30.75pt">
            <v:imagedata r:id="rId27" o:title=""/>
          </v:shape>
        </w:pict>
      </w:r>
    </w:p>
    <w:p w:rsidR="005838B3" w:rsidRPr="0093273C" w:rsidRDefault="005838B3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38B3" w:rsidRPr="0093273C" w:rsidRDefault="005838B3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Нетто-ставка</w:t>
      </w:r>
      <w:r w:rsidR="0093273C">
        <w:rPr>
          <w:sz w:val="28"/>
          <w:szCs w:val="28"/>
        </w:rPr>
        <w:t xml:space="preserve"> </w:t>
      </w:r>
      <w:r w:rsidR="00D75F8F">
        <w:rPr>
          <w:sz w:val="28"/>
          <w:szCs w:val="28"/>
        </w:rPr>
        <w:pict>
          <v:shape id="_x0000_i1046" type="#_x0000_t75" style="width:146.25pt;height:18pt">
            <v:imagedata r:id="rId28" o:title=""/>
          </v:shape>
        </w:pict>
      </w:r>
    </w:p>
    <w:p w:rsidR="00173124" w:rsidRPr="0093273C" w:rsidRDefault="005838B3" w:rsidP="0093273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Брутто-ставка</w:t>
      </w:r>
      <w:r w:rsidR="0093273C">
        <w:rPr>
          <w:sz w:val="28"/>
          <w:szCs w:val="28"/>
        </w:rPr>
        <w:t xml:space="preserve"> </w:t>
      </w:r>
      <w:r w:rsidR="00D75F8F">
        <w:rPr>
          <w:sz w:val="28"/>
          <w:szCs w:val="28"/>
        </w:rPr>
        <w:pict>
          <v:shape id="_x0000_i1047" type="#_x0000_t75" style="width:119.25pt;height:30.75pt">
            <v:imagedata r:id="rId29" o:title=""/>
          </v:shape>
        </w:pict>
      </w:r>
    </w:p>
    <w:p w:rsidR="005838B3" w:rsidRPr="0093273C" w:rsidRDefault="00173124" w:rsidP="00444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Брутто-премия</w:t>
      </w:r>
      <w:r w:rsidR="00444CAC">
        <w:rPr>
          <w:sz w:val="28"/>
          <w:szCs w:val="28"/>
        </w:rPr>
        <w:t xml:space="preserve"> </w:t>
      </w:r>
      <w:r w:rsidR="00D75F8F">
        <w:rPr>
          <w:sz w:val="28"/>
          <w:szCs w:val="28"/>
        </w:rPr>
        <w:pict>
          <v:shape id="_x0000_i1048" type="#_x0000_t75" style="width:141.75pt;height:30.75pt">
            <v:imagedata r:id="rId30" o:title=""/>
          </v:shape>
        </w:pict>
      </w:r>
    </w:p>
    <w:p w:rsidR="00182ADE" w:rsidRPr="0093273C" w:rsidRDefault="007F6FBE" w:rsidP="0093273C">
      <w:pPr>
        <w:widowControl w:val="0"/>
        <w:tabs>
          <w:tab w:val="left" w:pos="2280"/>
        </w:tabs>
        <w:spacing w:line="360" w:lineRule="auto"/>
        <w:ind w:firstLine="709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Список используемых источников</w:t>
      </w:r>
    </w:p>
    <w:p w:rsidR="00182ADE" w:rsidRPr="0093273C" w:rsidRDefault="00182ADE" w:rsidP="0093273C">
      <w:pPr>
        <w:widowControl w:val="0"/>
        <w:spacing w:line="360" w:lineRule="auto"/>
        <w:ind w:firstLine="709"/>
        <w:jc w:val="both"/>
        <w:rPr>
          <w:rFonts w:cs="Courier New"/>
          <w:sz w:val="28"/>
          <w:szCs w:val="18"/>
        </w:rPr>
      </w:pPr>
    </w:p>
    <w:p w:rsidR="00182ADE" w:rsidRPr="0093273C" w:rsidRDefault="00182ADE" w:rsidP="00444CAC">
      <w:pPr>
        <w:pStyle w:val="a8"/>
        <w:widowControl w:val="0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Гвозденко А.А. Основы страхования : Учебник.</w:t>
      </w:r>
      <w:r w:rsidR="00AD212B" w:rsidRPr="0093273C">
        <w:rPr>
          <w:sz w:val="28"/>
          <w:szCs w:val="28"/>
        </w:rPr>
        <w:t>– М.: Финансы и статистика, 2006</w:t>
      </w:r>
      <w:r w:rsidRPr="0093273C">
        <w:rPr>
          <w:sz w:val="28"/>
          <w:szCs w:val="28"/>
        </w:rPr>
        <w:t>.–304с.</w:t>
      </w:r>
    </w:p>
    <w:p w:rsidR="00182ADE" w:rsidRPr="0093273C" w:rsidRDefault="00182ADE" w:rsidP="00444CAC">
      <w:pPr>
        <w:pStyle w:val="a8"/>
        <w:widowControl w:val="0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Гвозденко А.А. Финансово-экономические методы страхования: Учебник.–М.: Финан</w:t>
      </w:r>
      <w:r w:rsidR="00AD212B" w:rsidRPr="0093273C">
        <w:rPr>
          <w:sz w:val="28"/>
          <w:szCs w:val="28"/>
        </w:rPr>
        <w:t>сы и статистика, 2004.–184с.</w:t>
      </w:r>
    </w:p>
    <w:p w:rsidR="00182ADE" w:rsidRPr="0093273C" w:rsidRDefault="00182ADE" w:rsidP="00444CAC">
      <w:pPr>
        <w:pStyle w:val="a8"/>
        <w:widowControl w:val="0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3273C">
        <w:rPr>
          <w:sz w:val="28"/>
          <w:szCs w:val="28"/>
        </w:rPr>
        <w:t xml:space="preserve">Основы страховой деятельности: Учебник/Отв. ред. проф. Т.А. Федорова–М.: Издательство БЕК, </w:t>
      </w:r>
      <w:r w:rsidR="00AD212B" w:rsidRPr="0093273C">
        <w:rPr>
          <w:sz w:val="28"/>
          <w:szCs w:val="28"/>
        </w:rPr>
        <w:t>2007</w:t>
      </w:r>
      <w:r w:rsidRPr="0093273C">
        <w:rPr>
          <w:sz w:val="28"/>
          <w:szCs w:val="28"/>
        </w:rPr>
        <w:t>.–768 с.</w:t>
      </w:r>
    </w:p>
    <w:p w:rsidR="00182ADE" w:rsidRPr="0093273C" w:rsidRDefault="00182ADE" w:rsidP="00444CAC">
      <w:pPr>
        <w:pStyle w:val="a8"/>
        <w:widowControl w:val="0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3273C">
        <w:rPr>
          <w:sz w:val="28"/>
          <w:szCs w:val="28"/>
        </w:rPr>
        <w:t>Сербиновский Б.Ю., Гарькуша В.Н. Страховое дело: Учебное пособие для вузов. Серия “Учебники, учебные пос</w:t>
      </w:r>
      <w:r w:rsidR="00444CAC">
        <w:rPr>
          <w:sz w:val="28"/>
          <w:szCs w:val="28"/>
        </w:rPr>
        <w:t xml:space="preserve">обия” Ростов н </w:t>
      </w:r>
      <w:r w:rsidR="00AD212B" w:rsidRPr="0093273C">
        <w:rPr>
          <w:sz w:val="28"/>
          <w:szCs w:val="28"/>
        </w:rPr>
        <w:t>Д: “Феникс”, 2007</w:t>
      </w:r>
      <w:r w:rsidR="00444CAC">
        <w:rPr>
          <w:sz w:val="28"/>
          <w:szCs w:val="28"/>
        </w:rPr>
        <w:t>–384 с</w:t>
      </w:r>
    </w:p>
    <w:p w:rsidR="007F6FBE" w:rsidRPr="00444CAC" w:rsidRDefault="00182ADE" w:rsidP="00444CAC">
      <w:pPr>
        <w:pStyle w:val="a8"/>
        <w:widowControl w:val="0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44CAC">
        <w:rPr>
          <w:sz w:val="28"/>
          <w:szCs w:val="28"/>
        </w:rPr>
        <w:t>Шихов А.К. Страхование: Учебное пособие</w:t>
      </w:r>
      <w:r w:rsidR="00AD212B" w:rsidRPr="00444CAC">
        <w:rPr>
          <w:sz w:val="28"/>
          <w:szCs w:val="28"/>
        </w:rPr>
        <w:t xml:space="preserve"> для вузов.–М.: ЮНИТИ–ДАНА, 2005</w:t>
      </w:r>
      <w:r w:rsidRPr="00444CAC">
        <w:rPr>
          <w:sz w:val="28"/>
          <w:szCs w:val="28"/>
        </w:rPr>
        <w:t>.–431с.</w:t>
      </w:r>
      <w:bookmarkStart w:id="1" w:name="_GoBack"/>
      <w:bookmarkEnd w:id="1"/>
    </w:p>
    <w:sectPr w:rsidR="007F6FBE" w:rsidRPr="00444CAC" w:rsidSect="0093273C">
      <w:headerReference w:type="even" r:id="rId31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F0" w:rsidRDefault="00572BF0">
      <w:r>
        <w:separator/>
      </w:r>
    </w:p>
  </w:endnote>
  <w:endnote w:type="continuationSeparator" w:id="0">
    <w:p w:rsidR="00572BF0" w:rsidRDefault="0057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F0" w:rsidRDefault="00572BF0">
      <w:r>
        <w:separator/>
      </w:r>
    </w:p>
  </w:footnote>
  <w:footnote w:type="continuationSeparator" w:id="0">
    <w:p w:rsidR="00572BF0" w:rsidRDefault="0057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6A" w:rsidRDefault="00DD736A" w:rsidP="00132DBE">
    <w:pPr>
      <w:pStyle w:val="a5"/>
      <w:framePr w:wrap="around" w:vAnchor="text" w:hAnchor="margin" w:xAlign="right" w:y="1"/>
      <w:rPr>
        <w:rStyle w:val="a7"/>
      </w:rPr>
    </w:pPr>
  </w:p>
  <w:p w:rsidR="00DD736A" w:rsidRDefault="00DD736A" w:rsidP="003C06A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1C99"/>
    <w:multiLevelType w:val="hybridMultilevel"/>
    <w:tmpl w:val="1C625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D8757C"/>
    <w:multiLevelType w:val="multilevel"/>
    <w:tmpl w:val="CC96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625831"/>
    <w:multiLevelType w:val="hybridMultilevel"/>
    <w:tmpl w:val="9828B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1C5"/>
    <w:rsid w:val="000E3E09"/>
    <w:rsid w:val="000F3921"/>
    <w:rsid w:val="000F63D2"/>
    <w:rsid w:val="00132DBE"/>
    <w:rsid w:val="00173124"/>
    <w:rsid w:val="00182ADE"/>
    <w:rsid w:val="002D597E"/>
    <w:rsid w:val="002F3FC1"/>
    <w:rsid w:val="003C06AD"/>
    <w:rsid w:val="004206B6"/>
    <w:rsid w:val="00444CAC"/>
    <w:rsid w:val="004C68DD"/>
    <w:rsid w:val="004F2567"/>
    <w:rsid w:val="00572BF0"/>
    <w:rsid w:val="005838B3"/>
    <w:rsid w:val="005E02F5"/>
    <w:rsid w:val="00632466"/>
    <w:rsid w:val="007118A4"/>
    <w:rsid w:val="00744759"/>
    <w:rsid w:val="007C5650"/>
    <w:rsid w:val="007C79C0"/>
    <w:rsid w:val="007D3B9F"/>
    <w:rsid w:val="007E19CB"/>
    <w:rsid w:val="007F6FBE"/>
    <w:rsid w:val="008217BB"/>
    <w:rsid w:val="0093273C"/>
    <w:rsid w:val="00936BE3"/>
    <w:rsid w:val="009722BE"/>
    <w:rsid w:val="009E5FA8"/>
    <w:rsid w:val="00AA6F93"/>
    <w:rsid w:val="00AD212B"/>
    <w:rsid w:val="00BF1CCB"/>
    <w:rsid w:val="00C93AA6"/>
    <w:rsid w:val="00CC7179"/>
    <w:rsid w:val="00D30461"/>
    <w:rsid w:val="00D75F8F"/>
    <w:rsid w:val="00DD736A"/>
    <w:rsid w:val="00DE5703"/>
    <w:rsid w:val="00E236F2"/>
    <w:rsid w:val="00E7279B"/>
    <w:rsid w:val="00F15470"/>
    <w:rsid w:val="00F166C3"/>
    <w:rsid w:val="00F541C5"/>
    <w:rsid w:val="00F610AA"/>
    <w:rsid w:val="00F84FF2"/>
    <w:rsid w:val="00FC257A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E33D6669-4E36-4E0E-9AB2-69F635A8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541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F54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customStyle="1" w:styleId="Char">
    <w:name w:val="Стандарт Char"/>
    <w:link w:val="a3"/>
    <w:locked/>
    <w:rsid w:val="007C79C0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customStyle="1" w:styleId="a3">
    <w:name w:val="Стандарт"/>
    <w:basedOn w:val="a"/>
    <w:link w:val="Char"/>
    <w:rsid w:val="007C79C0"/>
    <w:pPr>
      <w:widowControl w:val="0"/>
      <w:spacing w:line="360" w:lineRule="auto"/>
      <w:ind w:firstLine="709"/>
      <w:jc w:val="both"/>
    </w:pPr>
    <w:rPr>
      <w:rFonts w:ascii="Calibri" w:hAnsi="Calibri"/>
      <w:sz w:val="28"/>
    </w:rPr>
  </w:style>
  <w:style w:type="table" w:styleId="a4">
    <w:name w:val="Table Grid"/>
    <w:basedOn w:val="a1"/>
    <w:uiPriority w:val="59"/>
    <w:rsid w:val="002D5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C0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C06AD"/>
    <w:rPr>
      <w:rFonts w:cs="Times New Roman"/>
    </w:rPr>
  </w:style>
  <w:style w:type="paragraph" w:styleId="a8">
    <w:name w:val="Normal (Web)"/>
    <w:basedOn w:val="a"/>
    <w:uiPriority w:val="99"/>
    <w:rsid w:val="00182ADE"/>
    <w:pPr>
      <w:spacing w:before="100" w:beforeAutospacing="1" w:after="100" w:afterAutospacing="1"/>
      <w:ind w:firstLine="300"/>
    </w:pPr>
  </w:style>
  <w:style w:type="character" w:styleId="a9">
    <w:name w:val="Emphasis"/>
    <w:uiPriority w:val="20"/>
    <w:qFormat/>
    <w:rsid w:val="00182ADE"/>
    <w:rPr>
      <w:rFonts w:cs="Times New Roman"/>
      <w:i/>
      <w:iCs/>
    </w:rPr>
  </w:style>
  <w:style w:type="paragraph" w:styleId="aa">
    <w:name w:val="footer"/>
    <w:basedOn w:val="a"/>
    <w:link w:val="ab"/>
    <w:uiPriority w:val="99"/>
    <w:rsid w:val="00932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3273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4926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forsaj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2010-12-23T06:26:00Z</cp:lastPrinted>
  <dcterms:created xsi:type="dcterms:W3CDTF">2014-03-20T20:54:00Z</dcterms:created>
  <dcterms:modified xsi:type="dcterms:W3CDTF">2014-03-20T20:54:00Z</dcterms:modified>
</cp:coreProperties>
</file>