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76" w:rsidRDefault="003C3C76">
      <w:pPr>
        <w:pStyle w:val="1"/>
        <w:spacing w:line="360" w:lineRule="auto"/>
        <w:rPr>
          <w:noProof w:val="0"/>
          <w:color w:val="FF0000"/>
          <w:lang w:val="ru-RU"/>
        </w:rPr>
      </w:pPr>
    </w:p>
    <w:p w:rsidR="003C3C76" w:rsidRDefault="003C3C76">
      <w:pPr>
        <w:pStyle w:val="1"/>
        <w:spacing w:line="360" w:lineRule="auto"/>
        <w:rPr>
          <w:noProof w:val="0"/>
          <w:color w:val="FF0000"/>
          <w:lang w:val="ru-RU"/>
        </w:rPr>
      </w:pPr>
    </w:p>
    <w:p w:rsidR="003C3C76" w:rsidRDefault="003C3C76">
      <w:pPr>
        <w:pStyle w:val="1"/>
        <w:spacing w:line="360" w:lineRule="auto"/>
        <w:rPr>
          <w:noProof w:val="0"/>
          <w:lang w:val="ru-RU"/>
        </w:rPr>
      </w:pPr>
      <w:r>
        <w:rPr>
          <w:noProof w:val="0"/>
          <w:lang w:val="ru-RU"/>
        </w:rPr>
        <w:t xml:space="preserve">Страховые компании и региональная экономика, </w:t>
      </w:r>
    </w:p>
    <w:p w:rsidR="003C3C76" w:rsidRDefault="003C3C76">
      <w:pPr>
        <w:pStyle w:val="1"/>
        <w:spacing w:line="360" w:lineRule="auto"/>
        <w:rPr>
          <w:noProof w:val="0"/>
          <w:lang w:val="ru-RU"/>
        </w:rPr>
      </w:pPr>
      <w:r>
        <w:rPr>
          <w:noProof w:val="0"/>
          <w:lang w:val="ru-RU"/>
        </w:rPr>
        <w:t>основные аспекты взаимодействия и влияния</w:t>
      </w:r>
    </w:p>
    <w:p w:rsidR="003C3C76" w:rsidRDefault="003C3C76">
      <w:pPr>
        <w:pStyle w:val="1"/>
        <w:spacing w:line="360" w:lineRule="auto"/>
        <w:rPr>
          <w:noProof w:val="0"/>
          <w:lang w:val="ru-RU"/>
        </w:rPr>
      </w:pPr>
      <w:r>
        <w:rPr>
          <w:noProof w:val="0"/>
          <w:lang w:val="ru-RU"/>
        </w:rPr>
        <w:br w:type="page"/>
        <w:t>Введение</w:t>
      </w:r>
    </w:p>
    <w:p w:rsidR="003C3C76" w:rsidRDefault="003C3C76">
      <w:pPr>
        <w:pStyle w:val="a5"/>
        <w:spacing w:line="360" w:lineRule="auto"/>
        <w:ind w:firstLine="567"/>
        <w:jc w:val="left"/>
        <w:rPr>
          <w:lang w:val="ru-RU"/>
        </w:rPr>
      </w:pPr>
    </w:p>
    <w:p w:rsidR="003C3C76" w:rsidRDefault="003C3C76">
      <w:pPr>
        <w:pStyle w:val="a5"/>
        <w:spacing w:line="360" w:lineRule="auto"/>
        <w:ind w:firstLine="567"/>
        <w:jc w:val="both"/>
        <w:rPr>
          <w:lang w:val="ru-RU"/>
        </w:rPr>
      </w:pPr>
      <w:r>
        <w:rPr>
          <w:lang w:val="ru-RU"/>
        </w:rPr>
        <w:t>Страхование — одна из важнейших категорий общественных отношений. 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3C3C76" w:rsidRDefault="003C3C76">
      <w:pPr>
        <w:pStyle w:val="a5"/>
        <w:spacing w:line="360" w:lineRule="auto"/>
        <w:ind w:firstLine="567"/>
        <w:jc w:val="both"/>
        <w:rPr>
          <w:lang w:val="ru-RU"/>
        </w:rPr>
      </w:pPr>
      <w:r>
        <w:rPr>
          <w:lang w:val="ru-RU"/>
        </w:rPr>
        <w:t xml:space="preserve">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при этом, чем большее количество хозяйств участвуют в раскладке ущерба, тем меньшая доля средств приходится на одного участника. Так возникло страхование, сущность которого составляет солидарная замкнутая раскладка ущерба. </w:t>
      </w:r>
    </w:p>
    <w:p w:rsidR="003C3C76" w:rsidRDefault="003C3C76">
      <w:pPr>
        <w:pStyle w:val="a5"/>
        <w:spacing w:line="360" w:lineRule="auto"/>
        <w:ind w:firstLine="567"/>
        <w:jc w:val="both"/>
        <w:rPr>
          <w:lang w:val="ru-RU"/>
        </w:rPr>
      </w:pPr>
      <w:r>
        <w:rPr>
          <w:lang w:val="ru-RU"/>
        </w:rPr>
        <w:t>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и частных лиц.</w:t>
      </w:r>
    </w:p>
    <w:p w:rsidR="003C3C76" w:rsidRDefault="003C3C76">
      <w:pPr>
        <w:pStyle w:val="22"/>
      </w:pPr>
      <w:r>
        <w:t>Перераспределение отношения, присущее страхованию, связно, с одной стороны, с формированием страхового фонда с помощью заранее фиксированных страховых платежей, с другой — с возмещением ущерба из этого фонда участникам страхования. Поскольку указанные перераспределительные отношения связаны с движением денежной формы стоимости, экономическая категория страхования является составной частью категории финансов. Специфичность финансовых отношений при страховании состоит в вероятностном характере этих отношений. Эти особенности страховых отношений включают их в самостоятельную сферу финансовых отношений.</w:t>
      </w:r>
    </w:p>
    <w:p w:rsidR="003C3C76" w:rsidRDefault="003C3C76">
      <w:pPr>
        <w:pStyle w:val="22"/>
      </w:pPr>
    </w:p>
    <w:p w:rsidR="003C3C76" w:rsidRDefault="003C3C76">
      <w:pPr>
        <w:pStyle w:val="1"/>
        <w:numPr>
          <w:ilvl w:val="0"/>
          <w:numId w:val="1"/>
        </w:numPr>
        <w:spacing w:line="360" w:lineRule="auto"/>
        <w:rPr>
          <w:noProof w:val="0"/>
          <w:lang w:val="ru-RU"/>
        </w:rPr>
      </w:pPr>
      <w:r>
        <w:br w:type="page"/>
        <w:t>Место страхования в рыночной экономике</w:t>
      </w:r>
    </w:p>
    <w:p w:rsidR="003C3C76" w:rsidRDefault="003C3C76">
      <w:pPr>
        <w:pStyle w:val="22"/>
      </w:pPr>
    </w:p>
    <w:p w:rsidR="003C3C76" w:rsidRDefault="003C3C76">
      <w:pPr>
        <w:pStyle w:val="22"/>
      </w:pPr>
      <w:r>
        <w:t xml:space="preserve">Система рыночных отношений в сфере страхования существует больше восьми лет. За этот период становление рынка страховых услуг характеризуется высокими темпами развития. </w:t>
      </w:r>
    </w:p>
    <w:p w:rsidR="003C3C76" w:rsidRDefault="003C3C76">
      <w:pPr>
        <w:pStyle w:val="22"/>
      </w:pPr>
      <w:r>
        <w:t xml:space="preserve">Совершенно очевидно, что в России происходят глубокие экономические перемены. В общественное сознание все активнее внедряется мысль о необходимости страхования как неотъемлемого элемента рыночной инфраструктуры. </w:t>
      </w:r>
    </w:p>
    <w:p w:rsidR="003C3C76" w:rsidRDefault="003C3C76">
      <w:pPr>
        <w:pStyle w:val="22"/>
      </w:pPr>
      <w:r>
        <w:t>Таким образом, складывается экономические пространство для деятельности страховщиков.</w:t>
      </w:r>
    </w:p>
    <w:p w:rsidR="003C3C76" w:rsidRDefault="003C3C76">
      <w:pPr>
        <w:pStyle w:val="22"/>
      </w:pPr>
      <w:r>
        <w:t>Как известно, экономический рост связан с созданием чистого капитала. Для увеличения объемов формирования чистого капитала должны возрасти объемы чистых сбережений. Страхование оказывает содействие сбережениям тем, что позволяет физическим лицам и предприятиям диверсифицировать активы, экономить благодаря увеличению масштабов производства</w:t>
      </w:r>
    </w:p>
    <w:p w:rsidR="003C3C76" w:rsidRDefault="003C3C76">
      <w:pPr>
        <w:pStyle w:val="22"/>
      </w:pPr>
      <w:r>
        <w:t>Согласно общемировой и российской практике одним из основных условий роста экономики является привлечение инвестиций. Для решения этой проблемы нужно решить следующие задачи финансово-кредитной и страховой политики:</w:t>
      </w:r>
    </w:p>
    <w:p w:rsidR="003C3C76" w:rsidRDefault="003C3C76">
      <w:pPr>
        <w:numPr>
          <w:ilvl w:val="0"/>
          <w:numId w:val="2"/>
        </w:numPr>
        <w:spacing w:line="360" w:lineRule="auto"/>
        <w:rPr>
          <w:sz w:val="28"/>
          <w:szCs w:val="28"/>
          <w:lang w:val="ru-RU"/>
        </w:rPr>
      </w:pPr>
      <w:r>
        <w:rPr>
          <w:sz w:val="28"/>
          <w:szCs w:val="28"/>
          <w:lang w:val="ru-RU"/>
        </w:rPr>
        <w:t xml:space="preserve"> создание эффективной структуры накоплений, повышение уровня инвестиций в основные фонды и человеческий капитал;</w:t>
      </w:r>
    </w:p>
    <w:p w:rsidR="003C3C76" w:rsidRDefault="003C3C76">
      <w:pPr>
        <w:numPr>
          <w:ilvl w:val="0"/>
          <w:numId w:val="2"/>
        </w:numPr>
        <w:spacing w:line="360" w:lineRule="auto"/>
        <w:rPr>
          <w:sz w:val="28"/>
          <w:szCs w:val="28"/>
          <w:lang w:val="ru-RU"/>
        </w:rPr>
      </w:pPr>
      <w:r>
        <w:rPr>
          <w:sz w:val="28"/>
          <w:szCs w:val="28"/>
          <w:lang w:val="ru-RU"/>
        </w:rPr>
        <w:t xml:space="preserve"> оздоровление финансового положения предприятий области путем увеличения объемов инвестиций в основной капитал;</w:t>
      </w:r>
    </w:p>
    <w:p w:rsidR="003C3C76" w:rsidRDefault="003C3C76">
      <w:pPr>
        <w:numPr>
          <w:ilvl w:val="0"/>
          <w:numId w:val="2"/>
        </w:numPr>
        <w:spacing w:line="360" w:lineRule="auto"/>
        <w:rPr>
          <w:sz w:val="28"/>
          <w:szCs w:val="28"/>
          <w:lang w:val="ru-RU"/>
        </w:rPr>
      </w:pPr>
      <w:r>
        <w:rPr>
          <w:sz w:val="28"/>
          <w:szCs w:val="28"/>
          <w:lang w:val="ru-RU"/>
        </w:rPr>
        <w:t xml:space="preserve"> разработка принципов и механизмов эффективной страховой политики, обеспечивающей формирование конкурентоспособного финансового сектора, включающего систему государственных и негосударственных институтов страхования и гарантирования инвестиций, в том числе иностранных, при минимизации рисков и обеспечения возвратности;</w:t>
      </w:r>
    </w:p>
    <w:p w:rsidR="003C3C76" w:rsidRDefault="003C3C76">
      <w:pPr>
        <w:numPr>
          <w:ilvl w:val="0"/>
          <w:numId w:val="2"/>
        </w:numPr>
        <w:spacing w:line="360" w:lineRule="auto"/>
        <w:rPr>
          <w:sz w:val="28"/>
          <w:szCs w:val="28"/>
          <w:lang w:val="ru-RU"/>
        </w:rPr>
      </w:pPr>
      <w:r>
        <w:rPr>
          <w:sz w:val="28"/>
          <w:szCs w:val="28"/>
          <w:lang w:val="ru-RU"/>
        </w:rPr>
        <w:t xml:space="preserve"> разработка концептуальной схемы страхового рынка и механизмов страхования на региональном уровне;</w:t>
      </w:r>
    </w:p>
    <w:p w:rsidR="003C3C76" w:rsidRDefault="003C3C76">
      <w:pPr>
        <w:numPr>
          <w:ilvl w:val="0"/>
          <w:numId w:val="2"/>
        </w:numPr>
        <w:spacing w:line="360" w:lineRule="auto"/>
        <w:rPr>
          <w:sz w:val="28"/>
          <w:szCs w:val="28"/>
          <w:lang w:val="ru-RU"/>
        </w:rPr>
      </w:pPr>
      <w:r>
        <w:rPr>
          <w:sz w:val="28"/>
          <w:szCs w:val="28"/>
          <w:lang w:val="ru-RU"/>
        </w:rPr>
        <w:t xml:space="preserve"> организация системы защиты и страхования всех видов инвестиций на региональном уровне.</w:t>
      </w:r>
    </w:p>
    <w:p w:rsidR="003C3C76" w:rsidRDefault="003C3C76">
      <w:pPr>
        <w:spacing w:line="360" w:lineRule="auto"/>
        <w:rPr>
          <w:sz w:val="28"/>
          <w:szCs w:val="28"/>
          <w:lang w:val="ru-RU"/>
        </w:rPr>
      </w:pPr>
      <w:r>
        <w:rPr>
          <w:sz w:val="28"/>
          <w:szCs w:val="28"/>
          <w:lang w:val="ru-RU"/>
        </w:rPr>
        <w:t>Такие программы разработаны и частично внедрены в ряде областей России, преимущественно Центра и Юго-Запада. Реализация этих программ  начинается, как правило, с попыток создания региональных банков и страховых компаний, что свидетельствует о сверхзадаче таких программ, обычно не декларируемой: установлении контроля администрации над финансовым и страховым ранками с целью получения дополнительных источников инвестиций. Нередко такие финансовые учреждения быстро разоряются. Так, например, в Тульской области за период 1997-2001 гг. пришли в упадок три местных банка и одна страховая компания, специально созданные для обслуживания финансовых проектов администрации.</w:t>
      </w:r>
    </w:p>
    <w:p w:rsidR="003C3C76" w:rsidRDefault="003C3C76">
      <w:pPr>
        <w:pStyle w:val="22"/>
      </w:pPr>
    </w:p>
    <w:p w:rsidR="003C3C76" w:rsidRDefault="003C3C76">
      <w:pPr>
        <w:pStyle w:val="1"/>
        <w:spacing w:line="360" w:lineRule="auto"/>
      </w:pPr>
      <w:r>
        <w:t>2. Страхование и региональная экономика</w:t>
      </w:r>
    </w:p>
    <w:p w:rsidR="003C3C76" w:rsidRDefault="003C3C76">
      <w:pPr>
        <w:pStyle w:val="22"/>
      </w:pPr>
    </w:p>
    <w:p w:rsidR="003C3C76" w:rsidRDefault="003C3C76">
      <w:pPr>
        <w:pStyle w:val="22"/>
      </w:pPr>
      <w:r>
        <w:t>Мировой и отечественный опыт, в частности Москвы и Санкт-Петербурга, доказывают, что страхование может быть весьма эффективным инструментом концентрации и вовлечения в хозяйственную деятельность средств корпоративных организаций и частных лиц, поэтому определение и реализация направлений развития страхования в интересах региональной экономики, выбор надежных страховщиков остаются  актуальными задачами.</w:t>
      </w:r>
    </w:p>
    <w:p w:rsidR="003C3C76" w:rsidRDefault="003C3C76">
      <w:pPr>
        <w:spacing w:line="360" w:lineRule="auto"/>
        <w:rPr>
          <w:sz w:val="28"/>
          <w:szCs w:val="28"/>
          <w:lang w:val="ru-RU"/>
        </w:rPr>
      </w:pPr>
      <w:r>
        <w:rPr>
          <w:sz w:val="28"/>
          <w:szCs w:val="28"/>
          <w:lang w:val="ru-RU"/>
        </w:rPr>
        <w:t>Для их решения прежде всего необходимо четко сформулировать цели развития страхования. Такими целями прежде всего являются: получение долговременного источника инвестиций; обеспечение страховой защитой инвестиционных и иных проектов.</w:t>
      </w:r>
    </w:p>
    <w:p w:rsidR="003C3C76" w:rsidRDefault="003C3C76">
      <w:pPr>
        <w:spacing w:line="360" w:lineRule="auto"/>
        <w:rPr>
          <w:sz w:val="28"/>
          <w:szCs w:val="28"/>
          <w:lang w:val="ru-RU"/>
        </w:rPr>
      </w:pPr>
      <w:r>
        <w:rPr>
          <w:sz w:val="28"/>
          <w:szCs w:val="28"/>
          <w:lang w:val="ru-RU"/>
        </w:rPr>
        <w:t>Привлечение страховых резервов компаний, уже действующих на региональном страховом рынке, не обеспечивает решения первой задачи вследствие сравнительно небольшого объема собираемых страховых взносов и формируемых резервов. В большинстве областей Центра России суммарный объем собранных региональными страховщиками за первое полугодие страховых взносов, даже с учетом обязательного медицинского страхования, не превысил 70 млрд. руб. Уровень выплат и собственные расходы страховщиков обеспечивают возможность долговременного инвестирования в среднем 5-8% собранных средств, что явно несоизмеримо с требуемыми объемами. Поэтому необходимым условием становления регионального страхования в качестве инвестиционного института является существенное увеличение объемов реализуемых страховых услуг, прежде всего за счет освоения новых сегментов страхового рынка.</w:t>
      </w:r>
    </w:p>
    <w:p w:rsidR="003C3C76" w:rsidRDefault="003C3C76">
      <w:pPr>
        <w:pStyle w:val="22"/>
      </w:pPr>
      <w:r>
        <w:t>Такими сегментами, достаточно хорошо освоенными страховщиками в Москве, Санкт-Петербурге и некоторых других крупных городах, являются объекты федеральной и муниципальной недвижимости, сдаваемой в аренду, муниципальный жилой фонд, а также элементы конструкции и инженерное оборудование домов с приватизируемыми квартирами, и имущественные права пользователей муниципальных земельных участков. Страхование имущественных прав арендаторов и пользователей земельными участками, проводимое за их счет, позволило только в Москве получить в 1996 г., по косвенным оценкам, до 150 млрд. руб. страховой премии, большая часть которой была инвестирована в интересах развития городского хозяйства.</w:t>
      </w:r>
    </w:p>
    <w:p w:rsidR="003C3C76" w:rsidRDefault="003C3C76">
      <w:pPr>
        <w:spacing w:line="360" w:lineRule="auto"/>
        <w:rPr>
          <w:sz w:val="28"/>
          <w:szCs w:val="28"/>
          <w:lang w:val="ru-RU"/>
        </w:rPr>
      </w:pPr>
      <w:r>
        <w:rPr>
          <w:sz w:val="28"/>
          <w:szCs w:val="28"/>
          <w:lang w:val="ru-RU"/>
        </w:rPr>
        <w:t xml:space="preserve">Например, в Туле примерная страховая стоимость муниципального жилого фонда по остаточной стоимости составляет примерно </w:t>
      </w:r>
      <w:r>
        <w:rPr>
          <w:color w:val="000000"/>
          <w:sz w:val="28"/>
          <w:szCs w:val="28"/>
          <w:lang w:val="ru-RU"/>
        </w:rPr>
        <w:t>3-4 трлн. неденоминированных руб</w:t>
      </w:r>
      <w:r>
        <w:rPr>
          <w:sz w:val="28"/>
          <w:szCs w:val="28"/>
          <w:lang w:val="ru-RU"/>
        </w:rPr>
        <w:t>., что с учетом действующих страховых  тарифов и ожидаемого уровня выплат могло бы обеспечить возможность долговременного инвестирования не менее 2 млрд. руб. ежегодно. Страхование арендуемой муниципальной недвижимости и имущественных прав землепользователей может обеспечить еще до 1 млрд. руб. долговременных инвестиций, а в масштабах всей области, с учетом других муниципальных образований общий объем инвестированных страховых резервов может быть доведен до 6-9 млрд. руб., что несколько превышает суммарный объем инвестиций резервов, сформированных при проведении традиционных видов страхования. Указанная сумма не покрывает инвестиционных потребностей всей региональной экономики, однако достаточна для технического перевооружения одной-двух ее отраслей.</w:t>
      </w:r>
    </w:p>
    <w:p w:rsidR="003C3C76" w:rsidRDefault="003C3C76">
      <w:pPr>
        <w:spacing w:line="360" w:lineRule="auto"/>
        <w:rPr>
          <w:sz w:val="28"/>
          <w:szCs w:val="28"/>
          <w:lang w:val="ru-RU"/>
        </w:rPr>
      </w:pPr>
      <w:r>
        <w:rPr>
          <w:sz w:val="28"/>
          <w:szCs w:val="28"/>
          <w:lang w:val="ru-RU"/>
        </w:rPr>
        <w:t>Привлекательность этих видов страхования для региональных органов исполнительной власти, формирующих региональную экономическую политику, заключается в следующем:</w:t>
      </w:r>
    </w:p>
    <w:p w:rsidR="003C3C76" w:rsidRDefault="003C3C76">
      <w:pPr>
        <w:pStyle w:val="22"/>
      </w:pPr>
      <w:r>
        <w:t>1. Законность внедрения этих видов страхования, основанная на праве собственности муниципальных органов исполнительной власти, подконтрольных региональной (областной) администрации, на земельные участки, неприватизированный жилой  и нежилой фонды и необходимости обеспечения его сохранности. Применительно к приватизированному жилью в собственности муниципальных органов власти остаются, вследствие практического отсутствия в провинции кондоминиумов, или товариществ жильцов-владельцев приватизированных квартир, такие объекты страхования, как конструктивные элементы зданий, места общего пользования, инженерное оборудование и т.п.</w:t>
      </w:r>
    </w:p>
    <w:p w:rsidR="003C3C76" w:rsidRDefault="003C3C76">
      <w:pPr>
        <w:spacing w:line="360" w:lineRule="auto"/>
        <w:rPr>
          <w:sz w:val="28"/>
          <w:szCs w:val="28"/>
          <w:lang w:val="ru-RU"/>
        </w:rPr>
      </w:pPr>
      <w:r>
        <w:rPr>
          <w:sz w:val="28"/>
          <w:szCs w:val="28"/>
          <w:lang w:val="ru-RU"/>
        </w:rPr>
        <w:t>2. Страхование за счет средств пользователей муниципальных имуществом без привлечения бюджетных средств.</w:t>
      </w:r>
    </w:p>
    <w:p w:rsidR="003C3C76" w:rsidRDefault="003C3C76">
      <w:pPr>
        <w:spacing w:line="360" w:lineRule="auto"/>
        <w:rPr>
          <w:sz w:val="28"/>
          <w:szCs w:val="28"/>
          <w:lang w:val="ru-RU"/>
        </w:rPr>
      </w:pPr>
      <w:r>
        <w:rPr>
          <w:sz w:val="28"/>
          <w:szCs w:val="28"/>
          <w:lang w:val="ru-RU"/>
        </w:rPr>
        <w:t>3. Возможность выбора страховщика и дополнительных условий страхования, в том числе льготных для себя условий инвестирования  страховых резервов</w:t>
      </w:r>
    </w:p>
    <w:p w:rsidR="003C3C76" w:rsidRDefault="003C3C76">
      <w:pPr>
        <w:spacing w:line="360" w:lineRule="auto"/>
        <w:rPr>
          <w:sz w:val="28"/>
          <w:szCs w:val="28"/>
          <w:lang w:val="ru-RU"/>
        </w:rPr>
      </w:pPr>
      <w:r>
        <w:rPr>
          <w:sz w:val="28"/>
          <w:szCs w:val="28"/>
          <w:lang w:val="ru-RU"/>
        </w:rPr>
        <w:t>4. Сокращения собственных расходов по обеспечению сохранности и восстановлению муниципальной собственности.</w:t>
      </w:r>
    </w:p>
    <w:p w:rsidR="003C3C76" w:rsidRDefault="003C3C76">
      <w:pPr>
        <w:spacing w:line="360" w:lineRule="auto"/>
        <w:rPr>
          <w:sz w:val="28"/>
          <w:szCs w:val="28"/>
          <w:lang w:val="ru-RU"/>
        </w:rPr>
      </w:pPr>
      <w:r>
        <w:rPr>
          <w:sz w:val="28"/>
          <w:szCs w:val="28"/>
          <w:lang w:val="ru-RU"/>
        </w:rPr>
        <w:t>5. Безвозмездное получение части страховых взносов из фонда превентивных мероприятий страховщика.</w:t>
      </w:r>
    </w:p>
    <w:p w:rsidR="003C3C76" w:rsidRDefault="003C3C76">
      <w:pPr>
        <w:spacing w:line="360" w:lineRule="auto"/>
        <w:rPr>
          <w:sz w:val="28"/>
          <w:szCs w:val="28"/>
          <w:lang w:val="ru-RU"/>
        </w:rPr>
      </w:pPr>
      <w:r>
        <w:rPr>
          <w:sz w:val="28"/>
          <w:szCs w:val="28"/>
          <w:lang w:val="ru-RU"/>
        </w:rPr>
        <w:t>С другой стороны, эти виды страхования безусловно привлекательны и для страховщиков по следующим причинам:</w:t>
      </w:r>
    </w:p>
    <w:p w:rsidR="003C3C76" w:rsidRDefault="003C3C76">
      <w:pPr>
        <w:spacing w:line="360" w:lineRule="auto"/>
        <w:rPr>
          <w:sz w:val="28"/>
          <w:szCs w:val="28"/>
          <w:lang w:val="ru-RU"/>
        </w:rPr>
      </w:pPr>
      <w:r>
        <w:rPr>
          <w:sz w:val="28"/>
          <w:szCs w:val="28"/>
          <w:lang w:val="ru-RU"/>
        </w:rPr>
        <w:t>1. Возможность значительного расширения деятельности и соответствующего расширения доходов без существенного увеличения собственных затрат благодаря централизованной уплате страховых взносов (через муниципальные управления жилищно-коммунальным хозяйством, комитеты по управлению имуществом и т.д.).</w:t>
      </w:r>
    </w:p>
    <w:p w:rsidR="003C3C76" w:rsidRDefault="003C3C76">
      <w:pPr>
        <w:spacing w:line="360" w:lineRule="auto"/>
        <w:rPr>
          <w:sz w:val="28"/>
          <w:szCs w:val="28"/>
          <w:lang w:val="ru-RU"/>
        </w:rPr>
      </w:pPr>
      <w:r>
        <w:rPr>
          <w:sz w:val="28"/>
          <w:szCs w:val="28"/>
          <w:lang w:val="ru-RU"/>
        </w:rPr>
        <w:t>2. Сравнительно невысокий и стабильный уровень выплат вследствие дробления рисков и почти полного отсутствия возможности кумуляции страховых  случаев на большей части территории России.</w:t>
      </w:r>
    </w:p>
    <w:p w:rsidR="003C3C76" w:rsidRDefault="003C3C76">
      <w:pPr>
        <w:spacing w:line="360" w:lineRule="auto"/>
        <w:rPr>
          <w:sz w:val="28"/>
          <w:szCs w:val="28"/>
          <w:lang w:val="ru-RU"/>
        </w:rPr>
      </w:pPr>
      <w:r>
        <w:rPr>
          <w:sz w:val="28"/>
          <w:szCs w:val="28"/>
          <w:lang w:val="ru-RU"/>
        </w:rPr>
        <w:t>Поскольку органы власти не могут получить страховые платежи без привлечения страховщиков, а страховщики, в свою очередь, не могут организовать страхование муниципальной собственности без ведома и участия собственника, взаимный интерес и тяготение сторон друг к другу очевидны. Следует отметить необходимость соблюдения второго условия обеспечения инвестиций — наличия инвестиционных инструментов. В качестве таковых с учетом действующих нормативных документов по размещению страховых резервов и современного состояния финансового рынка могут быть рекомендованы вклады в учреждения банков (ценные бумаги банков) и ценные бумаги субъектов федерации (областные займы, облигации и т.п.) с последующим реинвестированием  в те или иные отрасли региональной экономики. Попытки создания всякого рода фондов при органах исполнительной власти для аккумулированных страховых взносов являются нарушением  действующего законодательства.</w:t>
      </w:r>
    </w:p>
    <w:p w:rsidR="003C3C76" w:rsidRDefault="003C3C76">
      <w:pPr>
        <w:spacing w:line="360" w:lineRule="auto"/>
        <w:rPr>
          <w:sz w:val="28"/>
          <w:szCs w:val="28"/>
          <w:lang w:val="ru-RU"/>
        </w:rPr>
      </w:pPr>
      <w:r>
        <w:rPr>
          <w:sz w:val="28"/>
          <w:szCs w:val="28"/>
          <w:lang w:val="ru-RU"/>
        </w:rPr>
        <w:t>Значительно больших объемов страховых взносов и, соответственно, объемов инвестиций можно ожидать от действия Федерального Закона ”О промышленной безопасности опасных производственных объектов” от 21 июля 1997 г. и ожидаемым введением обязательного страхования гражданской ответственности владельцев транспортных средств. Суммарный ежегодный объем страховой премии только по этим двум видам страхования для Тульской области может составить, с учетом платежеспособности предприятий и населения, 150-200 млрд. руб., из которых не менее 40% может и должно быть инвестировано. Указанная сумма  соизмерима с общей потребностью  в инвестициях экономики такой области, как Тульская, естественно, без учета задолженности предприятий в бюджеты, внебюджетные фонды и по выплате зарплаты.</w:t>
      </w:r>
    </w:p>
    <w:p w:rsidR="003C3C76" w:rsidRDefault="003C3C76">
      <w:pPr>
        <w:pStyle w:val="22"/>
      </w:pPr>
    </w:p>
    <w:p w:rsidR="003C3C76" w:rsidRDefault="003C3C76">
      <w:pPr>
        <w:pStyle w:val="1"/>
        <w:spacing w:line="360" w:lineRule="auto"/>
      </w:pPr>
      <w:r>
        <w:t>3. Перспективы взаимодействия страховых компаний и региональной экономики</w:t>
      </w:r>
    </w:p>
    <w:p w:rsidR="003C3C76" w:rsidRDefault="003C3C76">
      <w:pPr>
        <w:pStyle w:val="22"/>
      </w:pPr>
    </w:p>
    <w:p w:rsidR="003C3C76" w:rsidRDefault="003C3C76">
      <w:pPr>
        <w:pStyle w:val="22"/>
      </w:pPr>
      <w:r>
        <w:t>Одной из основных проблем развития этих видов страхования в регионах является выбор страховщика, поскольку практически ни одна из действующих региональных компаний не в состоянии принять на собственное удержание в полном объеме риски по страхованию опасных производств в масштабе целого региона. Перестрахование или сострахование рисков совместно с крупнейшими московскими или зарубежными страховщиками может привести к утечке финансовых ресурсов за пределы региона. Возможность создания мощной региональной страховой компании силами региональной администрации даже с привлечением региональных банков и рентабельных предприятий вследствие известного состояния экономики большинства областей России представляется маловероятной.</w:t>
      </w:r>
    </w:p>
    <w:p w:rsidR="003C3C76" w:rsidRDefault="003C3C76">
      <w:pPr>
        <w:spacing w:line="360" w:lineRule="auto"/>
        <w:rPr>
          <w:sz w:val="28"/>
          <w:szCs w:val="28"/>
          <w:lang w:val="ru-RU"/>
        </w:rPr>
      </w:pPr>
      <w:r>
        <w:rPr>
          <w:sz w:val="28"/>
          <w:szCs w:val="28"/>
          <w:lang w:val="ru-RU"/>
        </w:rPr>
        <w:t>В качестве одного из возможных и достаточно просто реализуемых решений этой проблемы может быть предложено создание пулов крупнейших и платежеспособных региональных страховых компаний и московских компаний, представленных в данном регионе своими филиалами. В качестве координатора страхового пула целесообразно выбрать компанию, удовлетворяющую определенным требованиям: наличие соответствующей лицензии и соблюдение требований страхового надзора; региональная принадлежность; наличие разветвлений филиальной сети и квалифицированного персонала; значительный объем и собственного удержания по большинству рассмотренных выше единичных рисков; лидерство на региональных страховых рынках.</w:t>
      </w:r>
    </w:p>
    <w:p w:rsidR="003C3C76" w:rsidRDefault="003C3C76">
      <w:pPr>
        <w:spacing w:line="360" w:lineRule="auto"/>
        <w:rPr>
          <w:sz w:val="28"/>
          <w:szCs w:val="28"/>
          <w:lang w:val="ru-RU"/>
        </w:rPr>
      </w:pPr>
      <w:r>
        <w:rPr>
          <w:sz w:val="28"/>
          <w:szCs w:val="28"/>
          <w:lang w:val="ru-RU"/>
        </w:rPr>
        <w:t>Анализ рейтинга крупнейших региональных страховщиков показывает, что для значительной части регионов перечисленным требованиям в наибольшей степени удовлетворяют компании Росгосстраха.  Следует отметить, что для обеспечения возможности повсеместного привлечения компаний Росгосстраха к координации страховой деятельности его руководству и ряду дочерних компаний необходимо решить проблемы обновления лицензий и обеспечения платежеспособности.</w:t>
      </w:r>
    </w:p>
    <w:p w:rsidR="003C3C76" w:rsidRDefault="003C3C76">
      <w:pPr>
        <w:pStyle w:val="22"/>
      </w:pPr>
    </w:p>
    <w:p w:rsidR="003C3C76" w:rsidRDefault="003C3C76">
      <w:pPr>
        <w:pStyle w:val="1"/>
        <w:rPr>
          <w:noProof w:val="0"/>
          <w:lang w:val="ru-RU"/>
        </w:rPr>
      </w:pPr>
      <w:r>
        <w:br w:type="page"/>
        <w:t>Выводы</w:t>
      </w:r>
    </w:p>
    <w:p w:rsidR="003C3C76" w:rsidRDefault="003C3C76"/>
    <w:p w:rsidR="003C3C76" w:rsidRDefault="003C3C76"/>
    <w:p w:rsidR="003C3C76" w:rsidRDefault="003C3C76"/>
    <w:p w:rsidR="003C3C76" w:rsidRDefault="003C3C76">
      <w:pPr>
        <w:pStyle w:val="22"/>
      </w:pPr>
      <w:r>
        <w:t>1. Согласно общемировой и российской практике одним из основных условий роста экономики является привлечение инвестиций. Для решения этой проблемы нужно решить сложные задачи финансово-кредитной и страховой политики.</w:t>
      </w:r>
    </w:p>
    <w:p w:rsidR="003C3C76" w:rsidRDefault="003C3C76">
      <w:pPr>
        <w:pStyle w:val="22"/>
      </w:pPr>
      <w:r>
        <w:t>2. Напряженная  социально-экономическая обстановка, сложившаяся в ряде регионов России требует от органов исполнительной власти разработки и реализации новой финансовой политики, одним из основных элементов которой является поиск новых источников инвестиций в экономику.</w:t>
      </w:r>
    </w:p>
    <w:p w:rsidR="003C3C76" w:rsidRDefault="003C3C76">
      <w:pPr>
        <w:pStyle w:val="22"/>
      </w:pPr>
      <w:r>
        <w:t>3. Значительную часть требуемых инвестиций может дать страхование, особенно в случае организованного привлечения страховщиков для защиты имущественных интересов органов исполнительной власти, опасных производств и автогражданской ответственности на взаимовыгодных условиях страхования и инвестирования.</w:t>
      </w:r>
    </w:p>
    <w:p w:rsidR="003C3C76" w:rsidRDefault="003C3C76">
      <w:pPr>
        <w:tabs>
          <w:tab w:val="clear" w:pos="851"/>
        </w:tabs>
        <w:spacing w:line="360" w:lineRule="auto"/>
        <w:rPr>
          <w:sz w:val="28"/>
          <w:szCs w:val="28"/>
          <w:lang w:val="ru-RU"/>
        </w:rPr>
      </w:pPr>
      <w:r>
        <w:rPr>
          <w:sz w:val="28"/>
          <w:szCs w:val="28"/>
          <w:lang w:val="ru-RU"/>
        </w:rPr>
        <w:t>4. Для сохранения собранных страховых взносов в пределах региона, повышения надежности страховой защиты целесообразно организовать региональные страховые пулы с возложением функций координаторов на мощные региональные страховые компании, преимущественно компании системы Росгосстраха.</w:t>
      </w:r>
    </w:p>
    <w:p w:rsidR="003C3C76" w:rsidRDefault="003C3C76">
      <w:pPr>
        <w:pStyle w:val="22"/>
      </w:pPr>
    </w:p>
    <w:p w:rsidR="003C3C76" w:rsidRDefault="003C3C76">
      <w:pPr>
        <w:pStyle w:val="22"/>
      </w:pPr>
    </w:p>
    <w:p w:rsidR="003C3C76" w:rsidRDefault="003C3C76">
      <w:pPr>
        <w:pStyle w:val="22"/>
        <w:ind w:firstLine="0"/>
        <w:jc w:val="center"/>
        <w:rPr>
          <w:b/>
          <w:bCs/>
        </w:rPr>
      </w:pPr>
      <w:r>
        <w:br w:type="page"/>
      </w:r>
      <w:r>
        <w:rPr>
          <w:b/>
          <w:bCs/>
        </w:rPr>
        <w:t>Список использованной литературы</w:t>
      </w:r>
    </w:p>
    <w:p w:rsidR="003C3C76" w:rsidRDefault="003C3C76">
      <w:pPr>
        <w:pStyle w:val="22"/>
      </w:pPr>
    </w:p>
    <w:p w:rsidR="003C3C76" w:rsidRDefault="003C3C76">
      <w:pPr>
        <w:pStyle w:val="22"/>
        <w:numPr>
          <w:ilvl w:val="0"/>
          <w:numId w:val="3"/>
        </w:numPr>
      </w:pPr>
      <w:r>
        <w:t xml:space="preserve"> Архипов А.П. Страхование и региональная экономика // Финансы, 1998, № 5, С. 42—44.</w:t>
      </w:r>
    </w:p>
    <w:p w:rsidR="003C3C76" w:rsidRDefault="003C3C76">
      <w:pPr>
        <w:pStyle w:val="22"/>
        <w:numPr>
          <w:ilvl w:val="0"/>
          <w:numId w:val="3"/>
        </w:numPr>
      </w:pPr>
      <w:r>
        <w:t xml:space="preserve"> Заруба Н. Страховое дело: Пособие для ВУЗов. К., Лыбидь, 2000.</w:t>
      </w:r>
    </w:p>
    <w:p w:rsidR="003C3C76" w:rsidRDefault="003C3C76">
      <w:pPr>
        <w:pStyle w:val="22"/>
        <w:numPr>
          <w:ilvl w:val="0"/>
          <w:numId w:val="3"/>
        </w:numPr>
      </w:pPr>
      <w:r>
        <w:t xml:space="preserve"> Страховое дело: Учебник для ВУЗов. Под ред. Рейтмана Л.И. М., 1992.</w:t>
      </w:r>
    </w:p>
    <w:p w:rsidR="003C3C76" w:rsidRDefault="003C3C76">
      <w:pPr>
        <w:pStyle w:val="22"/>
        <w:numPr>
          <w:ilvl w:val="0"/>
          <w:numId w:val="3"/>
        </w:numPr>
      </w:pPr>
      <w:r>
        <w:t xml:space="preserve"> Шахов В.В. Введение в страхование: экономический аспект. М., Финансы и статистика, 1992.</w:t>
      </w:r>
    </w:p>
    <w:p w:rsidR="003C3C76" w:rsidRDefault="003C3C76">
      <w:pPr>
        <w:pStyle w:val="22"/>
        <w:ind w:left="567" w:firstLine="0"/>
      </w:pPr>
    </w:p>
    <w:p w:rsidR="003C3C76" w:rsidRDefault="003C3C76">
      <w:pPr>
        <w:pStyle w:val="22"/>
      </w:pPr>
    </w:p>
    <w:p w:rsidR="003C3C76" w:rsidRDefault="003C3C76">
      <w:pPr>
        <w:pStyle w:val="22"/>
      </w:pPr>
    </w:p>
    <w:p w:rsidR="003C3C76" w:rsidRDefault="003C3C76">
      <w:pPr>
        <w:pStyle w:val="22"/>
      </w:pPr>
    </w:p>
    <w:p w:rsidR="003C3C76" w:rsidRDefault="003C3C76">
      <w:pPr>
        <w:pStyle w:val="22"/>
      </w:pPr>
    </w:p>
    <w:p w:rsidR="003C3C76" w:rsidRDefault="003C3C76">
      <w:pPr>
        <w:pStyle w:val="22"/>
      </w:pPr>
      <w:bookmarkStart w:id="0" w:name="_GoBack"/>
      <w:bookmarkEnd w:id="0"/>
    </w:p>
    <w:sectPr w:rsidR="003C3C76">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52B9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E8D47C7"/>
    <w:multiLevelType w:val="singleLevel"/>
    <w:tmpl w:val="6EF29592"/>
    <w:lvl w:ilvl="0">
      <w:start w:val="1"/>
      <w:numFmt w:val="decimal"/>
      <w:lvlText w:val="%1."/>
      <w:lvlJc w:val="left"/>
      <w:pPr>
        <w:tabs>
          <w:tab w:val="num" w:pos="927"/>
        </w:tabs>
        <w:ind w:left="927" w:hanging="360"/>
      </w:pPr>
      <w:rPr>
        <w:rFonts w:hint="default"/>
      </w:rPr>
    </w:lvl>
  </w:abstractNum>
  <w:abstractNum w:abstractNumId="2">
    <w:nsid w:val="4F1D634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B8D54F9"/>
    <w:multiLevelType w:val="singleLevel"/>
    <w:tmpl w:val="20723F1C"/>
    <w:lvl w:ilvl="0">
      <w:numFmt w:val="bullet"/>
      <w:lvlText w:val="—"/>
      <w:lvlJc w:val="left"/>
      <w:pPr>
        <w:tabs>
          <w:tab w:val="num" w:pos="987"/>
        </w:tabs>
        <w:ind w:left="987" w:hanging="4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C76"/>
    <w:rsid w:val="003C3C76"/>
    <w:rsid w:val="00C32BF3"/>
    <w:rsid w:val="00CC27F5"/>
    <w:rsid w:val="00EC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F38388-C879-4141-A678-F66CEDC4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ind w:firstLine="567"/>
      <w:jc w:val="both"/>
    </w:pPr>
    <w:rPr>
      <w:sz w:val="24"/>
      <w:szCs w:val="24"/>
      <w:lang w:val="uk-UA"/>
    </w:rPr>
  </w:style>
  <w:style w:type="paragraph" w:styleId="1">
    <w:name w:val="heading 1"/>
    <w:basedOn w:val="a"/>
    <w:next w:val="a"/>
    <w:link w:val="10"/>
    <w:uiPriority w:val="99"/>
    <w:qFormat/>
    <w:pPr>
      <w:keepNext/>
      <w:ind w:firstLine="0"/>
      <w:jc w:val="center"/>
      <w:outlineLvl w:val="0"/>
    </w:pPr>
    <w:rPr>
      <w:b/>
      <w:bCs/>
      <w:noProof/>
      <w:sz w:val="28"/>
      <w:szCs w:val="28"/>
    </w:rPr>
  </w:style>
  <w:style w:type="paragraph" w:styleId="2">
    <w:name w:val="heading 2"/>
    <w:basedOn w:val="a"/>
    <w:next w:val="a"/>
    <w:link w:val="20"/>
    <w:uiPriority w:val="99"/>
    <w:qFormat/>
    <w:pPr>
      <w:keepNext/>
      <w:tabs>
        <w:tab w:val="left" w:pos="0"/>
      </w:tabs>
      <w:ind w:firstLine="0"/>
      <w:jc w:val="center"/>
      <w:outlineLvl w:val="1"/>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11">
    <w:name w:val="toc 1"/>
    <w:basedOn w:val="a"/>
    <w:next w:val="a"/>
    <w:autoRedefine/>
    <w:uiPriority w:val="99"/>
    <w:semiHidden/>
    <w:pPr>
      <w:spacing w:line="360" w:lineRule="auto"/>
    </w:pPr>
    <w:rPr>
      <w:sz w:val="28"/>
      <w:szCs w:val="28"/>
    </w:rPr>
  </w:style>
  <w:style w:type="paragraph" w:styleId="21">
    <w:name w:val="toc 2"/>
    <w:basedOn w:val="a"/>
    <w:next w:val="a"/>
    <w:autoRedefine/>
    <w:uiPriority w:val="99"/>
    <w:semiHidden/>
    <w:pPr>
      <w:spacing w:line="360" w:lineRule="auto"/>
      <w:ind w:left="278"/>
    </w:pPr>
    <w:rPr>
      <w:sz w:val="28"/>
      <w:szCs w:val="28"/>
    </w:rPr>
  </w:style>
  <w:style w:type="paragraph" w:styleId="3">
    <w:name w:val="toc 3"/>
    <w:basedOn w:val="a"/>
    <w:next w:val="a"/>
    <w:autoRedefine/>
    <w:uiPriority w:val="99"/>
    <w:semiHidden/>
    <w:pPr>
      <w:spacing w:line="360" w:lineRule="auto"/>
      <w:ind w:left="561"/>
    </w:pPr>
    <w:rPr>
      <w:sz w:val="28"/>
      <w:szCs w:val="28"/>
    </w:rPr>
  </w:style>
  <w:style w:type="paragraph" w:styleId="a3">
    <w:name w:val="footnote text"/>
    <w:basedOn w:val="a"/>
    <w:link w:val="a4"/>
    <w:uiPriority w:val="99"/>
    <w:semiHidden/>
    <w:rPr>
      <w:sz w:val="20"/>
      <w:szCs w:val="20"/>
      <w:lang w:val="ru-RU"/>
    </w:rPr>
  </w:style>
  <w:style w:type="character" w:customStyle="1" w:styleId="a4">
    <w:name w:val="Текст сноски Знак"/>
    <w:link w:val="a3"/>
    <w:uiPriority w:val="99"/>
    <w:semiHidden/>
    <w:rPr>
      <w:sz w:val="20"/>
      <w:szCs w:val="20"/>
      <w:lang w:val="uk-UA"/>
    </w:rPr>
  </w:style>
  <w:style w:type="paragraph" w:styleId="a5">
    <w:name w:val="Title"/>
    <w:basedOn w:val="a"/>
    <w:link w:val="a6"/>
    <w:uiPriority w:val="99"/>
    <w:qFormat/>
    <w:pPr>
      <w:spacing w:line="480" w:lineRule="exact"/>
      <w:ind w:firstLine="0"/>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2">
    <w:name w:val="Body Text 2"/>
    <w:basedOn w:val="a"/>
    <w:link w:val="23"/>
    <w:uiPriority w:val="99"/>
    <w:pPr>
      <w:spacing w:line="360" w:lineRule="auto"/>
    </w:pPr>
    <w:rPr>
      <w:sz w:val="28"/>
      <w:szCs w:val="28"/>
      <w:lang w:val="ru-RU"/>
    </w:rPr>
  </w:style>
  <w:style w:type="character" w:customStyle="1" w:styleId="23">
    <w:name w:val="Основной текст 2 Знак"/>
    <w:link w:val="22"/>
    <w:uiPriority w:val="9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Val</dc:creator>
  <cp:keywords/>
  <dc:description/>
  <cp:lastModifiedBy>admin</cp:lastModifiedBy>
  <cp:revision>2</cp:revision>
  <dcterms:created xsi:type="dcterms:W3CDTF">2014-03-01T15:42:00Z</dcterms:created>
  <dcterms:modified xsi:type="dcterms:W3CDTF">2014-03-01T15:42:00Z</dcterms:modified>
</cp:coreProperties>
</file>