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E5" w:rsidRPr="00E65E66" w:rsidRDefault="006247E5" w:rsidP="0031078B">
      <w:pPr>
        <w:tabs>
          <w:tab w:val="left" w:pos="284"/>
          <w:tab w:val="left" w:pos="567"/>
        </w:tabs>
        <w:spacing w:line="360" w:lineRule="auto"/>
        <w:jc w:val="both"/>
        <w:rPr>
          <w:b/>
          <w:bCs/>
          <w:sz w:val="28"/>
          <w:szCs w:val="28"/>
        </w:rPr>
      </w:pPr>
      <w:r w:rsidRPr="00E65E66">
        <w:rPr>
          <w:b/>
          <w:bCs/>
          <w:sz w:val="28"/>
          <w:szCs w:val="28"/>
        </w:rPr>
        <w:t>Содержание.</w:t>
      </w:r>
    </w:p>
    <w:p w:rsidR="006247E5" w:rsidRPr="00E65E66" w:rsidRDefault="006247E5" w:rsidP="0031078B">
      <w:pPr>
        <w:tabs>
          <w:tab w:val="left" w:pos="284"/>
          <w:tab w:val="left" w:pos="567"/>
        </w:tabs>
        <w:spacing w:line="360" w:lineRule="auto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9"/>
        <w:gridCol w:w="7508"/>
        <w:gridCol w:w="1253"/>
      </w:tblGrid>
      <w:tr w:rsidR="006247E5" w:rsidRPr="001218C9" w:rsidTr="001218C9">
        <w:trPr>
          <w:trHeight w:val="168"/>
        </w:trPr>
        <w:tc>
          <w:tcPr>
            <w:tcW w:w="809" w:type="dxa"/>
            <w:shd w:val="clear" w:color="auto" w:fill="auto"/>
          </w:tcPr>
          <w:p w:rsidR="006247E5" w:rsidRPr="001218C9" w:rsidRDefault="00E65E66" w:rsidP="001218C9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218C9">
              <w:rPr>
                <w:sz w:val="28"/>
                <w:szCs w:val="28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:rsidR="006247E5" w:rsidRPr="001218C9" w:rsidRDefault="00E65E66" w:rsidP="001218C9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218C9">
              <w:rPr>
                <w:sz w:val="28"/>
                <w:szCs w:val="28"/>
              </w:rPr>
              <w:t>Структура и порядок формирования финансовых результатов</w:t>
            </w:r>
          </w:p>
        </w:tc>
        <w:tc>
          <w:tcPr>
            <w:tcW w:w="1253" w:type="dxa"/>
            <w:shd w:val="clear" w:color="auto" w:fill="auto"/>
          </w:tcPr>
          <w:p w:rsidR="00E65E66" w:rsidRPr="001218C9" w:rsidRDefault="0031078B" w:rsidP="001218C9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218C9">
              <w:rPr>
                <w:sz w:val="28"/>
                <w:szCs w:val="28"/>
                <w:lang w:val="en-US"/>
              </w:rPr>
              <w:t xml:space="preserve"> </w:t>
            </w:r>
          </w:p>
          <w:p w:rsidR="006247E5" w:rsidRPr="001218C9" w:rsidRDefault="006247E5" w:rsidP="001218C9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47E5" w:rsidRPr="001218C9" w:rsidTr="001218C9">
        <w:tc>
          <w:tcPr>
            <w:tcW w:w="809" w:type="dxa"/>
            <w:shd w:val="clear" w:color="auto" w:fill="auto"/>
          </w:tcPr>
          <w:p w:rsidR="006247E5" w:rsidRPr="001218C9" w:rsidRDefault="00E65E66" w:rsidP="001218C9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218C9">
              <w:rPr>
                <w:sz w:val="28"/>
                <w:szCs w:val="28"/>
              </w:rPr>
              <w:t>2</w:t>
            </w:r>
          </w:p>
        </w:tc>
        <w:tc>
          <w:tcPr>
            <w:tcW w:w="7508" w:type="dxa"/>
            <w:shd w:val="clear" w:color="auto" w:fill="auto"/>
          </w:tcPr>
          <w:p w:rsidR="006247E5" w:rsidRPr="001218C9" w:rsidRDefault="00E65E66" w:rsidP="001218C9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218C9">
              <w:rPr>
                <w:bCs/>
                <w:sz w:val="28"/>
                <w:szCs w:val="28"/>
              </w:rPr>
              <w:t>Изменение учетной политики</w:t>
            </w:r>
          </w:p>
        </w:tc>
        <w:tc>
          <w:tcPr>
            <w:tcW w:w="1253" w:type="dxa"/>
            <w:shd w:val="clear" w:color="auto" w:fill="auto"/>
          </w:tcPr>
          <w:p w:rsidR="006247E5" w:rsidRPr="001218C9" w:rsidRDefault="0031078B" w:rsidP="001218C9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218C9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247E5" w:rsidRPr="00E65E66" w:rsidRDefault="006247E5" w:rsidP="0031078B">
      <w:pPr>
        <w:tabs>
          <w:tab w:val="left" w:pos="284"/>
          <w:tab w:val="left" w:pos="567"/>
        </w:tabs>
        <w:spacing w:line="360" w:lineRule="auto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tabs>
          <w:tab w:val="left" w:pos="284"/>
          <w:tab w:val="left" w:pos="567"/>
        </w:tabs>
        <w:spacing w:line="360" w:lineRule="auto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tabs>
          <w:tab w:val="left" w:pos="284"/>
          <w:tab w:val="left" w:pos="567"/>
        </w:tabs>
        <w:spacing w:line="360" w:lineRule="auto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tabs>
          <w:tab w:val="left" w:pos="284"/>
          <w:tab w:val="left" w:pos="567"/>
        </w:tabs>
        <w:spacing w:line="360" w:lineRule="auto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247E5" w:rsidRPr="00E65E66" w:rsidRDefault="006247E5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32AB" w:rsidRPr="00E65E66" w:rsidRDefault="002832AB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5E66" w:rsidRPr="00E65E66" w:rsidRDefault="00E65E66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5E66" w:rsidRPr="00E65E66" w:rsidRDefault="00E65E66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5E66" w:rsidRPr="00E65E66" w:rsidRDefault="00E65E66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099B" w:rsidRDefault="0054099B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5E66" w:rsidRPr="00E65E66" w:rsidRDefault="00E65E66" w:rsidP="003107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65E66">
        <w:rPr>
          <w:b/>
          <w:bCs/>
          <w:sz w:val="28"/>
          <w:szCs w:val="28"/>
        </w:rPr>
        <w:t xml:space="preserve">1. </w:t>
      </w:r>
      <w:r w:rsidRPr="00E65E66">
        <w:rPr>
          <w:b/>
          <w:sz w:val="28"/>
          <w:szCs w:val="28"/>
        </w:rPr>
        <w:t>Структура и порядок формирования финансовых результатов</w:t>
      </w:r>
      <w:r w:rsidR="0074724D">
        <w:rPr>
          <w:b/>
          <w:sz w:val="28"/>
          <w:szCs w:val="28"/>
        </w:rPr>
        <w:t>.</w:t>
      </w:r>
    </w:p>
    <w:p w:rsidR="0074724D" w:rsidRDefault="0074724D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Чтобы определить финансовый результат деятельности фирмы, нужно закрыть отчетный период. В бухучете отчетным периодом признается месяц (п. 48 ПБУ 4/99).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Общий финансовый результат (прибыль или убыток) за месяц складывается из результатов: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– по обычным видам деятельности (формируется на счете 90 «Продажи»);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– по прочим операциям (формируется на счете 91 «Прочие доходы и расходы»).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Финансовый результат за текущий отчетный период суммируется с общим финансовым результатом за предыдущие отчетные периоды.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Прибыль (убыток) от обыч</w:t>
      </w:r>
      <w:r>
        <w:rPr>
          <w:color w:val="auto"/>
          <w:sz w:val="28"/>
          <w:szCs w:val="28"/>
        </w:rPr>
        <w:t>ных видов деятельности определяется как разница</w:t>
      </w:r>
      <w:r w:rsidRPr="00E65E66">
        <w:rPr>
          <w:color w:val="auto"/>
          <w:sz w:val="28"/>
          <w:szCs w:val="28"/>
        </w:rPr>
        <w:t xml:space="preserve"> между: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– выручкой от реализации продукции (товаров, работ, услуг) (без учета НДС и акцизов);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– расходами, связанными с производством и реализацией.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Это следует из положений пункта 5 ПБУ 9/99 и пункта 5 ПБУ 10/99.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Резуль</w:t>
      </w:r>
      <w:r>
        <w:rPr>
          <w:color w:val="auto"/>
          <w:sz w:val="28"/>
          <w:szCs w:val="28"/>
        </w:rPr>
        <w:t>тат от прочих операций определяется</w:t>
      </w:r>
      <w:r w:rsidRPr="00E65E66">
        <w:rPr>
          <w:color w:val="auto"/>
          <w:sz w:val="28"/>
          <w:szCs w:val="28"/>
        </w:rPr>
        <w:t xml:space="preserve"> как разниц</w:t>
      </w:r>
      <w:r>
        <w:rPr>
          <w:color w:val="auto"/>
          <w:sz w:val="28"/>
          <w:szCs w:val="28"/>
        </w:rPr>
        <w:t>а</w:t>
      </w:r>
      <w:r w:rsidRPr="00E65E66">
        <w:rPr>
          <w:color w:val="auto"/>
          <w:sz w:val="28"/>
          <w:szCs w:val="28"/>
        </w:rPr>
        <w:t xml:space="preserve"> между:</w:t>
      </w:r>
    </w:p>
    <w:p w:rsid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  <w:lang w:val="en-US"/>
        </w:rPr>
      </w:pPr>
      <w:r w:rsidRPr="00E65E66">
        <w:rPr>
          <w:color w:val="auto"/>
          <w:sz w:val="28"/>
          <w:szCs w:val="28"/>
        </w:rPr>
        <w:t>– прочими доходами;</w:t>
      </w:r>
    </w:p>
    <w:p w:rsid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  <w:lang w:val="en-US"/>
        </w:rPr>
      </w:pPr>
      <w:r w:rsidRPr="00E65E66">
        <w:rPr>
          <w:color w:val="auto"/>
          <w:sz w:val="28"/>
          <w:szCs w:val="28"/>
        </w:rPr>
        <w:t>– прочими расходами.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Перечень прочих доходов установлен в пункте 7 ПБУ 9/99, а прочих расходов – в пункте 11 ПБУ 10/99.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Процедура закрытия отчетного периода включает в себя: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списание на реализованную продукцию общей суммы расходов, связанных с производством и реализацией (к моменту закрытия отчетного периода эта сумма должна быть сформирована);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– сопоставление итоговых данных по дебетовым и кредитовым оборотам на субсчетах, открытых к счету 90 «Продажи» и счету 91 «Прочие доходы и расходы»;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– списание положительной разницы между этими данными в кредит счета 99 «Прибыли и убытки» (если получена прибыль);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– списание отрицательной разницы между этими данными в дебет счета 99 «Прибыли и убытки» (если получен убыток).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Синтетический счет 90 «Продажи» предназначен для учета доходов и расходов по обычным видам деятельности (п. 5 ПБУ 9/99, п. 5 ПБУ 10/99). Однако непосредственно на этом счете никакие операции не отражаются. Все показатели, необходимые для определения финансового результата, формируются на субсчетах, открытых к нему. Поэтому на любую дату отчетного периода синтетический счет 90 не может иметь ни дебетового, ни кредитового сальдо.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К счету 90 открываются субсчета: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– 90-1 «Выручка». По мере отгрузки по кредиту этого субсчета отражается выручка от реализации продукции (товаров, работ, услуг) с учетом НДС и акцизов;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– 90-2 «Себестоимость продаж». В дебет этого субсчета списываются все расходы, связанные с производством и реализацией;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– 90-3 «Налог на добавленную стоимость». По дебету этого субсчета отражаются суммы НДС, включенные в цену проданной продукции (товаров, работ, услуг);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– 90-4 «Акцизы». По дебету этого субсчета отражаются суммы акцизов, включенные в цену проданной продукции (товаров, работ, услуг);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– 90-9 «Прибыль/убыток от продаж». На этом субсчете отражается финансовый результат по обычным видам деятельности. Если совокупный оборот по кредиту субсчета 90-1 больше суммы дебетовых оборотов по субсчетам 90-2, 90-3 и 90-4, то разница между ними списывается в кредит субсчета 90-9 (формируется прибыль). Если совокупный оборот по кредиту субсчета 90-1 меньше суммы дебетовых оборотов по субсчетам 90-2, 90-3 и 90-4, то разница между ними списывается в дебет субсчета 90-9 (формируется убыток).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При закрытии отчетного периода сальдо, сформированное на субсчете 90-9, списывается на счет 99 «Прибыли и убытки» субсчет «Прибыль (убыток) до налогообложения»: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bCs/>
          <w:color w:val="auto"/>
          <w:sz w:val="28"/>
          <w:szCs w:val="28"/>
        </w:rPr>
      </w:pPr>
      <w:r w:rsidRPr="0054099B">
        <w:rPr>
          <w:bCs/>
          <w:color w:val="auto"/>
          <w:sz w:val="28"/>
          <w:szCs w:val="28"/>
        </w:rPr>
        <w:t>Дебет 90-9  Кредит 99 субсчет «Прибыль (убыток) до налогообложения»</w:t>
      </w:r>
    </w:p>
    <w:p w:rsidR="00E65E66" w:rsidRPr="0054099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54099B">
        <w:rPr>
          <w:color w:val="auto"/>
          <w:sz w:val="28"/>
          <w:szCs w:val="28"/>
        </w:rPr>
        <w:t>– отражена прибыль по обычным видам деятельности за отчетный период;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bCs/>
          <w:color w:val="auto"/>
          <w:sz w:val="28"/>
          <w:szCs w:val="28"/>
        </w:rPr>
      </w:pPr>
      <w:r w:rsidRPr="0054099B">
        <w:rPr>
          <w:bCs/>
          <w:color w:val="auto"/>
          <w:sz w:val="28"/>
          <w:szCs w:val="28"/>
        </w:rPr>
        <w:t>Дебет 99 субсчет «Прибыль (убыток) до налогообложения»  Кредит 90-9</w:t>
      </w:r>
    </w:p>
    <w:p w:rsidR="00E65E66" w:rsidRPr="0054099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54099B">
        <w:rPr>
          <w:color w:val="auto"/>
          <w:sz w:val="28"/>
          <w:szCs w:val="28"/>
        </w:rPr>
        <w:t>– отражен убыток по обычным видам деятельности за отчетный период.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Записи по субсчетам 90-1, 90-2, 90-3, 90-4, 90-9 выполняются нарастающим итогом с начала года. В течение года эти субсчета не закрываются. Их закрытие происходит при реформации баланса.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Синтетический счет 91 «Прочие доходы и расходы» предназначен для учета доходов и расходов по прочим операциям (п. 7, 9 ПБУ 9/99, п. 11, 13 ПБУ 10/99). Однако непосредственно на этом счете никакие операции не отражаются. Все показатели, необходимые для определения финансового результата, формируются на субсчетах, открытых к нему. Поэтому на любую дату отчетного периода синтетический счет 91 не может иметь ни дебетового, ни кредитового сальдо.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К счету 91 открываются субсчета: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– 91-1 «Прочие доходы». По мере поступления по кредиту этого субсчета отражаются доходы по прочим операциям;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– 91-2 «Прочие расходы». В дебет этого субсчета списываются все расходы по прочим операциям;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– 91-9 «Сальдо прочих доходов и расходов». На этом субсчете отражается финансовый результат по прочим операциям. Если совокупный оборот по кредиту субсчета 91-1 больше дебетового оборота по субсчету 91-2, то разница между ними списывается в кредит субсчета 91-9 (формируется прибыль). Если совокупный оборот по кредиту субсчета 91-1 меньше дебетового оборота по субсчету 91-2, то разница между ними списывается в дебет субсчета 91-9 (формируется убыток).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При закрытии отчетного периода сальдо, сформированное на субсчете 91-9, списывается на счет 99 «Прибыли и убытки» субсчет «Прибыль (убыток) до налогообложения»:</w:t>
      </w:r>
      <w:r w:rsidRPr="00E65E66">
        <w:rPr>
          <w:b/>
          <w:bCs/>
          <w:color w:val="auto"/>
          <w:sz w:val="28"/>
          <w:szCs w:val="28"/>
        </w:rPr>
        <w:t>  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bCs/>
          <w:color w:val="auto"/>
          <w:sz w:val="28"/>
          <w:szCs w:val="28"/>
        </w:rPr>
      </w:pPr>
      <w:r w:rsidRPr="0054099B">
        <w:rPr>
          <w:bCs/>
          <w:color w:val="auto"/>
          <w:sz w:val="28"/>
          <w:szCs w:val="28"/>
        </w:rPr>
        <w:t>Дебет 91-9  Кредит 99 субсчет «Прибыль (убыток) до налогообложения»  </w:t>
      </w:r>
    </w:p>
    <w:p w:rsidR="00E65E66" w:rsidRPr="0054099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54099B">
        <w:rPr>
          <w:color w:val="auto"/>
          <w:sz w:val="28"/>
          <w:szCs w:val="28"/>
        </w:rPr>
        <w:t>– отражена прибыль по прочим операциям за отчетный период;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bCs/>
          <w:color w:val="auto"/>
          <w:sz w:val="28"/>
          <w:szCs w:val="28"/>
        </w:rPr>
      </w:pPr>
      <w:r w:rsidRPr="0054099B">
        <w:rPr>
          <w:bCs/>
          <w:color w:val="auto"/>
          <w:sz w:val="28"/>
          <w:szCs w:val="28"/>
        </w:rPr>
        <w:t>Дебет 99 субсчет «Прибыль (убыток) до налогообложения»  Кредит 91-9</w:t>
      </w:r>
    </w:p>
    <w:p w:rsidR="00E65E66" w:rsidRPr="0054099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54099B">
        <w:rPr>
          <w:color w:val="auto"/>
          <w:sz w:val="28"/>
          <w:szCs w:val="28"/>
        </w:rPr>
        <w:t>– отражен убыток по прочим операциям за отчетный период.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Записи по субсчетам 91-1, 91-2, 91-9 выполняются нарастающим итогом с начала года. В течение года эти субсчета не закрываются. Их закрытие происходит при реформации баланса.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Если фирма применяет ПБУ 18/</w:t>
      </w:r>
      <w:r w:rsidRPr="0054099B">
        <w:rPr>
          <w:color w:val="auto"/>
          <w:sz w:val="28"/>
          <w:szCs w:val="28"/>
        </w:rPr>
        <w:t>02</w:t>
      </w:r>
      <w:r w:rsidR="0054099B" w:rsidRPr="0054099B">
        <w:rPr>
          <w:color w:val="auto"/>
          <w:sz w:val="28"/>
          <w:szCs w:val="28"/>
        </w:rPr>
        <w:t xml:space="preserve"> "Учет расчетов по налогу на прибыль"</w:t>
      </w:r>
      <w:r w:rsidRPr="0054099B">
        <w:rPr>
          <w:color w:val="auto"/>
          <w:sz w:val="28"/>
          <w:szCs w:val="28"/>
        </w:rPr>
        <w:t xml:space="preserve">, </w:t>
      </w:r>
      <w:r w:rsidRPr="00E65E66">
        <w:rPr>
          <w:color w:val="auto"/>
          <w:sz w:val="28"/>
          <w:szCs w:val="28"/>
        </w:rPr>
        <w:t>то одновременно с закрытием отчетного периода нужно отразить в учете условный расход (доход) по налогу на прибыль.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Для расчета этого показател</w:t>
      </w:r>
      <w:r w:rsidR="0054099B">
        <w:rPr>
          <w:color w:val="auto"/>
          <w:sz w:val="28"/>
          <w:szCs w:val="28"/>
        </w:rPr>
        <w:t>я используется формула</w:t>
      </w:r>
      <w:r w:rsidRPr="00E65E66">
        <w:rPr>
          <w:color w:val="auto"/>
          <w:sz w:val="28"/>
          <w:szCs w:val="28"/>
        </w:rPr>
        <w:t>:</w:t>
      </w:r>
    </w:p>
    <w:tbl>
      <w:tblPr>
        <w:tblW w:w="0" w:type="auto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87"/>
        <w:gridCol w:w="233"/>
        <w:gridCol w:w="5734"/>
        <w:gridCol w:w="233"/>
        <w:gridCol w:w="487"/>
      </w:tblGrid>
      <w:tr w:rsidR="00E65E66" w:rsidRPr="0031078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E66" w:rsidRPr="0031078B" w:rsidRDefault="00E65E66" w:rsidP="003107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078B">
              <w:rPr>
                <w:sz w:val="20"/>
                <w:szCs w:val="20"/>
              </w:rPr>
              <w:t>Условный расход (доход) по налогу на прибыль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65E66" w:rsidRPr="0031078B" w:rsidRDefault="00E65E66" w:rsidP="003107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078B">
              <w:rPr>
                <w:sz w:val="20"/>
                <w:szCs w:val="20"/>
              </w:rPr>
              <w:t>=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E66" w:rsidRPr="0031078B" w:rsidRDefault="00E65E66" w:rsidP="003107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078B">
              <w:rPr>
                <w:sz w:val="20"/>
                <w:szCs w:val="20"/>
              </w:rPr>
              <w:t>Бухгалтерская прибыль (убыток) за отчетный период (суммарное сальдо по субсчету 90-9 и субсчету 91-9)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65E66" w:rsidRPr="0031078B" w:rsidRDefault="00E65E66" w:rsidP="003107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078B">
              <w:rPr>
                <w:sz w:val="20"/>
                <w:szCs w:val="20"/>
              </w:rPr>
              <w:t>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5E66" w:rsidRPr="0031078B" w:rsidRDefault="00E65E66" w:rsidP="003107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078B">
              <w:rPr>
                <w:sz w:val="20"/>
                <w:szCs w:val="20"/>
              </w:rPr>
              <w:t>24%</w:t>
            </w:r>
          </w:p>
        </w:tc>
      </w:tr>
    </w:tbl>
    <w:p w:rsid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  <w:lang w:val="en-US"/>
        </w:rPr>
      </w:pPr>
      <w:r w:rsidRPr="00E65E66">
        <w:rPr>
          <w:color w:val="auto"/>
          <w:sz w:val="28"/>
          <w:szCs w:val="28"/>
        </w:rPr>
        <w:t> 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Сумма условного расхода (дохода) по налогу на прибыль отражается в бухучете на одноименном субсчете, который открывается к счету 99 «Прибыли и убытки».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Такой порядок следует из положений пункта 20 ПБУ 18/02.</w:t>
      </w:r>
    </w:p>
    <w:p w:rsidR="00E65E66" w:rsidRPr="00E65E66" w:rsidRDefault="0054099B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бухучете сумма</w:t>
      </w:r>
      <w:r w:rsidR="00E65E66" w:rsidRPr="00E65E66">
        <w:rPr>
          <w:color w:val="auto"/>
          <w:sz w:val="28"/>
          <w:szCs w:val="28"/>
        </w:rPr>
        <w:t xml:space="preserve"> условного расхода (дохода) отра</w:t>
      </w:r>
      <w:r>
        <w:rPr>
          <w:color w:val="auto"/>
          <w:sz w:val="28"/>
          <w:szCs w:val="28"/>
        </w:rPr>
        <w:t>жается</w:t>
      </w:r>
      <w:r w:rsidR="00E65E66" w:rsidRPr="00E65E66">
        <w:rPr>
          <w:color w:val="auto"/>
          <w:sz w:val="28"/>
          <w:szCs w:val="28"/>
        </w:rPr>
        <w:t xml:space="preserve"> проводкой: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bCs/>
          <w:color w:val="auto"/>
          <w:sz w:val="28"/>
          <w:szCs w:val="28"/>
        </w:rPr>
      </w:pPr>
      <w:r w:rsidRPr="0054099B">
        <w:rPr>
          <w:bCs/>
          <w:color w:val="auto"/>
          <w:sz w:val="28"/>
          <w:szCs w:val="28"/>
        </w:rPr>
        <w:t>Дебет 99 субсчет «Условный расход по налогу на прибыль»  Кредит 68 субсчет «Расчеты по налогу на прибыль»</w:t>
      </w:r>
    </w:p>
    <w:p w:rsidR="00E65E66" w:rsidRPr="0054099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54099B">
        <w:rPr>
          <w:color w:val="auto"/>
          <w:sz w:val="28"/>
          <w:szCs w:val="28"/>
        </w:rPr>
        <w:t>– начислена сумма условного расхода за отчетный период;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bCs/>
          <w:color w:val="auto"/>
          <w:sz w:val="28"/>
          <w:szCs w:val="28"/>
        </w:rPr>
      </w:pPr>
      <w:r w:rsidRPr="0054099B">
        <w:rPr>
          <w:bCs/>
          <w:color w:val="auto"/>
          <w:sz w:val="28"/>
          <w:szCs w:val="28"/>
        </w:rPr>
        <w:t>Дебет 68 субсчет «Расчеты по налогу на прибыль»  Кредит 99 субсчет «Условный доход по налогу на прибыль»</w:t>
      </w:r>
    </w:p>
    <w:p w:rsidR="00E65E66" w:rsidRPr="0054099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54099B">
        <w:rPr>
          <w:color w:val="auto"/>
          <w:sz w:val="28"/>
          <w:szCs w:val="28"/>
        </w:rPr>
        <w:t>– начислена сумма условного дохода за отчетный период.</w:t>
      </w:r>
    </w:p>
    <w:p w:rsidR="00E65E66" w:rsidRPr="0054099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54099B">
        <w:rPr>
          <w:color w:val="auto"/>
          <w:sz w:val="28"/>
          <w:szCs w:val="28"/>
        </w:rPr>
        <w:t>Если по итогам отчетного (налогового) периода в налоговом учете отражен убыток, то дополнительно нужно сделать проводку: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bCs/>
          <w:color w:val="auto"/>
          <w:sz w:val="28"/>
          <w:szCs w:val="28"/>
        </w:rPr>
      </w:pPr>
      <w:r w:rsidRPr="0054099B">
        <w:rPr>
          <w:bCs/>
          <w:color w:val="auto"/>
          <w:sz w:val="28"/>
          <w:szCs w:val="28"/>
        </w:rPr>
        <w:t>Дебет 09 Кредит 68 субсчет «Расчеты по налогу на прибыль»</w:t>
      </w:r>
    </w:p>
    <w:p w:rsidR="00E65E66" w:rsidRPr="0054099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54099B">
        <w:rPr>
          <w:color w:val="auto"/>
          <w:sz w:val="28"/>
          <w:szCs w:val="28"/>
        </w:rPr>
        <w:t>– отражен отложенный налоговый актив с убытка, который будет погашен в следующих отчетных (налоговых) периодах.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 xml:space="preserve">Это следует из положений пункта 14 ПБУ 18/02, статьи 283 Налогового кодекса РФ и письма Минфина России от 14 июля </w:t>
      </w:r>
      <w:smartTag w:uri="urn:schemas-microsoft-com:office:smarttags" w:element="metricconverter">
        <w:smartTagPr>
          <w:attr w:name="ProductID" w:val="2003 г"/>
        </w:smartTagPr>
        <w:r w:rsidRPr="00E65E66">
          <w:rPr>
            <w:color w:val="auto"/>
            <w:sz w:val="28"/>
            <w:szCs w:val="28"/>
          </w:rPr>
          <w:t>2003 г</w:t>
        </w:r>
      </w:smartTag>
      <w:r w:rsidRPr="00E65E66">
        <w:rPr>
          <w:color w:val="auto"/>
          <w:sz w:val="28"/>
          <w:szCs w:val="28"/>
        </w:rPr>
        <w:t>. № 16-00-14/219.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Сумма налога на прибыль, отраженная в бухучете на конец отчетного (налогового) периода по налогу на прибыль, должна совпадать с суммой, отраженной в налого</w:t>
      </w:r>
      <w:r w:rsidR="0054099B">
        <w:rPr>
          <w:color w:val="auto"/>
          <w:sz w:val="28"/>
          <w:szCs w:val="28"/>
        </w:rPr>
        <w:t>вой декларации. Поэтому, выполняя</w:t>
      </w:r>
      <w:r w:rsidRPr="00E65E66">
        <w:rPr>
          <w:color w:val="auto"/>
          <w:sz w:val="28"/>
          <w:szCs w:val="28"/>
        </w:rPr>
        <w:t xml:space="preserve"> такие проводки, </w:t>
      </w:r>
      <w:r w:rsidR="0054099B">
        <w:rPr>
          <w:color w:val="auto"/>
          <w:sz w:val="28"/>
          <w:szCs w:val="28"/>
        </w:rPr>
        <w:t xml:space="preserve">нужно </w:t>
      </w:r>
      <w:r w:rsidRPr="00E65E66">
        <w:rPr>
          <w:color w:val="auto"/>
          <w:sz w:val="28"/>
          <w:szCs w:val="28"/>
        </w:rPr>
        <w:t>провер</w:t>
      </w:r>
      <w:r w:rsidR="0054099B">
        <w:rPr>
          <w:color w:val="auto"/>
          <w:sz w:val="28"/>
          <w:szCs w:val="28"/>
        </w:rPr>
        <w:t>ить</w:t>
      </w:r>
      <w:r w:rsidRPr="00E65E66">
        <w:rPr>
          <w:color w:val="auto"/>
          <w:sz w:val="28"/>
          <w:szCs w:val="28"/>
        </w:rPr>
        <w:t>, правильно ли закрыт отчетный период. Для этого</w:t>
      </w:r>
      <w:r w:rsidR="0054099B">
        <w:rPr>
          <w:color w:val="auto"/>
          <w:sz w:val="28"/>
          <w:szCs w:val="28"/>
        </w:rPr>
        <w:t xml:space="preserve"> нужно</w:t>
      </w:r>
      <w:r w:rsidRPr="00E65E66">
        <w:rPr>
          <w:color w:val="auto"/>
          <w:sz w:val="28"/>
          <w:szCs w:val="28"/>
        </w:rPr>
        <w:t xml:space="preserve"> сопостав</w:t>
      </w:r>
      <w:r w:rsidR="0054099B">
        <w:rPr>
          <w:color w:val="auto"/>
          <w:sz w:val="28"/>
          <w:szCs w:val="28"/>
        </w:rPr>
        <w:t>ить</w:t>
      </w:r>
      <w:r w:rsidRPr="00E65E66">
        <w:rPr>
          <w:color w:val="auto"/>
          <w:sz w:val="28"/>
          <w:szCs w:val="28"/>
        </w:rPr>
        <w:t xml:space="preserve"> суммарные (с начала года) обороты по счету 68 субсчет «Расчеты по налогу на прибыль» в корреспонденции со счетами: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 xml:space="preserve"> 09 «Отложенные налоговые активы»;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– 77 «Отложенные налоговые обязательства»;</w:t>
      </w:r>
    </w:p>
    <w:p w:rsidR="0031078B" w:rsidRPr="0031078B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– 99 «Прибыли и убытки» субсчет «Условный расход (доход) по налогу на прибыль»;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– 99 «Прибыли и убытки» субсчет «Постоянные налоговые обязательства (активы)».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Если разница между дебетовыми и кредитовыми оборотами по этим счетам совпадает с суммой, отраженной по строке 180 листа 02 декларации по налогу на прибыль, то расчеты по налогу на прибыль отражены в бухучете правильно. Это означает, что отчетный период закрыт корректно.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В зависимости от того, с какой периодичностью фирма отчитывается по налогу на прибыль, такую проверку она должна делать либо по итогам каждого месяца, либо по итогам каждого квартала.</w:t>
      </w:r>
    </w:p>
    <w:p w:rsidR="00E65E66" w:rsidRPr="00E65E66" w:rsidRDefault="00E65E66" w:rsidP="0031078B">
      <w:pPr>
        <w:pStyle w:val="a3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65E66">
        <w:rPr>
          <w:color w:val="auto"/>
          <w:sz w:val="28"/>
          <w:szCs w:val="28"/>
        </w:rPr>
        <w:t>Финансовые результ</w:t>
      </w:r>
      <w:r w:rsidR="0054099B">
        <w:rPr>
          <w:color w:val="auto"/>
          <w:sz w:val="28"/>
          <w:szCs w:val="28"/>
        </w:rPr>
        <w:t>аты деятельности фирмы отражается</w:t>
      </w:r>
      <w:r w:rsidRPr="00E65E66">
        <w:rPr>
          <w:color w:val="auto"/>
          <w:sz w:val="28"/>
          <w:szCs w:val="28"/>
        </w:rPr>
        <w:t xml:space="preserve"> в форме № 2 «Отчет о прибылях и убытках», утвержденной приказом Минфина России от 22 июля </w:t>
      </w:r>
      <w:smartTag w:uri="urn:schemas-microsoft-com:office:smarttags" w:element="metricconverter">
        <w:smartTagPr>
          <w:attr w:name="ProductID" w:val="2003 г"/>
        </w:smartTagPr>
        <w:r w:rsidRPr="00E65E66">
          <w:rPr>
            <w:color w:val="auto"/>
            <w:sz w:val="28"/>
            <w:szCs w:val="28"/>
          </w:rPr>
          <w:t>2003 г</w:t>
        </w:r>
      </w:smartTag>
      <w:r w:rsidRPr="00E65E66">
        <w:rPr>
          <w:color w:val="auto"/>
          <w:sz w:val="28"/>
          <w:szCs w:val="28"/>
        </w:rPr>
        <w:t xml:space="preserve">. № 67н. Она включается в состав промежуточной и годовой бухгалтерской отчетности (п. 1 приказа Минфина России от 22 июля </w:t>
      </w:r>
      <w:smartTag w:uri="urn:schemas-microsoft-com:office:smarttags" w:element="metricconverter">
        <w:smartTagPr>
          <w:attr w:name="ProductID" w:val="2003 г"/>
        </w:smartTagPr>
        <w:r w:rsidRPr="00E65E66">
          <w:rPr>
            <w:color w:val="auto"/>
            <w:sz w:val="28"/>
            <w:szCs w:val="28"/>
          </w:rPr>
          <w:t>2003 г</w:t>
        </w:r>
      </w:smartTag>
      <w:r w:rsidRPr="00E65E66">
        <w:rPr>
          <w:color w:val="auto"/>
          <w:sz w:val="28"/>
          <w:szCs w:val="28"/>
        </w:rPr>
        <w:t xml:space="preserve">. № 67н). Отчет о прибылях и убытках формируется по данным субсчетов к счетам 90, 91, 99. Доходы, расходы, финансовые результаты отражаются в форме № 2 нарастающим итогом с начала года до конца отчетного периода. </w:t>
      </w:r>
    </w:p>
    <w:p w:rsidR="00E65E66" w:rsidRDefault="00E65E66" w:rsidP="0031078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4099B" w:rsidRDefault="0054099B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099B">
        <w:rPr>
          <w:b/>
          <w:bCs/>
          <w:sz w:val="28"/>
          <w:szCs w:val="28"/>
        </w:rPr>
        <w:t>2. Изменение учетной политики.</w:t>
      </w:r>
    </w:p>
    <w:p w:rsidR="0074724D" w:rsidRDefault="0074724D" w:rsidP="003107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Со следующего</w:t>
      </w:r>
      <w:r w:rsidR="0074724D">
        <w:rPr>
          <w:sz w:val="28"/>
          <w:szCs w:val="28"/>
        </w:rPr>
        <w:t xml:space="preserve"> 2009</w:t>
      </w:r>
      <w:r w:rsidRPr="0074724D">
        <w:rPr>
          <w:sz w:val="28"/>
          <w:szCs w:val="28"/>
        </w:rPr>
        <w:t xml:space="preserve"> года вводится в действие новая редакция Положения по бухгалтерскому учету «Учетная политика организации» (ПБУ 1/2008), а также совсем новое Положение по бухгалтерскому учету «Изменения оценочных значений» (ПБУ 21/2008). </w:t>
      </w: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Пунктом 3 приказа Минфина России от 6 октября 2008 г. № 106н установлено, что новые положения по бухгалтерскому учету вступают в силу с 1 января 2009 года. Это значит, что учитывать установленные в них правила нужно уже при подготовке годовой бухгалтерской отчетности за 2008 год.</w:t>
      </w: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Кроме того, новые требования к учетной политике необходимо применять уже в этом году при разработке учетной политики организации на 2009 год.</w:t>
      </w: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4724D">
        <w:rPr>
          <w:rStyle w:val="a9"/>
          <w:b w:val="0"/>
          <w:sz w:val="28"/>
          <w:szCs w:val="28"/>
          <w:u w:val="single"/>
        </w:rPr>
        <w:t>Обновленное Положение по учетной политике</w:t>
      </w:r>
      <w:r w:rsidR="0074724D">
        <w:rPr>
          <w:rStyle w:val="a9"/>
          <w:b w:val="0"/>
          <w:sz w:val="28"/>
          <w:szCs w:val="28"/>
          <w:u w:val="single"/>
        </w:rPr>
        <w:t>.</w:t>
      </w: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 xml:space="preserve">Новое ПБУ 1/2008 будет применяться вместо ПБУ 1/98, просуществовавшего практически без изменений 10 лет. </w:t>
      </w: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Общие положения, которыми открывается ПБУ 1/2008, не претерпели существенных изменений. По-прежнему оно предписывает формировать учетную политику всем организациям.</w:t>
      </w: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 xml:space="preserve">А компании, публикующие свою бухгалтерскую отчетность, должны раскрывать положения учетной политики в пояснительной записке. </w:t>
      </w:r>
    </w:p>
    <w:p w:rsidR="0074724D" w:rsidRPr="0074724D" w:rsidRDefault="0074724D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4724D">
        <w:rPr>
          <w:rStyle w:val="a9"/>
          <w:b w:val="0"/>
          <w:sz w:val="28"/>
          <w:szCs w:val="28"/>
          <w:u w:val="single"/>
        </w:rPr>
        <w:t>Изменение и дополнение учетной политики</w:t>
      </w:r>
      <w:r>
        <w:rPr>
          <w:rStyle w:val="a9"/>
          <w:b w:val="0"/>
          <w:sz w:val="28"/>
          <w:szCs w:val="28"/>
          <w:u w:val="single"/>
        </w:rPr>
        <w:t>.</w:t>
      </w:r>
    </w:p>
    <w:p w:rsidR="0031078B" w:rsidRPr="0031078B" w:rsidRDefault="0074724D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Изменить свою учетную политику, согласно пункту 10 ПБУ 1/2008, компания может:</w:t>
      </w:r>
    </w:p>
    <w:p w:rsidR="0031078B" w:rsidRPr="0031078B" w:rsidRDefault="0074724D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— если внесены поправки в законодательство России или нормативные акты по бухгалтерскому учету;</w:t>
      </w:r>
    </w:p>
    <w:p w:rsidR="0031078B" w:rsidRPr="0031078B" w:rsidRDefault="0074724D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— если организация разработала новые способы бухгалтерского учета;</w:t>
      </w:r>
    </w:p>
    <w:p w:rsidR="0074724D" w:rsidRPr="0074724D" w:rsidRDefault="0074724D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 xml:space="preserve">— в случае существенного изменения условий хозяйствования, к которым относятся реорганизация, переход к новым видам деятельности и т. п. Ранее в данный список входила также смена собственника организации. Однако теперь это основание исключено. </w:t>
      </w:r>
    </w:p>
    <w:p w:rsidR="0074724D" w:rsidRPr="0074724D" w:rsidRDefault="0074724D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 xml:space="preserve">Измененная учетная политика вводится в действие с начала следующего отчетного года, «если иное не обусловливается причиной такого изменения» (п. 12 ПБУ 1/2008). То есть новое ПБУ разрешает это сделать и в текущем году. Такая оговорка весьма логична, учитывая, что смена деятельности или реорганизация может произойти в начале или середине текущего года. </w:t>
      </w:r>
    </w:p>
    <w:p w:rsidR="0074724D" w:rsidRPr="0074724D" w:rsidRDefault="0074724D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По-прежнему допускается без ограничения вносить дополнения в учетную политику. Это актуально, например, в случае, если организация в отчетном году впервые возьмет кредит у банка.</w:t>
      </w:r>
    </w:p>
    <w:p w:rsidR="0074724D" w:rsidRPr="0074724D" w:rsidRDefault="0074724D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Внося изменения в учетную политику, необходимо дополнительно оценить в денежном выражении то влияние, которое окажет это изменение на финансовое положение организации.</w:t>
      </w:r>
    </w:p>
    <w:p w:rsidR="0074724D" w:rsidRPr="0074724D" w:rsidRDefault="0074724D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При существенном характере такого влияния организация обязана будет скорректировать бухгалтерскую отчетность на начало года, с которого произошли изменения в учетной политике. Если в бухгалтерской отчетности приводятся данные за несколько лет, то отразить изменения необходимо и за более ранний период. Такой метод получил в новом ПБУ 1/2008 название «ретроспективный».</w:t>
      </w:r>
    </w:p>
    <w:p w:rsidR="0074724D" w:rsidRPr="0074724D" w:rsidRDefault="0074724D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При этом впервые введен алгоритм действий при ретроспективном методе. Предлагается корректировать входящий остаток по статье «Нераспределенная прибыль (непокрытый убыток)» за самый ранний представленный в отчетности период, а также значения связанных с этой статьей показателей бухгалтерской отчетности. При этом нужно исходить из предположения, что вносимые изменения применялись с самого начала. То есть с момента возникновения фактов хозяйственной деятельности данного вида.</w:t>
      </w:r>
    </w:p>
    <w:p w:rsidR="0074724D" w:rsidRPr="0074724D" w:rsidRDefault="0074724D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Нередко изменения в учетную политику трудно, а то и просто невозможно оценить. В этом случае предлагается применять новый способ бухучета только в отношении тех хозяйственных операций, которые совершены уже после нововведений, то есть «перспективно». Очевидно, что в связи с существенной трудоемкостью корректировки показателей бухгалтерской отчетности при ретроспективном методе большинство малых и средних организаций будут использовать именно перспективный метод.</w:t>
      </w: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4724D">
        <w:rPr>
          <w:rStyle w:val="a9"/>
          <w:b w:val="0"/>
          <w:sz w:val="28"/>
          <w:szCs w:val="28"/>
          <w:u w:val="single"/>
        </w:rPr>
        <w:t>Формирование учетной политики</w:t>
      </w:r>
    </w:p>
    <w:p w:rsidR="0031078B" w:rsidRPr="0031078B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 xml:space="preserve">Принципиально новым в ПБУ 1/2008 является то, что теперь формированием учетной политики вправе заниматься не только главный бухгалтер. Эту обязанность можно возложить и на иное лицо, которое ведет бухучет в организации. Напомним, что в соответствии с пунктом 2 статьи 6 Федерального закона от 21 ноября </w:t>
      </w:r>
      <w:smartTag w:uri="urn:schemas-microsoft-com:office:smarttags" w:element="metricconverter">
        <w:smartTagPr>
          <w:attr w:name="ProductID" w:val="1996 г"/>
        </w:smartTagPr>
        <w:r w:rsidRPr="0074724D">
          <w:rPr>
            <w:sz w:val="28"/>
            <w:szCs w:val="28"/>
          </w:rPr>
          <w:t>1996 г</w:t>
        </w:r>
      </w:smartTag>
      <w:r w:rsidRPr="0074724D">
        <w:rPr>
          <w:sz w:val="28"/>
          <w:szCs w:val="28"/>
        </w:rPr>
        <w:t>. № 129-ФЗ «О бухгалтерском учете» руководитель организации может:</w:t>
      </w:r>
    </w:p>
    <w:p w:rsidR="0031078B" w:rsidRPr="0031078B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— учредить бухгалтерскую службу, возглавляемую главным бухгалтером;</w:t>
      </w:r>
      <w:r w:rsidRPr="0074724D">
        <w:rPr>
          <w:sz w:val="28"/>
          <w:szCs w:val="28"/>
        </w:rPr>
        <w:br/>
        <w:t>— ввести в штат должность бухгалтера;</w:t>
      </w:r>
    </w:p>
    <w:p w:rsidR="0031078B" w:rsidRPr="0031078B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— передать на договорных началах ведение бухгалтерского учета специализированной организации или бухгалтеру-специалисту;</w:t>
      </w: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— вести бухгалтерский учет лично.</w:t>
      </w: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В свою очередь руководитель организации своим приказом должен утвердить подготовленный документ и ввести его в действие.</w:t>
      </w:r>
    </w:p>
    <w:p w:rsidR="0031078B" w:rsidRPr="0031078B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В учетной политике необходимо утвердить:</w:t>
      </w:r>
    </w:p>
    <w:p w:rsidR="0031078B" w:rsidRPr="0031078B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— рабочий план счетов бухгалтерского учета;</w:t>
      </w:r>
    </w:p>
    <w:p w:rsidR="0031078B" w:rsidRPr="0031078B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— формы первичных учетных документов;</w:t>
      </w:r>
    </w:p>
    <w:p w:rsidR="0031078B" w:rsidRPr="0031078B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— формы регистров бухгалтерского учета;</w:t>
      </w:r>
    </w:p>
    <w:p w:rsidR="0031078B" w:rsidRPr="0031078B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— формы документов внутренней бухгалтерской отчетности;</w:t>
      </w:r>
    </w:p>
    <w:p w:rsidR="0031078B" w:rsidRPr="0031078B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— порядок проведения инвентаризации;</w:t>
      </w:r>
    </w:p>
    <w:p w:rsidR="0031078B" w:rsidRPr="0031078B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— способы оценки активов и обязательств;</w:t>
      </w:r>
    </w:p>
    <w:p w:rsidR="0031078B" w:rsidRPr="0031078B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— правила документооборота и технологию обработки учетной информации;</w:t>
      </w:r>
    </w:p>
    <w:p w:rsidR="0031078B" w:rsidRPr="0031078B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— порядок контроля за хозяйственными операциями;</w:t>
      </w: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— иные решения по организации бухгалтерского учета.</w:t>
      </w: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Новшеством ПБУ 1/2008 является требование утвердить в учетной политике все формы первичных документов, которые применяются организацией, а не только те, по которым нет унифицированных форм, как было предусмотрено ранее. При этом по-прежнему все первичные учетные документы организации должны создаваться по унифицированным формам, приведенным в соответствующих альбомах.</w:t>
      </w: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А документы, форма которых не предусмотрена в этих альбомах, должны содержать обязательные реквизиты, установленные Законом о бухучете (наименование документа, дату составления, содержание хозяйственной операции, личные подписи и т. д.).</w:t>
      </w: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 xml:space="preserve">В дальнейшем планируется предоставить компаниям право разрабатывать и утверждать все формы «первички» самостоятельно. Но пока действуют унифицированные формы, в учетной политике придется их перечислить. </w:t>
      </w: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 xml:space="preserve">Другим существенным новшеством ПБУ 1/2008 является требование раскрывать в учетной политике формы регистров бухгалтерского учета. К таковым можно отнести журнал регистрации хозяйственных операций, журналы-ордера, вспомогательные ведомости, мемориальные ордера, Главную книгу, оборотную ведомость и т. д. </w:t>
      </w: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 xml:space="preserve">Важный нюанс: если по конкретному вопросу в российском законодательстве не установлены способы ведения бухучета, при формировании учетной политики организация может исходить из принципов МСФО (п. 7 ПБУ 1/2008). Такого положения в ПБУ 1/98 нет. При этом, как и раньше, если правила бухучета допускают несколько вариантов учета, организация должна выбрать один, наиболее оптимальный с ее точки зрения. Если же в учете тех или иных операций никакой вариантности нет, дублировать в учетной политике положения нормативных актов не следует. </w:t>
      </w: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Учетная политика действует с 1 января года, следующего за годом ее утверждения. На это следует обратить особое внимание, так как зачастую приказ об утверждении учетной политики на текущий год регистрируют началом года (например, 9 января). Очевидно, что юридически утвержденная таким приказом учетная политика начнет действовать только с 1 января следующего года.</w:t>
      </w: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Вновь созданные организации должны разработать и утвердить учетную политику в течение 90 дней с момента государственной регистрации (п. 9 ПБУ 1/2008). И применять ее с момента регистрации.</w:t>
      </w:r>
    </w:p>
    <w:p w:rsidR="0054099B" w:rsidRPr="0074724D" w:rsidRDefault="0054099B" w:rsidP="0031078B">
      <w:pPr>
        <w:pStyle w:val="block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724D">
        <w:rPr>
          <w:sz w:val="28"/>
          <w:szCs w:val="28"/>
        </w:rPr>
        <w:t>Учетную политику должны применять все филиалы, представительства и обособленные подразделения организации независимо от их местонахождения. Разработка для них отдельной учетной политики не допускается.</w:t>
      </w:r>
      <w:bookmarkStart w:id="0" w:name="_GoBack"/>
      <w:bookmarkEnd w:id="0"/>
    </w:p>
    <w:sectPr w:rsidR="0054099B" w:rsidRPr="0074724D" w:rsidSect="0031078B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8C9" w:rsidRDefault="001218C9">
      <w:r>
        <w:separator/>
      </w:r>
    </w:p>
  </w:endnote>
  <w:endnote w:type="continuationSeparator" w:id="0">
    <w:p w:rsidR="001218C9" w:rsidRDefault="0012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8C9" w:rsidRDefault="001218C9">
      <w:r>
        <w:separator/>
      </w:r>
    </w:p>
  </w:footnote>
  <w:footnote w:type="continuationSeparator" w:id="0">
    <w:p w:rsidR="001218C9" w:rsidRDefault="00121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DF7" w:rsidRDefault="00497DF7" w:rsidP="001B7001">
    <w:pPr>
      <w:pStyle w:val="a6"/>
      <w:framePr w:wrap="around" w:vAnchor="text" w:hAnchor="margin" w:xAlign="right" w:y="1"/>
      <w:rPr>
        <w:rStyle w:val="a8"/>
      </w:rPr>
    </w:pPr>
  </w:p>
  <w:p w:rsidR="00497DF7" w:rsidRDefault="00497DF7" w:rsidP="006247E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DF7" w:rsidRDefault="00BD0621" w:rsidP="001B7001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497DF7" w:rsidRDefault="00497DF7" w:rsidP="006247E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4A13"/>
    <w:multiLevelType w:val="hybridMultilevel"/>
    <w:tmpl w:val="27740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574A90"/>
    <w:multiLevelType w:val="hybridMultilevel"/>
    <w:tmpl w:val="38C66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B879BB"/>
    <w:multiLevelType w:val="hybridMultilevel"/>
    <w:tmpl w:val="6FE2ACB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3">
    <w:nsid w:val="455D396E"/>
    <w:multiLevelType w:val="hybridMultilevel"/>
    <w:tmpl w:val="D58E4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335C4"/>
    <w:multiLevelType w:val="multilevel"/>
    <w:tmpl w:val="CF28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96DD7"/>
    <w:multiLevelType w:val="multilevel"/>
    <w:tmpl w:val="378C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56425"/>
    <w:multiLevelType w:val="hybridMultilevel"/>
    <w:tmpl w:val="1996CDDE"/>
    <w:lvl w:ilvl="0" w:tplc="3E1E51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68BD67D3"/>
    <w:multiLevelType w:val="hybridMultilevel"/>
    <w:tmpl w:val="411AEC92"/>
    <w:lvl w:ilvl="0" w:tplc="329A8C06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6"/>
        </w:tabs>
        <w:ind w:left="2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6"/>
        </w:tabs>
        <w:ind w:left="2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6"/>
        </w:tabs>
        <w:ind w:left="3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6"/>
        </w:tabs>
        <w:ind w:left="4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6"/>
        </w:tabs>
        <w:ind w:left="5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6"/>
        </w:tabs>
        <w:ind w:left="5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6"/>
        </w:tabs>
        <w:ind w:left="6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6"/>
        </w:tabs>
        <w:ind w:left="7166" w:hanging="180"/>
      </w:pPr>
      <w:rPr>
        <w:rFonts w:cs="Times New Roman"/>
      </w:rPr>
    </w:lvl>
  </w:abstractNum>
  <w:abstractNum w:abstractNumId="8">
    <w:nsid w:val="6D360F4D"/>
    <w:multiLevelType w:val="hybridMultilevel"/>
    <w:tmpl w:val="EAF8C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CC262A"/>
    <w:multiLevelType w:val="multilevel"/>
    <w:tmpl w:val="A9B0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3E21BB"/>
    <w:multiLevelType w:val="hybridMultilevel"/>
    <w:tmpl w:val="977A9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11F"/>
    <w:rsid w:val="00015BF6"/>
    <w:rsid w:val="0002003E"/>
    <w:rsid w:val="00073828"/>
    <w:rsid w:val="000B3DDE"/>
    <w:rsid w:val="000D01C2"/>
    <w:rsid w:val="00112ADC"/>
    <w:rsid w:val="00121342"/>
    <w:rsid w:val="001218C9"/>
    <w:rsid w:val="001A66C8"/>
    <w:rsid w:val="001B7001"/>
    <w:rsid w:val="002065DB"/>
    <w:rsid w:val="0026158E"/>
    <w:rsid w:val="002832AB"/>
    <w:rsid w:val="002929CC"/>
    <w:rsid w:val="002B6D52"/>
    <w:rsid w:val="0031078B"/>
    <w:rsid w:val="00356720"/>
    <w:rsid w:val="003B6B5C"/>
    <w:rsid w:val="0043235B"/>
    <w:rsid w:val="00441FC6"/>
    <w:rsid w:val="00497DF7"/>
    <w:rsid w:val="005345B1"/>
    <w:rsid w:val="0054099B"/>
    <w:rsid w:val="00583660"/>
    <w:rsid w:val="005B29E7"/>
    <w:rsid w:val="005C49FB"/>
    <w:rsid w:val="006247E5"/>
    <w:rsid w:val="00670EDB"/>
    <w:rsid w:val="0069433D"/>
    <w:rsid w:val="006B7EEC"/>
    <w:rsid w:val="006F66C0"/>
    <w:rsid w:val="00706436"/>
    <w:rsid w:val="00730D5E"/>
    <w:rsid w:val="0074724D"/>
    <w:rsid w:val="007605A3"/>
    <w:rsid w:val="00810DF8"/>
    <w:rsid w:val="00940BE6"/>
    <w:rsid w:val="00944A6E"/>
    <w:rsid w:val="0095710F"/>
    <w:rsid w:val="009A549F"/>
    <w:rsid w:val="00A4311F"/>
    <w:rsid w:val="00A4609D"/>
    <w:rsid w:val="00A514F7"/>
    <w:rsid w:val="00A57EED"/>
    <w:rsid w:val="00A713A0"/>
    <w:rsid w:val="00A830CD"/>
    <w:rsid w:val="00AE64E7"/>
    <w:rsid w:val="00B0679E"/>
    <w:rsid w:val="00B3217B"/>
    <w:rsid w:val="00B450E4"/>
    <w:rsid w:val="00BB5002"/>
    <w:rsid w:val="00BD0621"/>
    <w:rsid w:val="00BE256B"/>
    <w:rsid w:val="00BF7B83"/>
    <w:rsid w:val="00C6768E"/>
    <w:rsid w:val="00CB2BB6"/>
    <w:rsid w:val="00CE4080"/>
    <w:rsid w:val="00CF4CEE"/>
    <w:rsid w:val="00D0670E"/>
    <w:rsid w:val="00D94806"/>
    <w:rsid w:val="00D97847"/>
    <w:rsid w:val="00DA1E61"/>
    <w:rsid w:val="00E144D7"/>
    <w:rsid w:val="00E65E66"/>
    <w:rsid w:val="00E828C6"/>
    <w:rsid w:val="00F313B4"/>
    <w:rsid w:val="00F63D8B"/>
    <w:rsid w:val="00F778AC"/>
    <w:rsid w:val="00F91BE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08C3ED-CF4B-4321-A50F-72EBA383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4311F"/>
    <w:pPr>
      <w:spacing w:before="100" w:beforeAutospacing="1" w:after="100" w:afterAutospacing="1"/>
      <w:outlineLvl w:val="1"/>
    </w:pPr>
    <w:rPr>
      <w:b/>
      <w:bCs/>
      <w:color w:val="0033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4311F"/>
    <w:pPr>
      <w:spacing w:before="100" w:beforeAutospacing="1" w:after="100" w:afterAutospacing="1"/>
      <w:jc w:val="both"/>
    </w:pPr>
    <w:rPr>
      <w:color w:val="003366"/>
      <w:sz w:val="21"/>
      <w:szCs w:val="21"/>
    </w:rPr>
  </w:style>
  <w:style w:type="paragraph" w:customStyle="1" w:styleId="picture">
    <w:name w:val="picture"/>
    <w:basedOn w:val="a"/>
    <w:rsid w:val="00A4311F"/>
    <w:pPr>
      <w:spacing w:before="100" w:beforeAutospacing="1" w:after="100" w:afterAutospacing="1"/>
      <w:jc w:val="center"/>
    </w:pPr>
    <w:rPr>
      <w:rFonts w:ascii="Verdana" w:hAnsi="Verdana"/>
      <w:color w:val="003366"/>
      <w:sz w:val="21"/>
      <w:szCs w:val="21"/>
    </w:rPr>
  </w:style>
  <w:style w:type="character" w:styleId="a4">
    <w:name w:val="Hyperlink"/>
    <w:uiPriority w:val="99"/>
    <w:rsid w:val="00A4311F"/>
    <w:rPr>
      <w:rFonts w:cs="Times New Roman"/>
      <w:color w:val="FF0000"/>
      <w:u w:val="none"/>
      <w:effect w:val="none"/>
    </w:rPr>
  </w:style>
  <w:style w:type="table" w:styleId="a5">
    <w:name w:val="Table Grid"/>
    <w:basedOn w:val="a1"/>
    <w:uiPriority w:val="59"/>
    <w:rsid w:val="00292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7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6247E5"/>
    <w:rPr>
      <w:rFonts w:cs="Times New Roman"/>
    </w:rPr>
  </w:style>
  <w:style w:type="paragraph" w:customStyle="1" w:styleId="blocktext">
    <w:name w:val="blocktext"/>
    <w:basedOn w:val="a"/>
    <w:rsid w:val="0054099B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4099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Стандартные сетевые программные средства</vt:lpstr>
    </vt:vector>
  </TitlesOfParts>
  <Company>bio-klimat</Company>
  <LinksUpToDate>false</LinksUpToDate>
  <CharactersWithSpaces>15967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Стандартные сетевые программные средства</dc:title>
  <dc:subject/>
  <dc:creator>Оксана</dc:creator>
  <cp:keywords/>
  <dc:description/>
  <cp:lastModifiedBy>admin</cp:lastModifiedBy>
  <cp:revision>2</cp:revision>
  <cp:lastPrinted>2008-12-11T13:18:00Z</cp:lastPrinted>
  <dcterms:created xsi:type="dcterms:W3CDTF">2014-03-04T01:40:00Z</dcterms:created>
  <dcterms:modified xsi:type="dcterms:W3CDTF">2014-03-04T01:40:00Z</dcterms:modified>
</cp:coreProperties>
</file>