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D2" w:rsidRPr="0093787C" w:rsidRDefault="00FD4AD2" w:rsidP="0093787C">
      <w:pPr>
        <w:pStyle w:val="a7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93787C">
        <w:rPr>
          <w:rFonts w:ascii="Times New Roman" w:hAnsi="Times New Roman"/>
          <w:color w:val="auto"/>
        </w:rPr>
        <w:t>Содержание:</w:t>
      </w:r>
    </w:p>
    <w:p w:rsidR="0093787C" w:rsidRDefault="0093787C" w:rsidP="0093787C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4AD2" w:rsidRPr="0093787C" w:rsidRDefault="00FD4AD2" w:rsidP="0093787C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Введение</w:t>
      </w:r>
      <w:r w:rsidRPr="0093787C">
        <w:rPr>
          <w:rFonts w:ascii="Times New Roman" w:hAnsi="Times New Roman"/>
          <w:noProof/>
          <w:webHidden/>
          <w:sz w:val="28"/>
        </w:rPr>
        <w:tab/>
        <w:t>2</w:t>
      </w:r>
    </w:p>
    <w:p w:rsidR="00FD4AD2" w:rsidRPr="0093787C" w:rsidRDefault="00FD4AD2" w:rsidP="0093787C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Сущность,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роль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и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функции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контроля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в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управлении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экономикой.</w:t>
      </w:r>
      <w:r w:rsidRPr="0093787C">
        <w:rPr>
          <w:rFonts w:ascii="Times New Roman" w:hAnsi="Times New Roman"/>
          <w:noProof/>
          <w:webHidden/>
          <w:sz w:val="28"/>
        </w:rPr>
        <w:tab/>
        <w:t>3</w:t>
      </w:r>
    </w:p>
    <w:p w:rsidR="00FD4AD2" w:rsidRPr="0093787C" w:rsidRDefault="00FD4AD2" w:rsidP="0093787C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Заключение</w:t>
      </w:r>
      <w:r w:rsidRPr="0093787C">
        <w:rPr>
          <w:rFonts w:ascii="Times New Roman" w:hAnsi="Times New Roman"/>
          <w:noProof/>
          <w:webHidden/>
          <w:sz w:val="28"/>
        </w:rPr>
        <w:tab/>
        <w:t>8</w:t>
      </w:r>
    </w:p>
    <w:p w:rsidR="00FD4AD2" w:rsidRPr="0093787C" w:rsidRDefault="00FD4AD2" w:rsidP="0093787C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План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ревизии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ООО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«Гамма»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с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МПЗ.</w:t>
      </w:r>
      <w:r w:rsidRPr="0093787C">
        <w:rPr>
          <w:rFonts w:ascii="Times New Roman" w:hAnsi="Times New Roman"/>
          <w:noProof/>
          <w:webHidden/>
          <w:sz w:val="28"/>
        </w:rPr>
        <w:tab/>
        <w:t>9</w:t>
      </w:r>
    </w:p>
    <w:p w:rsidR="00FD4AD2" w:rsidRPr="0093787C" w:rsidRDefault="00FD4AD2" w:rsidP="0093787C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Задача.</w:t>
      </w:r>
      <w:r w:rsidRPr="0093787C">
        <w:rPr>
          <w:rFonts w:ascii="Times New Roman" w:hAnsi="Times New Roman"/>
          <w:noProof/>
          <w:webHidden/>
          <w:sz w:val="28"/>
        </w:rPr>
        <w:tab/>
        <w:t>11</w:t>
      </w:r>
    </w:p>
    <w:p w:rsidR="00FD4AD2" w:rsidRPr="0093787C" w:rsidRDefault="00FD4AD2" w:rsidP="0093787C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lang w:eastAsia="ru-RU"/>
        </w:rPr>
      </w:pP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Список</w:t>
      </w:r>
      <w:r w:rsidR="0093787C"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 xml:space="preserve"> </w:t>
      </w:r>
      <w:r w:rsidRPr="001F63FD">
        <w:rPr>
          <w:rStyle w:val="a8"/>
          <w:rFonts w:ascii="Times New Roman" w:hAnsi="Times New Roman"/>
          <w:noProof/>
          <w:color w:val="auto"/>
          <w:sz w:val="28"/>
          <w:u w:val="none"/>
        </w:rPr>
        <w:t>литературы:</w:t>
      </w:r>
      <w:r w:rsidRPr="0093787C">
        <w:rPr>
          <w:rFonts w:ascii="Times New Roman" w:hAnsi="Times New Roman"/>
          <w:noProof/>
          <w:webHidden/>
          <w:sz w:val="28"/>
        </w:rPr>
        <w:tab/>
        <w:t>14</w:t>
      </w:r>
    </w:p>
    <w:p w:rsidR="0066669B" w:rsidRPr="0093787C" w:rsidRDefault="0093787C" w:rsidP="009378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bookmarkStart w:id="0" w:name="_Toc215289820"/>
      <w:bookmarkStart w:id="1" w:name="_Toc214165925"/>
      <w:bookmarkStart w:id="2" w:name="_Toc214165989"/>
      <w:r w:rsidR="0066669B" w:rsidRPr="0093787C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93787C" w:rsidRDefault="0093787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69B" w:rsidRPr="0093787C" w:rsidRDefault="0066669B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условиях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развития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рыночных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отношений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встает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острая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необходимость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квалифицированных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специалистах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специальности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«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Бухгалтерский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учет,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анализ,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аудит».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ходе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расширения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хозяйственных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связей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между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организациями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форм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собственности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организационно-правовых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форм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особое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значение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имеют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достоверность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точность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отчетности,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опираясь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которую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субъект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хозяйствования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выбирает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партнера,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устанавливает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взаимоотношения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определяет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форму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расчета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своими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клиентами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поставщиками,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решает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вопрос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вложении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средств.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получении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кредита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банке,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выпуске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проспекта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эмиссии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размещении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акций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облигаций,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инвестировании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средств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инвесторы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все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чаще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требуют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эмитента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аудиторское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заключение,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подтверждающее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чистоту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(достоверность)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отчетности.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этой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связи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формируются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специальные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подразделения,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которые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осуществляют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состоянием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бухгалтерского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учета,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проводят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комплексный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анализ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хозяйственной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экономического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субъекта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целью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наметить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пути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наиболее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эффективного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развития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выявить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резервы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основных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подразделений.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Создание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таких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подразделений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позволяет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отделить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оперативную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работу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бухгалтерской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службы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методологической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стратегической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специальных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подразделений,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которое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выполняют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внутреннего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фирмы.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специалисты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названной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выше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специальности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должны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хорошо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разбираться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понимать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такую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дисциплину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«Ревизия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контроль».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Наиболее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значимой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темой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этом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предмете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является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данной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работы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изучить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сущность,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3C68C4" w:rsidRPr="0093787C" w:rsidRDefault="0093787C" w:rsidP="009378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3" w:name="_Toc215289821"/>
      <w:r w:rsidR="003C68C4" w:rsidRPr="0093787C">
        <w:rPr>
          <w:rFonts w:ascii="Times New Roman" w:hAnsi="Times New Roman"/>
          <w:b/>
          <w:sz w:val="28"/>
          <w:szCs w:val="28"/>
        </w:rPr>
        <w:t>Сущность,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b/>
          <w:sz w:val="28"/>
          <w:szCs w:val="28"/>
        </w:rPr>
        <w:t>роль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b/>
          <w:sz w:val="28"/>
          <w:szCs w:val="28"/>
        </w:rPr>
        <w:t>и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b/>
          <w:sz w:val="28"/>
          <w:szCs w:val="28"/>
        </w:rPr>
        <w:t>функции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b/>
          <w:sz w:val="28"/>
          <w:szCs w:val="28"/>
        </w:rPr>
        <w:t>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b/>
          <w:sz w:val="28"/>
          <w:szCs w:val="28"/>
        </w:rPr>
        <w:t>в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b/>
          <w:sz w:val="28"/>
          <w:szCs w:val="28"/>
        </w:rPr>
        <w:t>управлении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b/>
          <w:sz w:val="28"/>
          <w:szCs w:val="28"/>
        </w:rPr>
        <w:t>экономикой.</w:t>
      </w:r>
      <w:bookmarkEnd w:id="1"/>
      <w:bookmarkEnd w:id="2"/>
      <w:bookmarkEnd w:id="3"/>
    </w:p>
    <w:p w:rsidR="0093787C" w:rsidRDefault="0093787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00" w:rsidRPr="0093787C" w:rsidRDefault="00BE386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Общество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живет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развивается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определенным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законам,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поэтому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существует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объективная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необходимость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соблюдением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выполнением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данных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законов.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это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функция,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которая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присуща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всякому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управлению.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это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проверка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исполнения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тех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или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иных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хозяйственных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решений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целью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установления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достоверности,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законности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экономической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целесообразности.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Он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способствует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повышению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эффективности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производственной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финансово-коммерческой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деятельности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звеньев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FB75C4" w:rsidRPr="0093787C">
        <w:rPr>
          <w:rFonts w:ascii="Times New Roman" w:hAnsi="Times New Roman"/>
          <w:sz w:val="28"/>
          <w:szCs w:val="28"/>
        </w:rPr>
        <w:t>экономики.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4444CD" w:rsidRPr="0093787C" w:rsidRDefault="004444C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условиях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форм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оплаты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труда,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субъектов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хозяйствования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различной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формой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собственности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значительно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возрастает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ресурсов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сохранности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собственности.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4444C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Становление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рыночных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отношений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Российской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Федерации,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появление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различных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организационно-правовых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форм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ставящих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целью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получение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прибыли,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потребовало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разработки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соответствующих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мер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защите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прав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интересов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общества,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предотвращению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раскрытию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злоупотреблений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хозяйствующих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субъектов.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Нарушения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злоупотребления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бюджетной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сфере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имеют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хронологической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привязки</w:t>
      </w:r>
      <w:r w:rsidR="00B70FAB" w:rsidRPr="0093787C">
        <w:rPr>
          <w:rFonts w:ascii="Times New Roman" w:hAnsi="Times New Roman"/>
          <w:sz w:val="28"/>
          <w:szCs w:val="28"/>
        </w:rPr>
        <w:t>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ни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национальных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корней.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Потребности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любого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государства,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правило,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превышают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финансовые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возможности,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чиновников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нередко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возникает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соблазн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обход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закона,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перераспределить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средства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пользу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«неотложных»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нужд.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любом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обществе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той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или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иной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степени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проявляются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политические,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так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коммерческие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интересы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различных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компаний,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кланов,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групп.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Результатом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становится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лоббирование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этих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интересов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сфере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B70FAB" w:rsidRPr="0093787C">
        <w:rPr>
          <w:rFonts w:ascii="Times New Roman" w:hAnsi="Times New Roman"/>
          <w:sz w:val="28"/>
          <w:szCs w:val="28"/>
        </w:rPr>
        <w:t>экономики</w:t>
      </w:r>
      <w:r w:rsidR="004D3CDD" w:rsidRPr="0093787C">
        <w:rPr>
          <w:rFonts w:ascii="Times New Roman" w:hAnsi="Times New Roman"/>
          <w:sz w:val="28"/>
          <w:szCs w:val="28"/>
        </w:rPr>
        <w:t>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приобретение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различных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преференций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льгот.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этой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причине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только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человечество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стало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осознавать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себя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организованным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сообществом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до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наших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дней,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для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любой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страны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актуальна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задача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создания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совершенствования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системы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гласного,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всеобъемлющего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состоянием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«государственного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кармана»,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использованием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бюджетных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средств.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Таким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образом,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финансовый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неотъемлемая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составная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часть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финансовой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деятельности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государства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муниципальных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образований.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Одновременно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финансовый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составляющая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государственного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механизма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управления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экономикой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страны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одна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из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важнейших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функций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государства.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Он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реализуется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контроле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4D3CDD" w:rsidRPr="0093787C">
        <w:rPr>
          <w:rFonts w:ascii="Times New Roman" w:hAnsi="Times New Roman"/>
          <w:sz w:val="28"/>
          <w:szCs w:val="28"/>
        </w:rPr>
        <w:t>за:</w:t>
      </w:r>
    </w:p>
    <w:p w:rsidR="004D3CDD" w:rsidRPr="0093787C" w:rsidRDefault="004D3CD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исполнением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основного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государственного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финансового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плана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страны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бюджета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планов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внебюджетных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фондов,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организацией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денежного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24379" w:rsidRPr="0093787C">
        <w:rPr>
          <w:rFonts w:ascii="Times New Roman" w:hAnsi="Times New Roman"/>
          <w:sz w:val="28"/>
          <w:szCs w:val="28"/>
        </w:rPr>
        <w:t>обращения;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кредитных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ресурсов;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состоянием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государственного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внутреннего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внешнего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долга;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созданием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государственных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резервов;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осуществлением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налоговых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льгот;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соблюдением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дисциплины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повышением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эффективности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основного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звена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экономики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хозяйствующего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субъекта.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Финансовый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способствует: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своевременному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полному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поступлению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всех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видов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государственных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доходов;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целенаправленному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расходованию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государственных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средств;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эффективному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кредитных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привлеченных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средств;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своевременному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финансированию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социальной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сферы,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числе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оплаты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труда,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выплаты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пенсий,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стипендий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т.п.;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нормальному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эффективному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развитию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предприятий;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поступательному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повышению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жизненного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уровня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населения.</w:t>
      </w:r>
    </w:p>
    <w:p w:rsidR="00D24379" w:rsidRPr="0093787C" w:rsidRDefault="00D2437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Наличие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такого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объективно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обусловлено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тем,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финансам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категории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присуща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только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распределительная,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контрольная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функция.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Поэтому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муниципальными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образованиями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для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решения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своих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задач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финансов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предполагает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обязательное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проведение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ходом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выполнения.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Финансовый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осуществляется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установленном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правовыми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нормами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порядке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всей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системой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органов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государственной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власти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органов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местного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самоуправления,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том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числе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специальными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контрольными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органами,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при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участии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общественных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организаций,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трудовых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коллективов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3C68C4" w:rsidRPr="0093787C">
        <w:rPr>
          <w:rFonts w:ascii="Times New Roman" w:hAnsi="Times New Roman"/>
          <w:sz w:val="28"/>
          <w:szCs w:val="28"/>
        </w:rPr>
        <w:t>граждан.</w:t>
      </w:r>
    </w:p>
    <w:p w:rsidR="003C68C4" w:rsidRPr="0093787C" w:rsidRDefault="003C68C4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осуществлении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важное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место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отводится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работникам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учетной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службы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субъекта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хозяйствования,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именно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они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проверяют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действия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отдельных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должностных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лиц,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вскрывают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недостатки,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нарушения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или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злоупотребления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деятельности,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устанавливают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причины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нарушений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виновных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лиц.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Являясь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составной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частью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функции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управления,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экономический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направлен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решение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стратегических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задач,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стоящих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перед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экономикой,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он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выполняет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несколько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функций: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информационную,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профилактическую,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мобилизующую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9A7FE7" w:rsidRPr="0093787C">
        <w:rPr>
          <w:rFonts w:ascii="Times New Roman" w:hAnsi="Times New Roman"/>
          <w:sz w:val="28"/>
          <w:szCs w:val="28"/>
        </w:rPr>
        <w:t>воспитательную.</w:t>
      </w:r>
    </w:p>
    <w:p w:rsidR="009A7FE7" w:rsidRPr="0093787C" w:rsidRDefault="009A7FE7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Информационная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заключается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информация,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полученная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результате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экономического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является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основанием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принятия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соответствующих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управленческих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решений,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обеспечивающих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нормальное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функционирование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контролируемого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объекта.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Данная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информация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способствует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объективному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изучению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состояния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дел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контролируемого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объекта,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помогает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выявить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влияние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факторов,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способствующих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росту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эффективности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производства.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085DAE" w:rsidRPr="0093787C" w:rsidRDefault="00085DAE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Профилактическая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заключается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экономический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призван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только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выявить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недостатки,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хищения;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злоупотребления,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способствует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устранению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недопущению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дальнейшеё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работе.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Усиление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профилактической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является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объективной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необходимостью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совершенствования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управления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экономикой,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обеспечения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динамичного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пропорционального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развития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всех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отраслей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производств,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успешного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достижения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целей,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стоящих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перед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контролируемым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объектом.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3A53F9" w:rsidRPr="0093787C" w:rsidRDefault="003A53F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Мобилизующая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заставляет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субъекты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хозяйствования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ответственно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выполнять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обязательства.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должно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обеспечить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рациональное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целевое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всех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средств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ресурсов.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Целевое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средств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означает,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что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они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должны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расходоваться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соответствии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конечной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целью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функционирования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данного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предприятия,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планами,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сметами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договорами.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Рациональное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использование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средств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достижение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наиболее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высоких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показателей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производства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при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наименьших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затратах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ресурсов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труда.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Предприятие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должно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мобилизовать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все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имеющиеся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него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ресурсы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для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достижения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поставленной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цели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эффективного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ведения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85782B" w:rsidRPr="0093787C">
        <w:rPr>
          <w:rFonts w:ascii="Times New Roman" w:hAnsi="Times New Roman"/>
          <w:sz w:val="28"/>
          <w:szCs w:val="28"/>
        </w:rPr>
        <w:t>производства.</w:t>
      </w:r>
    </w:p>
    <w:p w:rsidR="0085782B" w:rsidRPr="0093787C" w:rsidRDefault="0085782B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выполняет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также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важную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воспитательную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функцию;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приобщая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людей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управлению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производством,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воспитывает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работников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потребность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неукоснительного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соблюдения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законности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четкого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исполнения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обязанностей.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Контроль,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являясь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важным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средством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борьбе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бесхозяйственностью,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учит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соблюдать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дисциплину,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воспитывает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сознательное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отношение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труду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собственности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2944CC" w:rsidRPr="0093787C">
        <w:rPr>
          <w:rFonts w:ascii="Times New Roman" w:hAnsi="Times New Roman"/>
          <w:sz w:val="28"/>
          <w:szCs w:val="28"/>
        </w:rPr>
        <w:t>предприятия.</w:t>
      </w:r>
    </w:p>
    <w:p w:rsidR="002944CC" w:rsidRPr="0093787C" w:rsidRDefault="002944C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Сфера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включает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себя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практически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все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операции,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совершаемые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использованием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денег,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некоторых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случаях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без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(бартерные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сделки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т.п.),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т.е.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проверку:</w:t>
      </w:r>
    </w:p>
    <w:p w:rsidR="002944CC" w:rsidRPr="0093787C" w:rsidRDefault="002944C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соблюдения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требований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экономических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законов,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оптимальности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пропорций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распределения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перераспределения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стоимости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валового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общественного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продукта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национального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дохода;</w:t>
      </w:r>
    </w:p>
    <w:p w:rsidR="002944CC" w:rsidRPr="0093787C" w:rsidRDefault="002944C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составления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исполнения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бюджета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(бюджетный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контроль);</w:t>
      </w:r>
    </w:p>
    <w:p w:rsidR="002944CC" w:rsidRPr="0093787C" w:rsidRDefault="002944C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состояния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эффективного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использования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трудовых</w:t>
      </w:r>
      <w:r w:rsidR="001E4739" w:rsidRPr="0093787C">
        <w:rPr>
          <w:rFonts w:ascii="Times New Roman" w:hAnsi="Times New Roman"/>
          <w:sz w:val="28"/>
          <w:szCs w:val="28"/>
        </w:rPr>
        <w:t>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материальных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финансовых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ресурсов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предприятий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организаций,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бюджетных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1E4739" w:rsidRPr="0093787C">
        <w:rPr>
          <w:rFonts w:ascii="Times New Roman" w:hAnsi="Times New Roman"/>
          <w:sz w:val="28"/>
          <w:szCs w:val="28"/>
        </w:rPr>
        <w:t>учреждений;</w:t>
      </w:r>
    </w:p>
    <w:p w:rsidR="001E4739" w:rsidRPr="0093787C" w:rsidRDefault="001E473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уплаты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налогов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т.д.</w:t>
      </w:r>
    </w:p>
    <w:p w:rsidR="001E4739" w:rsidRPr="0093787C" w:rsidRDefault="001E473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Задачи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контроля:</w:t>
      </w:r>
    </w:p>
    <w:p w:rsidR="001E4739" w:rsidRPr="0093787C" w:rsidRDefault="001E473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содействие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сбалансированности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между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потребностью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ресурсах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515DF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515DF" w:rsidRPr="0093787C">
        <w:rPr>
          <w:rFonts w:ascii="Times New Roman" w:hAnsi="Times New Roman"/>
          <w:sz w:val="28"/>
          <w:szCs w:val="28"/>
        </w:rPr>
        <w:t>размерами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515DF" w:rsidRPr="0093787C">
        <w:rPr>
          <w:rFonts w:ascii="Times New Roman" w:hAnsi="Times New Roman"/>
          <w:sz w:val="28"/>
          <w:szCs w:val="28"/>
        </w:rPr>
        <w:t>денежных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515DF" w:rsidRPr="0093787C">
        <w:rPr>
          <w:rFonts w:ascii="Times New Roman" w:hAnsi="Times New Roman"/>
          <w:sz w:val="28"/>
          <w:szCs w:val="28"/>
        </w:rPr>
        <w:t>доходов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515DF"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515DF" w:rsidRPr="0093787C">
        <w:rPr>
          <w:rFonts w:ascii="Times New Roman" w:hAnsi="Times New Roman"/>
          <w:sz w:val="28"/>
          <w:szCs w:val="28"/>
        </w:rPr>
        <w:t>фондов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515DF" w:rsidRPr="0093787C">
        <w:rPr>
          <w:rFonts w:ascii="Times New Roman" w:hAnsi="Times New Roman"/>
          <w:sz w:val="28"/>
          <w:szCs w:val="28"/>
        </w:rPr>
        <w:t>народного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D515DF" w:rsidRPr="0093787C">
        <w:rPr>
          <w:rFonts w:ascii="Times New Roman" w:hAnsi="Times New Roman"/>
          <w:sz w:val="28"/>
          <w:szCs w:val="28"/>
        </w:rPr>
        <w:t>хозяйства;</w:t>
      </w:r>
    </w:p>
    <w:p w:rsidR="00D515DF" w:rsidRPr="0093787C" w:rsidRDefault="00D515DF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обеспечение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своевременности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полноты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выполнения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обязательств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перед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государственным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бюджетом;</w:t>
      </w:r>
    </w:p>
    <w:p w:rsidR="00D515DF" w:rsidRPr="0093787C" w:rsidRDefault="00D515DF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выявление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внутрипроизводственных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резервов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роста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ресурсов,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числе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снижению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себестоимости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повышению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рентабельности;</w:t>
      </w:r>
    </w:p>
    <w:p w:rsidR="00D515DF" w:rsidRPr="0093787C" w:rsidRDefault="00D515DF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содействие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рациональному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расходованию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ценностей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денежных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ресурсов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предприятиях,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организациях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бюджетных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учреждениях,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также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правильному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ведению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бухгалтерского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отчетности;</w:t>
      </w:r>
    </w:p>
    <w:p w:rsidR="00D515DF" w:rsidRPr="0093787C" w:rsidRDefault="00D515DF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обеспечение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соблюдения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законодательства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нормативных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актов,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числе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области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налогообложения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относящихся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различным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организационно-правовым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формам;</w:t>
      </w:r>
    </w:p>
    <w:p w:rsidR="00D515DF" w:rsidRPr="0093787C" w:rsidRDefault="00D515DF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содействие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высокой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отдаче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внешнеэкономической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числе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валютным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операциям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др.</w:t>
      </w:r>
    </w:p>
    <w:p w:rsidR="00D515DF" w:rsidRPr="0093787C" w:rsidRDefault="00D515DF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Значение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состоит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проведении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проверяются:</w:t>
      </w:r>
    </w:p>
    <w:p w:rsidR="00D515DF" w:rsidRPr="0093787C" w:rsidRDefault="00D515DF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соблюдение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установленного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правопорядка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процессе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органами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государственной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власти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местного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самоуправления,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предприятиями,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учреждениями,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организациями,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гражданами;</w:t>
      </w:r>
    </w:p>
    <w:p w:rsidR="00D515DF" w:rsidRPr="0093787C" w:rsidRDefault="00D515DF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экономическая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обоснованность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эффективность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осуществляемых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действий,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соответствие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задачам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муниципальных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образований.</w:t>
      </w:r>
    </w:p>
    <w:p w:rsidR="00D515DF" w:rsidRPr="0093787C" w:rsidRDefault="0093787C" w:rsidP="009378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" w:name="_Toc215289822"/>
      <w:r w:rsidR="00850076" w:rsidRPr="0093787C">
        <w:rPr>
          <w:rFonts w:ascii="Times New Roman" w:hAnsi="Times New Roman"/>
          <w:b/>
          <w:sz w:val="28"/>
          <w:szCs w:val="28"/>
        </w:rPr>
        <w:t>Заключение</w:t>
      </w:r>
      <w:bookmarkEnd w:id="4"/>
    </w:p>
    <w:p w:rsidR="0093787C" w:rsidRDefault="0093787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076" w:rsidRPr="0093787C" w:rsidRDefault="000F0409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данной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работе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было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дано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определение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сущности.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Таким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образом,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можно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говорить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том,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управления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специфического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рода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имеет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сложную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структуру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проявляется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различных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аспектах,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обусловливает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различные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характеристики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понятия.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имеет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двоякий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характер.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одной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стороны,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элемент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каждой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основной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управления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(организации,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планирования),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другой,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-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самостоятельная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управления,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как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представляет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ее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самостоятельный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вид.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D4AD2" w:rsidRPr="0093787C" w:rsidRDefault="00FD4AD2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Также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можно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сказать,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что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экономическая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сущность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выражается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его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функциях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задачах,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которые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перед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ним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ставятся.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D4AD2" w:rsidRPr="0093787C" w:rsidRDefault="00FD4AD2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Таким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образом,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контроль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служит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важным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способом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обеспечения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законности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целесообразности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проводимой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финансовой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деятельности.</w:t>
      </w:r>
    </w:p>
    <w:p w:rsidR="00FB4DED" w:rsidRPr="0093787C" w:rsidRDefault="0093787C" w:rsidP="009378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5" w:name="_Toc214165926"/>
      <w:bookmarkStart w:id="6" w:name="_Toc214165990"/>
      <w:bookmarkStart w:id="7" w:name="_Toc215289823"/>
      <w:r w:rsidR="00001B99" w:rsidRPr="0093787C">
        <w:rPr>
          <w:rFonts w:ascii="Times New Roman" w:hAnsi="Times New Roman"/>
          <w:b/>
          <w:sz w:val="28"/>
          <w:szCs w:val="28"/>
        </w:rPr>
        <w:t>План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b/>
          <w:sz w:val="28"/>
          <w:szCs w:val="28"/>
        </w:rPr>
        <w:t>ревизии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b/>
          <w:sz w:val="28"/>
          <w:szCs w:val="28"/>
        </w:rPr>
        <w:t>ООО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b/>
          <w:sz w:val="28"/>
          <w:szCs w:val="28"/>
        </w:rPr>
        <w:t>«Гамма»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b/>
          <w:sz w:val="28"/>
          <w:szCs w:val="28"/>
        </w:rPr>
        <w:t>с</w:t>
      </w:r>
      <w:r w:rsidRPr="0093787C">
        <w:rPr>
          <w:rFonts w:ascii="Times New Roman" w:hAnsi="Times New Roman"/>
          <w:b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b/>
          <w:sz w:val="28"/>
          <w:szCs w:val="28"/>
        </w:rPr>
        <w:t>МПЗ.</w:t>
      </w:r>
      <w:bookmarkEnd w:id="5"/>
      <w:bookmarkEnd w:id="6"/>
      <w:bookmarkEnd w:id="7"/>
    </w:p>
    <w:p w:rsidR="00FB4DED" w:rsidRPr="0093787C" w:rsidRDefault="00FB4DED" w:rsidP="009378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Проверяемое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учреждение: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ООО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«Гамма»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Период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проверки: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01.02.2007-31.03.2007гг</w:t>
      </w:r>
    </w:p>
    <w:p w:rsidR="00FB4DED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Ответственное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ревизию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лицо</w:t>
      </w:r>
      <w:r w:rsidR="006243F3" w:rsidRPr="0093787C">
        <w:rPr>
          <w:rFonts w:ascii="Times New Roman" w:hAnsi="Times New Roman"/>
          <w:sz w:val="28"/>
          <w:szCs w:val="28"/>
        </w:rPr>
        <w:t>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Суслова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К.В.</w:t>
      </w:r>
    </w:p>
    <w:p w:rsidR="0093787C" w:rsidRPr="0093787C" w:rsidRDefault="0093787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493"/>
        <w:gridCol w:w="1679"/>
        <w:gridCol w:w="2041"/>
        <w:gridCol w:w="2746"/>
      </w:tblGrid>
      <w:tr w:rsidR="006243F3" w:rsidRPr="0093787C" w:rsidTr="006243F3">
        <w:tc>
          <w:tcPr>
            <w:tcW w:w="612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№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93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Планируемые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ревизионные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</w:tc>
        <w:tc>
          <w:tcPr>
            <w:tcW w:w="1679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2041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746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</w:tr>
      <w:tr w:rsidR="006243F3" w:rsidRPr="0093787C" w:rsidTr="006243F3">
        <w:tc>
          <w:tcPr>
            <w:tcW w:w="612" w:type="dxa"/>
          </w:tcPr>
          <w:p w:rsidR="00FB4DED" w:rsidRPr="0093787C" w:rsidRDefault="008C5AB1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3" w:type="dxa"/>
          </w:tcPr>
          <w:p w:rsidR="00FB4DED" w:rsidRPr="0093787C" w:rsidRDefault="002944CC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Проверка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материалов</w:t>
            </w:r>
          </w:p>
        </w:tc>
        <w:tc>
          <w:tcPr>
            <w:tcW w:w="1679" w:type="dxa"/>
          </w:tcPr>
          <w:p w:rsidR="00FB4DED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01.04.2007-02.04.2007г.</w:t>
            </w:r>
          </w:p>
        </w:tc>
        <w:tc>
          <w:tcPr>
            <w:tcW w:w="2041" w:type="dxa"/>
          </w:tcPr>
          <w:p w:rsidR="00FB4DED" w:rsidRPr="0093787C" w:rsidRDefault="002944CC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Красильникова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А.В.</w:t>
            </w:r>
          </w:p>
        </w:tc>
        <w:tc>
          <w:tcPr>
            <w:tcW w:w="2746" w:type="dxa"/>
          </w:tcPr>
          <w:p w:rsidR="00FB4DED" w:rsidRPr="0093787C" w:rsidRDefault="002944CC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Учетная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политика,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инвентарные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карточки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учета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материалов,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накладные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получение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материалов,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ведомости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учета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договоров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поставки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или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учета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поступающих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материа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softHyphen/>
              <w:t>лов,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приходные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ордера,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карточки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учета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материалов,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товарные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2A3D" w:rsidRPr="0093787C">
              <w:rPr>
                <w:rFonts w:ascii="Times New Roman" w:hAnsi="Times New Roman"/>
                <w:sz w:val="20"/>
                <w:szCs w:val="20"/>
              </w:rPr>
              <w:t>чеки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243F3" w:rsidRPr="0093787C" w:rsidTr="006243F3">
        <w:tc>
          <w:tcPr>
            <w:tcW w:w="612" w:type="dxa"/>
          </w:tcPr>
          <w:p w:rsidR="00D9780A" w:rsidRPr="0093787C" w:rsidRDefault="00D9780A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3" w:type="dxa"/>
          </w:tcPr>
          <w:p w:rsidR="00D9780A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Проверка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434" w:rsidRPr="0093787C">
              <w:rPr>
                <w:rFonts w:ascii="Times New Roman" w:hAnsi="Times New Roman"/>
                <w:sz w:val="20"/>
                <w:szCs w:val="20"/>
              </w:rPr>
              <w:t>хранения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434" w:rsidRPr="0093787C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434" w:rsidRPr="0093787C">
              <w:rPr>
                <w:rFonts w:ascii="Times New Roman" w:hAnsi="Times New Roman"/>
                <w:sz w:val="20"/>
                <w:szCs w:val="20"/>
              </w:rPr>
              <w:t>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434" w:rsidRPr="0093787C">
              <w:rPr>
                <w:rFonts w:ascii="Times New Roman" w:hAnsi="Times New Roman"/>
                <w:sz w:val="20"/>
                <w:szCs w:val="20"/>
              </w:rPr>
              <w:t>складе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434" w:rsidRPr="0093787C">
              <w:rPr>
                <w:rFonts w:ascii="Times New Roman" w:hAnsi="Times New Roman"/>
                <w:sz w:val="20"/>
                <w:szCs w:val="20"/>
              </w:rPr>
              <w:t>(центральном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434" w:rsidRPr="0093787C">
              <w:rPr>
                <w:rFonts w:ascii="Times New Roman" w:hAnsi="Times New Roman"/>
                <w:sz w:val="20"/>
                <w:szCs w:val="20"/>
              </w:rPr>
              <w:t>складе)</w:t>
            </w:r>
          </w:p>
        </w:tc>
        <w:tc>
          <w:tcPr>
            <w:tcW w:w="1679" w:type="dxa"/>
          </w:tcPr>
          <w:p w:rsidR="00D9780A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02.04.2007-03.04.2007г.</w:t>
            </w:r>
          </w:p>
        </w:tc>
        <w:tc>
          <w:tcPr>
            <w:tcW w:w="2041" w:type="dxa"/>
          </w:tcPr>
          <w:p w:rsidR="00D9780A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Петрунина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О.Г.</w:t>
            </w:r>
          </w:p>
        </w:tc>
        <w:tc>
          <w:tcPr>
            <w:tcW w:w="2746" w:type="dxa"/>
          </w:tcPr>
          <w:p w:rsidR="00D9780A" w:rsidRPr="0093787C" w:rsidRDefault="00341434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учета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поступающих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грузов,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специальная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книга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кладовщика,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карточки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складского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учета,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инвентаризационная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опись</w:t>
            </w:r>
          </w:p>
        </w:tc>
      </w:tr>
      <w:tr w:rsidR="006243F3" w:rsidRPr="0093787C" w:rsidTr="006243F3">
        <w:tc>
          <w:tcPr>
            <w:tcW w:w="612" w:type="dxa"/>
          </w:tcPr>
          <w:p w:rsidR="00D9780A" w:rsidRPr="0093787C" w:rsidRDefault="00D9780A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3" w:type="dxa"/>
          </w:tcPr>
          <w:p w:rsidR="00D9780A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Проверка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списания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CFA" w:rsidRPr="0093787C">
              <w:rPr>
                <w:rFonts w:ascii="Times New Roman" w:hAnsi="Times New Roman"/>
                <w:sz w:val="20"/>
                <w:szCs w:val="20"/>
              </w:rPr>
              <w:t>производство</w:t>
            </w:r>
          </w:p>
        </w:tc>
        <w:tc>
          <w:tcPr>
            <w:tcW w:w="1679" w:type="dxa"/>
          </w:tcPr>
          <w:p w:rsidR="00D9780A" w:rsidRPr="0093787C" w:rsidRDefault="00D9780A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D9780A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Лузан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Е.А.</w:t>
            </w:r>
          </w:p>
        </w:tc>
        <w:tc>
          <w:tcPr>
            <w:tcW w:w="2746" w:type="dxa"/>
          </w:tcPr>
          <w:p w:rsidR="00D9780A" w:rsidRPr="0093787C" w:rsidRDefault="005A5CFA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Лимитно-</w:t>
            </w:r>
            <w:r w:rsidR="002944CC" w:rsidRPr="0093787C">
              <w:rPr>
                <w:rFonts w:ascii="Times New Roman" w:hAnsi="Times New Roman"/>
                <w:sz w:val="20"/>
                <w:szCs w:val="20"/>
              </w:rPr>
              <w:t>з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аборные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карты,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карточки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учета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(форма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№М-17),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формы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№10а,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регистрации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требований</w:t>
            </w:r>
          </w:p>
        </w:tc>
      </w:tr>
      <w:tr w:rsidR="006243F3" w:rsidRPr="0093787C" w:rsidTr="006243F3">
        <w:tc>
          <w:tcPr>
            <w:tcW w:w="612" w:type="dxa"/>
          </w:tcPr>
          <w:p w:rsidR="00D9780A" w:rsidRPr="0093787C" w:rsidRDefault="003A53F9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93" w:type="dxa"/>
          </w:tcPr>
          <w:p w:rsidR="00D9780A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Проверка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80A" w:rsidRPr="0093787C">
              <w:rPr>
                <w:rFonts w:ascii="Times New Roman" w:hAnsi="Times New Roman"/>
                <w:sz w:val="20"/>
                <w:szCs w:val="20"/>
              </w:rPr>
              <w:t>выбытия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80A" w:rsidRPr="0093787C">
              <w:rPr>
                <w:rFonts w:ascii="Times New Roman" w:hAnsi="Times New Roman"/>
                <w:sz w:val="20"/>
                <w:szCs w:val="20"/>
              </w:rPr>
              <w:t>материально-производственных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80A" w:rsidRPr="0093787C">
              <w:rPr>
                <w:rFonts w:ascii="Times New Roman" w:hAnsi="Times New Roman"/>
                <w:sz w:val="20"/>
                <w:szCs w:val="20"/>
              </w:rPr>
              <w:t>запасов</w:t>
            </w:r>
          </w:p>
        </w:tc>
        <w:tc>
          <w:tcPr>
            <w:tcW w:w="1679" w:type="dxa"/>
          </w:tcPr>
          <w:p w:rsidR="00D9780A" w:rsidRPr="0093787C" w:rsidRDefault="00D9780A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D9780A" w:rsidRPr="0093787C" w:rsidRDefault="00D9780A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D9780A" w:rsidRPr="0093787C" w:rsidRDefault="00D9780A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Первичные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сводные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документы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93787C">
              <w:rPr>
                <w:rFonts w:ascii="Times New Roman" w:hAnsi="Times New Roman"/>
                <w:sz w:val="20"/>
                <w:szCs w:val="20"/>
              </w:rPr>
              <w:softHyphen/>
              <w:t>ту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продажи,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производственного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потребления,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списания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прочего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выбытия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готовой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продукции,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отчеты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движении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ценностей,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инвентаризационные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описи,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ведомости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аналитического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учета,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фактического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наблюдения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выбытия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материально-производственных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запасов</w:t>
            </w:r>
          </w:p>
        </w:tc>
      </w:tr>
      <w:tr w:rsidR="006243F3" w:rsidRPr="0093787C" w:rsidTr="006243F3">
        <w:trPr>
          <w:trHeight w:val="1670"/>
        </w:trPr>
        <w:tc>
          <w:tcPr>
            <w:tcW w:w="612" w:type="dxa"/>
          </w:tcPr>
          <w:p w:rsidR="00BB5B88" w:rsidRPr="0093787C" w:rsidRDefault="003A53F9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93" w:type="dxa"/>
          </w:tcPr>
          <w:p w:rsidR="00BB5B88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Проверка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B88" w:rsidRPr="0093787C">
              <w:rPr>
                <w:rFonts w:ascii="Times New Roman" w:hAnsi="Times New Roman"/>
                <w:sz w:val="20"/>
                <w:szCs w:val="20"/>
              </w:rPr>
              <w:t>соблюдения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B88" w:rsidRPr="0093787C">
              <w:rPr>
                <w:rFonts w:ascii="Times New Roman" w:hAnsi="Times New Roman"/>
                <w:sz w:val="20"/>
                <w:szCs w:val="20"/>
              </w:rPr>
              <w:t>нормативных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B88" w:rsidRPr="0093787C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B88" w:rsidRPr="0093787C">
              <w:rPr>
                <w:rFonts w:ascii="Times New Roman" w:hAnsi="Times New Roman"/>
                <w:sz w:val="20"/>
                <w:szCs w:val="20"/>
              </w:rPr>
              <w:t>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B88" w:rsidRPr="0093787C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B88" w:rsidRPr="0093787C">
              <w:rPr>
                <w:rFonts w:ascii="Times New Roman" w:hAnsi="Times New Roman"/>
                <w:sz w:val="20"/>
                <w:szCs w:val="20"/>
              </w:rPr>
              <w:t>материальных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B88" w:rsidRPr="0093787C">
              <w:rPr>
                <w:rFonts w:ascii="Times New Roman" w:hAnsi="Times New Roman"/>
                <w:sz w:val="20"/>
                <w:szCs w:val="20"/>
              </w:rPr>
              <w:t>ценностей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:rsidR="00BB5B88" w:rsidRPr="0093787C" w:rsidRDefault="00BB5B88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BB5B88" w:rsidRPr="0093787C" w:rsidRDefault="00BB5B88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BB5B88" w:rsidRPr="0093787C" w:rsidRDefault="00BB5B88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Плановые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расчеты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запасов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4CC" w:rsidRPr="0093787C">
              <w:rPr>
                <w:rFonts w:ascii="Times New Roman" w:hAnsi="Times New Roman"/>
                <w:sz w:val="20"/>
                <w:szCs w:val="20"/>
              </w:rPr>
              <w:t>м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атериальных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ценностей,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данные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аналити</w:t>
            </w:r>
            <w:r w:rsidR="002944CC" w:rsidRPr="0093787C">
              <w:rPr>
                <w:rFonts w:ascii="Times New Roman" w:hAnsi="Times New Roman"/>
                <w:sz w:val="20"/>
                <w:szCs w:val="20"/>
              </w:rPr>
              <w:t>че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ского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синтетического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учета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счету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10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«Материалы»,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бухгалтерские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балансы,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справки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5B88" w:rsidRPr="0093787C" w:rsidRDefault="00BB5B88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пояснительные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записки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к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бухгалтерской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отчетности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B4DED" w:rsidRPr="0093787C" w:rsidRDefault="00FB4DED" w:rsidP="0093787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B4DED" w:rsidRPr="0093787C" w:rsidRDefault="0093787C" w:rsidP="0093787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_Toc214165927"/>
      <w:bookmarkStart w:id="9" w:name="_Toc214165991"/>
      <w:bookmarkStart w:id="10" w:name="_Toc215289824"/>
      <w:r>
        <w:rPr>
          <w:rFonts w:ascii="Times New Roman" w:hAnsi="Times New Roman"/>
          <w:b w:val="0"/>
          <w:sz w:val="28"/>
          <w:szCs w:val="28"/>
        </w:rPr>
        <w:br w:type="page"/>
      </w:r>
      <w:r w:rsidR="00FB4DED" w:rsidRPr="0093787C">
        <w:rPr>
          <w:rFonts w:ascii="Times New Roman" w:hAnsi="Times New Roman"/>
          <w:sz w:val="28"/>
          <w:szCs w:val="28"/>
        </w:rPr>
        <w:t>Задача.</w:t>
      </w:r>
      <w:bookmarkEnd w:id="8"/>
      <w:bookmarkEnd w:id="9"/>
      <w:bookmarkEnd w:id="10"/>
    </w:p>
    <w:p w:rsidR="0093787C" w:rsidRDefault="0093787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ходе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ревизии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операций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ООО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«Гамма»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Материально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производственными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запасами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(МПЗ)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установлено: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учетной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политике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ООО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«Гамма»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закреплен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метод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фактической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себестоимости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счете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«Материалы»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метод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списания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ценностей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производство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стоимости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последних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времени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закупок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(ЛИФО).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Сроки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порядок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проведения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инвентаризации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МПЗ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инвентаризация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проводится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раз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3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года.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оформлении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поступления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выбытия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материальных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ценностей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используются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унифицированные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документы.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Остаток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01.02.2007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года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счету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«Материалы»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отсутствовал.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феврале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2007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года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приобретены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партии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материалов: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партия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количестве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штук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125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рублей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штуку,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НДС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облагается.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Оплата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услуг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транспортной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организации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доставку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6000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рублей,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НДС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облагается.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партия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материалов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штук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цене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110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рублей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штуку,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НДС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облагается.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марте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списано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производство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штук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материалов.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бухгалтерском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учете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были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сделаны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следующие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записи: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Февраль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2007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года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ab/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60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12500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руб.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="0093787C">
        <w:rPr>
          <w:rFonts w:ascii="Times New Roman" w:hAnsi="Times New Roman"/>
          <w:sz w:val="28"/>
          <w:szCs w:val="28"/>
        </w:rPr>
        <w:tab/>
        <w:t xml:space="preserve"> </w:t>
      </w:r>
      <w:r w:rsidRPr="0093787C">
        <w:rPr>
          <w:rFonts w:ascii="Times New Roman" w:hAnsi="Times New Roman"/>
          <w:sz w:val="28"/>
          <w:szCs w:val="28"/>
        </w:rPr>
        <w:t>Дт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26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60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6000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60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22000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руб.</w:t>
      </w:r>
    </w:p>
    <w:p w:rsidR="00FB4DED" w:rsidRPr="0093787C" w:rsidRDefault="0093787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DED" w:rsidRPr="009378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FB4DED" w:rsidRPr="0093787C">
        <w:rPr>
          <w:rFonts w:ascii="Times New Roman" w:hAnsi="Times New Roman"/>
          <w:sz w:val="28"/>
          <w:szCs w:val="28"/>
        </w:rPr>
        <w:tab/>
        <w:t>Дт</w:t>
      </w:r>
      <w:r>
        <w:rPr>
          <w:rFonts w:ascii="Times New Roman" w:hAnsi="Times New Roman"/>
          <w:sz w:val="28"/>
          <w:szCs w:val="28"/>
        </w:rPr>
        <w:t xml:space="preserve"> </w:t>
      </w:r>
      <w:r w:rsidR="00FB4DED" w:rsidRPr="0093787C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</w:t>
      </w:r>
      <w:r w:rsidR="00FB4DED" w:rsidRPr="0093787C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FB4DED" w:rsidRPr="0093787C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 w:rsidR="00FB4DED" w:rsidRPr="0093787C">
        <w:rPr>
          <w:rFonts w:ascii="Times New Roman" w:hAnsi="Times New Roman"/>
          <w:sz w:val="28"/>
          <w:szCs w:val="28"/>
        </w:rPr>
        <w:t>12500</w:t>
      </w:r>
      <w:r>
        <w:rPr>
          <w:rFonts w:ascii="Times New Roman" w:hAnsi="Times New Roman"/>
          <w:sz w:val="28"/>
          <w:szCs w:val="28"/>
        </w:rPr>
        <w:t xml:space="preserve"> </w:t>
      </w:r>
      <w:r w:rsidR="00FB4DED" w:rsidRPr="0093787C">
        <w:rPr>
          <w:rFonts w:ascii="Times New Roman" w:hAnsi="Times New Roman"/>
          <w:sz w:val="28"/>
          <w:szCs w:val="28"/>
        </w:rPr>
        <w:t>руб.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  <w:t>Дт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60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51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6000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руб.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  <w:t>Дт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60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51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22000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руб.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Март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2007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года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ab/>
      </w:r>
      <w:r w:rsidRPr="0093787C">
        <w:rPr>
          <w:rFonts w:ascii="Times New Roman" w:hAnsi="Times New Roman"/>
          <w:sz w:val="28"/>
          <w:szCs w:val="28"/>
        </w:rPr>
        <w:tab/>
        <w:t>Дт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10000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руб.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Задание.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Необходимо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оценить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правильность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отражения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операций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бухгалтерском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учете,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выявить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нарушения,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отразить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выводы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промежуточном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акте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ревизии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операций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предприятия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материально-производственными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запасами.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B4DED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Пр</w:t>
      </w:r>
      <w:r w:rsidR="006243F3" w:rsidRPr="0093787C">
        <w:rPr>
          <w:rFonts w:ascii="Times New Roman" w:hAnsi="Times New Roman"/>
          <w:sz w:val="28"/>
          <w:szCs w:val="28"/>
        </w:rPr>
        <w:t>оверяемое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6243F3" w:rsidRPr="0093787C">
        <w:rPr>
          <w:rFonts w:ascii="Times New Roman" w:hAnsi="Times New Roman"/>
          <w:sz w:val="28"/>
          <w:szCs w:val="28"/>
        </w:rPr>
        <w:t>учреждение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6243F3" w:rsidRPr="0093787C">
        <w:rPr>
          <w:rFonts w:ascii="Times New Roman" w:hAnsi="Times New Roman"/>
          <w:sz w:val="28"/>
          <w:szCs w:val="28"/>
        </w:rPr>
        <w:t>ООО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6243F3" w:rsidRPr="0093787C">
        <w:rPr>
          <w:rFonts w:ascii="Times New Roman" w:hAnsi="Times New Roman"/>
          <w:sz w:val="28"/>
          <w:szCs w:val="28"/>
        </w:rPr>
        <w:t>«Гамма»</w:t>
      </w:r>
    </w:p>
    <w:p w:rsidR="006243F3" w:rsidRPr="0093787C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Период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проверки</w:t>
      </w:r>
      <w:r w:rsidR="006243F3" w:rsidRPr="0093787C">
        <w:rPr>
          <w:rFonts w:ascii="Times New Roman" w:hAnsi="Times New Roman"/>
          <w:sz w:val="28"/>
          <w:szCs w:val="28"/>
        </w:rPr>
        <w:t>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6243F3" w:rsidRPr="0093787C">
        <w:rPr>
          <w:rFonts w:ascii="Times New Roman" w:hAnsi="Times New Roman"/>
          <w:sz w:val="28"/>
          <w:szCs w:val="28"/>
        </w:rPr>
        <w:t>01.02.2007-31.03.2007гг</w:t>
      </w:r>
      <w:r w:rsidR="0093787C">
        <w:rPr>
          <w:rFonts w:ascii="Times New Roman" w:hAnsi="Times New Roman"/>
          <w:sz w:val="28"/>
          <w:szCs w:val="28"/>
        </w:rPr>
        <w:t xml:space="preserve"> </w:t>
      </w:r>
    </w:p>
    <w:p w:rsidR="00FB4DED" w:rsidRDefault="00FB4DED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Ответственное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ревизию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лицо</w:t>
      </w:r>
      <w:r w:rsidR="006243F3" w:rsidRPr="0093787C">
        <w:rPr>
          <w:rFonts w:ascii="Times New Roman" w:hAnsi="Times New Roman"/>
          <w:sz w:val="28"/>
          <w:szCs w:val="28"/>
        </w:rPr>
        <w:t>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6243F3" w:rsidRPr="0093787C">
        <w:rPr>
          <w:rFonts w:ascii="Times New Roman" w:hAnsi="Times New Roman"/>
          <w:sz w:val="28"/>
          <w:szCs w:val="28"/>
        </w:rPr>
        <w:t>Суслова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="006243F3" w:rsidRPr="0093787C">
        <w:rPr>
          <w:rFonts w:ascii="Times New Roman" w:hAnsi="Times New Roman"/>
          <w:sz w:val="28"/>
          <w:szCs w:val="28"/>
        </w:rPr>
        <w:t>К.В.</w:t>
      </w:r>
    </w:p>
    <w:p w:rsidR="0093787C" w:rsidRPr="0093787C" w:rsidRDefault="0093787C" w:rsidP="009378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16"/>
        <w:gridCol w:w="2452"/>
        <w:gridCol w:w="3184"/>
      </w:tblGrid>
      <w:tr w:rsidR="00FB4DED" w:rsidRPr="0093787C" w:rsidTr="001E4739">
        <w:tc>
          <w:tcPr>
            <w:tcW w:w="648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№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16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Суть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характер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выявленного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нарушения</w:t>
            </w:r>
          </w:p>
        </w:tc>
        <w:tc>
          <w:tcPr>
            <w:tcW w:w="2452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Нарушенные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нормативные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документы</w:t>
            </w:r>
          </w:p>
        </w:tc>
        <w:tc>
          <w:tcPr>
            <w:tcW w:w="3184" w:type="dxa"/>
          </w:tcPr>
          <w:p w:rsidR="00FB4DED" w:rsidRPr="0093787C" w:rsidRDefault="00FB4DED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Рекомендации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ревизора</w:t>
            </w:r>
          </w:p>
        </w:tc>
      </w:tr>
      <w:tr w:rsidR="00FB4DED" w:rsidRPr="0093787C" w:rsidTr="001E4739">
        <w:tc>
          <w:tcPr>
            <w:tcW w:w="648" w:type="dxa"/>
          </w:tcPr>
          <w:p w:rsidR="00FB4DED" w:rsidRPr="0093787C" w:rsidRDefault="000D4D42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6" w:type="dxa"/>
          </w:tcPr>
          <w:p w:rsidR="0066669B" w:rsidRPr="0093787C" w:rsidRDefault="0066669B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Неверный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учет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фактической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себестоимости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МПЗ,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феврале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2007года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-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4DED" w:rsidRPr="0093787C" w:rsidRDefault="0066669B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18500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52" w:type="dxa"/>
          </w:tcPr>
          <w:p w:rsidR="00FB4DED" w:rsidRPr="0093787C" w:rsidRDefault="0066669B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Минфина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РФ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09.06.01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№44н,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ред.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Приказов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Минфина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РФ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27.11.06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№156н,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26.03.07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№26н,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ПБУ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5/01</w:t>
            </w:r>
          </w:p>
        </w:tc>
        <w:tc>
          <w:tcPr>
            <w:tcW w:w="3184" w:type="dxa"/>
          </w:tcPr>
          <w:p w:rsidR="0066669B" w:rsidRPr="0093787C" w:rsidRDefault="0066669B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Транспортные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расходы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признаются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суммой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фактической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себестоимости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МПЗ,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приобретенных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за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плату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организации,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согласно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ПБУ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5/01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п.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B4DED" w:rsidRPr="0093787C" w:rsidRDefault="0066669B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Дт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10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Кт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60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18500руб.</w:t>
            </w:r>
          </w:p>
        </w:tc>
      </w:tr>
      <w:tr w:rsidR="00FB4DED" w:rsidRPr="0093787C" w:rsidTr="001E4739">
        <w:tc>
          <w:tcPr>
            <w:tcW w:w="648" w:type="dxa"/>
          </w:tcPr>
          <w:p w:rsidR="00FB4DED" w:rsidRPr="0093787C" w:rsidRDefault="000D4D42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16" w:type="dxa"/>
          </w:tcPr>
          <w:p w:rsidR="00FB4DED" w:rsidRPr="0093787C" w:rsidRDefault="006243F3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Неправильно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69B" w:rsidRPr="0093787C">
              <w:rPr>
                <w:rFonts w:ascii="Times New Roman" w:hAnsi="Times New Roman"/>
                <w:sz w:val="20"/>
                <w:szCs w:val="20"/>
              </w:rPr>
              <w:t>указана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списании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производство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69B" w:rsidRPr="0093787C">
              <w:rPr>
                <w:rFonts w:ascii="Times New Roman" w:hAnsi="Times New Roman"/>
                <w:sz w:val="20"/>
                <w:szCs w:val="20"/>
              </w:rPr>
              <w:t>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69B" w:rsidRPr="0093787C">
              <w:rPr>
                <w:rFonts w:ascii="Times New Roman" w:hAnsi="Times New Roman"/>
                <w:sz w:val="20"/>
                <w:szCs w:val="20"/>
              </w:rPr>
              <w:t>марте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2007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69B" w:rsidRPr="0093787C">
              <w:rPr>
                <w:rFonts w:ascii="Times New Roman" w:hAnsi="Times New Roman"/>
                <w:sz w:val="20"/>
                <w:szCs w:val="20"/>
              </w:rPr>
              <w:t>–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69B" w:rsidRPr="0093787C">
              <w:rPr>
                <w:rFonts w:ascii="Times New Roman" w:hAnsi="Times New Roman"/>
                <w:sz w:val="20"/>
                <w:szCs w:val="20"/>
              </w:rPr>
              <w:t>18500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69B" w:rsidRPr="0093787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52" w:type="dxa"/>
          </w:tcPr>
          <w:p w:rsidR="00FB4DED" w:rsidRPr="0093787C" w:rsidRDefault="0066669B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Минфина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РФ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09.06.01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№44н,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ред.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Приказов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Минфина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РФ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27.11.06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№156н,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26.03.07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№26н,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ПБУ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5/01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</w:tcPr>
          <w:p w:rsidR="0066669B" w:rsidRPr="0093787C" w:rsidRDefault="0066669B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списанных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в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производство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МПЗ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должна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быть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равна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сумме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фактических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себестоимости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МПЗ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организации,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приобретенных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за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плату,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согласно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ПБУ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5/01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п.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B4DED" w:rsidRPr="0093787C" w:rsidRDefault="0066669B" w:rsidP="0093787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87C">
              <w:rPr>
                <w:rFonts w:ascii="Times New Roman" w:hAnsi="Times New Roman"/>
                <w:sz w:val="20"/>
                <w:szCs w:val="20"/>
              </w:rPr>
              <w:t>Дт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20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Кт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10</w:t>
            </w:r>
            <w:r w:rsidR="0093787C" w:rsidRPr="00937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87C">
              <w:rPr>
                <w:rFonts w:ascii="Times New Roman" w:hAnsi="Times New Roman"/>
                <w:sz w:val="20"/>
                <w:szCs w:val="20"/>
              </w:rPr>
              <w:t>18500руб</w:t>
            </w:r>
          </w:p>
        </w:tc>
      </w:tr>
    </w:tbl>
    <w:p w:rsidR="00001B99" w:rsidRPr="0093787C" w:rsidRDefault="0093787C" w:rsidP="0093787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1" w:name="_Toc214165928"/>
      <w:bookmarkStart w:id="12" w:name="_Toc214165992"/>
      <w:bookmarkStart w:id="13" w:name="_Toc215289825"/>
      <w:r>
        <w:rPr>
          <w:rFonts w:ascii="Times New Roman" w:hAnsi="Times New Roman"/>
          <w:b w:val="0"/>
          <w:sz w:val="28"/>
          <w:szCs w:val="28"/>
        </w:rPr>
        <w:br w:type="page"/>
      </w:r>
      <w:r w:rsidR="00001B99" w:rsidRPr="0093787C">
        <w:rPr>
          <w:rFonts w:ascii="Times New Roman" w:hAnsi="Times New Roman"/>
          <w:sz w:val="28"/>
          <w:szCs w:val="28"/>
        </w:rPr>
        <w:t>Список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литературы:</w:t>
      </w:r>
      <w:bookmarkEnd w:id="11"/>
      <w:bookmarkEnd w:id="12"/>
      <w:bookmarkEnd w:id="13"/>
    </w:p>
    <w:p w:rsidR="0093787C" w:rsidRPr="0093787C" w:rsidRDefault="0093787C" w:rsidP="0093787C"/>
    <w:p w:rsidR="006F1BB8" w:rsidRPr="0093787C" w:rsidRDefault="00001B99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Гражданский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кодекс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Российской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Федерации: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часть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первая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30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ноября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1994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№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51-ФЗ,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часть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вторая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26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января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1996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№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14-ФЗ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часть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третья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26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ноября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2001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№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146-ФЗ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(с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изменениями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февраля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2006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г.).</w:t>
      </w:r>
    </w:p>
    <w:p w:rsidR="006F1BB8" w:rsidRPr="0093787C" w:rsidRDefault="0093787C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Налоговый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Федерации: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146-ФЗ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вторая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117-ФЗ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г.).</w:t>
      </w:r>
    </w:p>
    <w:p w:rsidR="006F1BB8" w:rsidRPr="0093787C" w:rsidRDefault="0093787C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197-ФЗ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г.)</w:t>
      </w:r>
    </w:p>
    <w:p w:rsidR="006F1BB8" w:rsidRPr="0093787C" w:rsidRDefault="0093787C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1996г.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129-ФЗ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бухгалтерском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учете»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86-ФЗ).</w:t>
      </w:r>
    </w:p>
    <w:p w:rsidR="006F1BB8" w:rsidRPr="0093787C" w:rsidRDefault="00001B99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Федеральный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закон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Российской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Федерации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31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мая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2001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№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73-ФЗ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"О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государственной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судебно-экспертной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деятельности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в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Российской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Федерации"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(с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изменениями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от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30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декабря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2001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г.).</w:t>
      </w:r>
    </w:p>
    <w:p w:rsidR="006F1BB8" w:rsidRPr="0093787C" w:rsidRDefault="0093787C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119-ФЗ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аудиторской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1B99" w:rsidRPr="0093787C">
        <w:rPr>
          <w:rFonts w:ascii="Times New Roman" w:hAnsi="Times New Roman"/>
          <w:sz w:val="28"/>
          <w:szCs w:val="28"/>
        </w:rPr>
        <w:t>219-ФЗ).</w:t>
      </w:r>
    </w:p>
    <w:p w:rsidR="006F1BB8" w:rsidRPr="0093787C" w:rsidRDefault="0093787C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42н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ревизии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контрольно-ревизионными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Федерации».</w:t>
      </w:r>
    </w:p>
    <w:p w:rsidR="00001B99" w:rsidRPr="0093787C" w:rsidRDefault="0093787C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бухгалтерскому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учету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"Учет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материально-производственных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запасов"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(ПБУ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5/01),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утвержденное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2001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44н.</w:t>
      </w:r>
    </w:p>
    <w:p w:rsidR="006F1BB8" w:rsidRPr="0093787C" w:rsidRDefault="006F1BB8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>Аудит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и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ревизия: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Учебник/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Г.М.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Пупко.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–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Мн.: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Книжный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Дом;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Мисанта,</w:t>
      </w:r>
      <w:r w:rsidR="0093787C">
        <w:rPr>
          <w:rFonts w:ascii="Times New Roman" w:hAnsi="Times New Roman"/>
          <w:sz w:val="28"/>
          <w:szCs w:val="28"/>
        </w:rPr>
        <w:t xml:space="preserve"> </w:t>
      </w:r>
      <w:r w:rsidRPr="0093787C">
        <w:rPr>
          <w:rFonts w:ascii="Times New Roman" w:hAnsi="Times New Roman"/>
          <w:sz w:val="28"/>
          <w:szCs w:val="28"/>
        </w:rPr>
        <w:t>2005</w:t>
      </w:r>
    </w:p>
    <w:p w:rsidR="006F1BB8" w:rsidRPr="0093787C" w:rsidRDefault="0093787C" w:rsidP="009378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Голощапов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Н.А.,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Соколов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А.А.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Контроль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и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ревизия.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–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М.: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Издательство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«Альфа-Пресс»,</w:t>
      </w:r>
      <w:r w:rsidRPr="0093787C">
        <w:rPr>
          <w:rFonts w:ascii="Times New Roman" w:hAnsi="Times New Roman"/>
          <w:sz w:val="28"/>
          <w:szCs w:val="28"/>
        </w:rPr>
        <w:t xml:space="preserve"> </w:t>
      </w:r>
      <w:r w:rsidR="006F1BB8" w:rsidRPr="0093787C">
        <w:rPr>
          <w:rFonts w:ascii="Times New Roman" w:hAnsi="Times New Roman"/>
          <w:sz w:val="28"/>
          <w:szCs w:val="28"/>
        </w:rPr>
        <w:t>2007</w:t>
      </w:r>
      <w:bookmarkStart w:id="14" w:name="_GoBack"/>
      <w:bookmarkEnd w:id="14"/>
    </w:p>
    <w:sectPr w:rsidR="006F1BB8" w:rsidRPr="0093787C" w:rsidSect="00937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9A" w:rsidRDefault="00107E9A" w:rsidP="006F1BB8">
      <w:pPr>
        <w:spacing w:after="0" w:line="240" w:lineRule="auto"/>
      </w:pPr>
      <w:r>
        <w:separator/>
      </w:r>
    </w:p>
  </w:endnote>
  <w:endnote w:type="continuationSeparator" w:id="0">
    <w:p w:rsidR="00107E9A" w:rsidRDefault="00107E9A" w:rsidP="006F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B1" w:rsidRDefault="00053BB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B1" w:rsidRDefault="001F63FD">
    <w:pPr>
      <w:pStyle w:val="ab"/>
      <w:jc w:val="right"/>
    </w:pPr>
    <w:r>
      <w:rPr>
        <w:noProof/>
      </w:rPr>
      <w:t>1</w:t>
    </w:r>
  </w:p>
  <w:p w:rsidR="00053BB1" w:rsidRDefault="00053BB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B1" w:rsidRDefault="00053B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9A" w:rsidRDefault="00107E9A" w:rsidP="006F1BB8">
      <w:pPr>
        <w:spacing w:after="0" w:line="240" w:lineRule="auto"/>
      </w:pPr>
      <w:r>
        <w:separator/>
      </w:r>
    </w:p>
  </w:footnote>
  <w:footnote w:type="continuationSeparator" w:id="0">
    <w:p w:rsidR="00107E9A" w:rsidRDefault="00107E9A" w:rsidP="006F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B1" w:rsidRDefault="00053B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B1" w:rsidRDefault="00053BB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B1" w:rsidRDefault="00053B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02D2"/>
    <w:multiLevelType w:val="hybridMultilevel"/>
    <w:tmpl w:val="CDDE5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C556C5"/>
    <w:multiLevelType w:val="hybridMultilevel"/>
    <w:tmpl w:val="76BCA8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AD0967"/>
    <w:multiLevelType w:val="hybridMultilevel"/>
    <w:tmpl w:val="6DB6495C"/>
    <w:lvl w:ilvl="0" w:tplc="5B6CC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86C"/>
    <w:rsid w:val="00001B99"/>
    <w:rsid w:val="00053BB1"/>
    <w:rsid w:val="000604AB"/>
    <w:rsid w:val="00085DAE"/>
    <w:rsid w:val="000B6847"/>
    <w:rsid w:val="000D4D42"/>
    <w:rsid w:val="000F0409"/>
    <w:rsid w:val="00107E9A"/>
    <w:rsid w:val="001E4739"/>
    <w:rsid w:val="001F63FD"/>
    <w:rsid w:val="002460F8"/>
    <w:rsid w:val="00261EFC"/>
    <w:rsid w:val="002944CC"/>
    <w:rsid w:val="00341434"/>
    <w:rsid w:val="00382A3D"/>
    <w:rsid w:val="003A53F9"/>
    <w:rsid w:val="003C68C4"/>
    <w:rsid w:val="004444CD"/>
    <w:rsid w:val="004D3CDD"/>
    <w:rsid w:val="0052061D"/>
    <w:rsid w:val="005363FE"/>
    <w:rsid w:val="0054315B"/>
    <w:rsid w:val="005A5CFA"/>
    <w:rsid w:val="006243F3"/>
    <w:rsid w:val="00631E50"/>
    <w:rsid w:val="0066669B"/>
    <w:rsid w:val="006E7EE6"/>
    <w:rsid w:val="006F1BB8"/>
    <w:rsid w:val="00763772"/>
    <w:rsid w:val="00850076"/>
    <w:rsid w:val="0085782B"/>
    <w:rsid w:val="008C5AB1"/>
    <w:rsid w:val="0093787C"/>
    <w:rsid w:val="009A7FE7"/>
    <w:rsid w:val="009B0650"/>
    <w:rsid w:val="009F24A5"/>
    <w:rsid w:val="00A93299"/>
    <w:rsid w:val="00B70FAB"/>
    <w:rsid w:val="00B92300"/>
    <w:rsid w:val="00BB5B88"/>
    <w:rsid w:val="00BE386C"/>
    <w:rsid w:val="00C21706"/>
    <w:rsid w:val="00D24379"/>
    <w:rsid w:val="00D515DF"/>
    <w:rsid w:val="00D9780A"/>
    <w:rsid w:val="00EC7B15"/>
    <w:rsid w:val="00FB4DED"/>
    <w:rsid w:val="00FB75C4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B624E1-1B13-48A2-8741-068A1BAA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1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1B9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table" w:styleId="a3">
    <w:name w:val="Table Grid"/>
    <w:basedOn w:val="a1"/>
    <w:uiPriority w:val="59"/>
    <w:rsid w:val="00FB4D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F1BB8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6F1BB8"/>
    <w:rPr>
      <w:rFonts w:cs="Times New Roman"/>
      <w:lang w:val="x-none" w:eastAsia="en-US"/>
    </w:rPr>
  </w:style>
  <w:style w:type="character" w:styleId="a6">
    <w:name w:val="footnote reference"/>
    <w:uiPriority w:val="99"/>
    <w:semiHidden/>
    <w:unhideWhenUsed/>
    <w:rsid w:val="006F1BB8"/>
    <w:rPr>
      <w:rFonts w:cs="Times New Roman"/>
      <w:vertAlign w:val="superscript"/>
    </w:rPr>
  </w:style>
  <w:style w:type="paragraph" w:styleId="a7">
    <w:name w:val="TOC Heading"/>
    <w:basedOn w:val="1"/>
    <w:next w:val="a"/>
    <w:uiPriority w:val="39"/>
    <w:semiHidden/>
    <w:unhideWhenUsed/>
    <w:qFormat/>
    <w:rsid w:val="006F1B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F1BB8"/>
  </w:style>
  <w:style w:type="character" w:styleId="a8">
    <w:name w:val="Hyperlink"/>
    <w:uiPriority w:val="99"/>
    <w:unhideWhenUsed/>
    <w:rsid w:val="006F1BB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53B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53BB1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053B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53BB1"/>
    <w:rPr>
      <w:rFonts w:cs="Times New Roman"/>
      <w:sz w:val="22"/>
      <w:szCs w:val="22"/>
      <w:lang w:val="x-none" w:eastAsia="en-US"/>
    </w:rPr>
  </w:style>
  <w:style w:type="paragraph" w:styleId="ad">
    <w:name w:val="Balloon Text"/>
    <w:basedOn w:val="a"/>
    <w:link w:val="ae"/>
    <w:uiPriority w:val="99"/>
    <w:semiHidden/>
    <w:unhideWhenUsed/>
    <w:rsid w:val="000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53BB1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6CB7-2C9E-41CC-8267-BBA3EEB4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Котофейка</dc:creator>
  <cp:keywords/>
  <dc:description/>
  <cp:lastModifiedBy>admin</cp:lastModifiedBy>
  <cp:revision>2</cp:revision>
  <cp:lastPrinted>2008-11-11T13:37:00Z</cp:lastPrinted>
  <dcterms:created xsi:type="dcterms:W3CDTF">2014-03-04T01:53:00Z</dcterms:created>
  <dcterms:modified xsi:type="dcterms:W3CDTF">2014-03-04T01:53:00Z</dcterms:modified>
</cp:coreProperties>
</file>