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A6" w:rsidRPr="00FD27A6" w:rsidRDefault="0069793F" w:rsidP="00FD27A6">
      <w:pPr>
        <w:pStyle w:val="2"/>
      </w:pPr>
      <w:r w:rsidRPr="00FD27A6">
        <w:t xml:space="preserve">Типовые компоновки </w:t>
      </w:r>
      <w:r w:rsidR="00FD27A6" w:rsidRPr="00FD27A6">
        <w:t>роботизированных технологических комплексов</w:t>
      </w:r>
      <w:r w:rsidR="00FD27A6">
        <w:t xml:space="preserve"> (</w:t>
      </w:r>
      <w:r w:rsidRPr="00FD27A6">
        <w:t>РТК</w:t>
      </w:r>
      <w:r w:rsidR="00FD27A6" w:rsidRPr="00FD27A6">
        <w:t xml:space="preserve">) </w:t>
      </w:r>
      <w:r w:rsidRPr="00FD27A6">
        <w:t>сборки</w:t>
      </w:r>
    </w:p>
    <w:p w:rsidR="00FD27A6" w:rsidRDefault="00FD27A6" w:rsidP="00FD27A6">
      <w:pPr>
        <w:ind w:firstLine="709"/>
      </w:pPr>
    </w:p>
    <w:p w:rsidR="00FD27A6" w:rsidRDefault="0069793F" w:rsidP="00FD27A6">
      <w:pPr>
        <w:ind w:firstLine="709"/>
      </w:pPr>
      <w:r w:rsidRPr="00FD27A6">
        <w:t>Процессу внедрения промышленных роботов</w:t>
      </w:r>
      <w:r w:rsidR="00FD27A6">
        <w:t xml:space="preserve"> (</w:t>
      </w:r>
      <w:r w:rsidRPr="00FD27A6">
        <w:t>ПР</w:t>
      </w:r>
      <w:r w:rsidR="00FD27A6" w:rsidRPr="00FD27A6">
        <w:t xml:space="preserve">) </w:t>
      </w:r>
      <w:r w:rsidRPr="00FD27A6">
        <w:t>в производство предшествует этап технологической подготовки, связанный со спецификой использования робота</w:t>
      </w:r>
      <w:r w:rsidR="00FD27A6" w:rsidRPr="00FD27A6">
        <w:t xml:space="preserve">. </w:t>
      </w:r>
      <w:r w:rsidRPr="00FD27A6">
        <w:t>Эта специфика существенным образом отражается на компоновке оборудования РТСК</w:t>
      </w:r>
      <w:r w:rsidR="00FD27A6" w:rsidRPr="00FD27A6">
        <w:t xml:space="preserve">. </w:t>
      </w:r>
      <w:r w:rsidRPr="00FD27A6">
        <w:t>Возможны два варианта компоновки</w:t>
      </w:r>
      <w:r w:rsidR="00FD27A6" w:rsidRPr="00FD27A6">
        <w:t>:</w:t>
      </w:r>
    </w:p>
    <w:p w:rsidR="00FD27A6" w:rsidRDefault="0069793F" w:rsidP="00FD27A6">
      <w:pPr>
        <w:ind w:firstLine="709"/>
      </w:pPr>
      <w:r w:rsidRPr="00FD27A6">
        <w:t>1</w:t>
      </w:r>
      <w:r w:rsidR="00FD27A6" w:rsidRPr="00FD27A6">
        <w:t xml:space="preserve">) </w:t>
      </w:r>
      <w:r w:rsidRPr="00FD27A6">
        <w:t>ПР встраивается в существующую технологическую линию, когда требуется большая универсальность самого робота и наличие у него элементов адаптации, а также доработка технологического оборудования под применяемый тип робота</w:t>
      </w:r>
      <w:r w:rsidR="00FD27A6" w:rsidRPr="00FD27A6">
        <w:t>;</w:t>
      </w:r>
    </w:p>
    <w:p w:rsidR="00FD27A6" w:rsidRDefault="0069793F" w:rsidP="00FD27A6">
      <w:pPr>
        <w:ind w:firstLine="709"/>
      </w:pPr>
      <w:r w:rsidRPr="00FD27A6">
        <w:t>2</w:t>
      </w:r>
      <w:r w:rsidR="00FD27A6" w:rsidRPr="00FD27A6">
        <w:t xml:space="preserve">) </w:t>
      </w:r>
      <w:r w:rsidRPr="00FD27A6">
        <w:t>ПР проектируется совместно с технологической линией как составная часть сборочного технологического оборудования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Последний вариант наиболее рационален и перспективен, так как позволяет в максимальной степени использовать преимущества модульного принципа построения ПР и принцип агрегатирования из унифицированных элементов при создании РТСК</w:t>
      </w:r>
      <w:r w:rsidR="00FD27A6" w:rsidRPr="00FD27A6">
        <w:t xml:space="preserve">. </w:t>
      </w:r>
      <w:r w:rsidRPr="00FD27A6">
        <w:t>Особое значение этот фактор имеет при разработке РТСК, учитывая разнообразие сборочных процессов</w:t>
      </w:r>
      <w:r w:rsidR="00FD27A6" w:rsidRPr="00FD27A6">
        <w:t xml:space="preserve">. </w:t>
      </w:r>
      <w:r w:rsidRPr="00FD27A6">
        <w:t>Особенности роботизируемого процесса оказывают одновременно влияние и на кинематику обслуживающих роботов, и на размещение технологического оборудования и компоновку ПСРТК в целом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 xml:space="preserve">Путем анализа сборочных операций, выполняемых с применением ПР, получено четыре типовых варианта компоновки сборочных РТК, представленные на </w:t>
      </w:r>
      <w:r w:rsidR="00FD27A6">
        <w:t>рис.1</w:t>
      </w:r>
      <w:r w:rsidR="00FD27A6" w:rsidRPr="00FD27A6">
        <w:t xml:space="preserve">. </w:t>
      </w:r>
      <w:r w:rsidRPr="00FD27A6">
        <w:t>Все РТК включают в себя следующие типовые элементы</w:t>
      </w:r>
      <w:r w:rsidR="00FD27A6" w:rsidRPr="00FD27A6">
        <w:t xml:space="preserve">: </w:t>
      </w:r>
      <w:r w:rsidRPr="00FD27A6">
        <w:t>ПР 2</w:t>
      </w:r>
      <w:r w:rsidR="00FD27A6" w:rsidRPr="00FD27A6">
        <w:t xml:space="preserve">; </w:t>
      </w:r>
      <w:r w:rsidRPr="00FD27A6">
        <w:t>рабочие позиции 4</w:t>
      </w:r>
      <w:r w:rsidR="00FD27A6">
        <w:t xml:space="preserve"> (</w:t>
      </w:r>
      <w:r w:rsidRPr="00FD27A6">
        <w:t>на которых выполняются операции сборки</w:t>
      </w:r>
      <w:r w:rsidR="00FD27A6" w:rsidRPr="00FD27A6">
        <w:t xml:space="preserve">); </w:t>
      </w:r>
      <w:r w:rsidRPr="00FD27A6">
        <w:t>питатели 1</w:t>
      </w:r>
      <w:r w:rsidR="00FD27A6">
        <w:t xml:space="preserve"> (</w:t>
      </w:r>
      <w:r w:rsidRPr="00FD27A6">
        <w:t>служащие для подачи собираемых деталей в ориентированном положении</w:t>
      </w:r>
      <w:r w:rsidR="00FD27A6" w:rsidRPr="00FD27A6">
        <w:t xml:space="preserve">); </w:t>
      </w:r>
      <w:r w:rsidRPr="00FD27A6">
        <w:t>магазины 3 с комплектами сборочных инструментов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В РТК</w:t>
      </w:r>
      <w:r w:rsidR="00FD27A6">
        <w:t xml:space="preserve"> (рис.1</w:t>
      </w:r>
      <w:r w:rsidRPr="00FD27A6">
        <w:t>, а</w:t>
      </w:r>
      <w:r w:rsidR="00FD27A6" w:rsidRPr="00FD27A6">
        <w:t xml:space="preserve">) </w:t>
      </w:r>
      <w:r w:rsidRPr="00FD27A6">
        <w:t>технологический процесс сборки делится на две операции, причем операция 2 выполняется по двум позициям</w:t>
      </w:r>
      <w:r w:rsidR="00FD27A6" w:rsidRPr="00FD27A6">
        <w:t xml:space="preserve">. </w:t>
      </w:r>
      <w:r w:rsidRPr="00FD27A6">
        <w:t>В связи с этим возникает необходимость в организации трех одинаковых позиций сборки для обеспечения требуемой производительности отдельных операций</w:t>
      </w:r>
      <w:r w:rsidR="00FD27A6" w:rsidRPr="00FD27A6">
        <w:t xml:space="preserve">. </w:t>
      </w:r>
      <w:r w:rsidRPr="00FD27A6">
        <w:t>Передача полуфабрикатов после выполнения операции 1 на позицию, где выполняется операция 2, осуществляется</w:t>
      </w:r>
      <w:r w:rsidR="00FD27A6">
        <w:t xml:space="preserve"> (</w:t>
      </w:r>
      <w:r w:rsidRPr="00FD27A6">
        <w:t>в таре</w:t>
      </w:r>
      <w:r w:rsidR="00FD27A6" w:rsidRPr="00FD27A6">
        <w:t xml:space="preserve">) </w:t>
      </w:r>
      <w:r w:rsidRPr="00FD27A6">
        <w:t>общецеховым транспортом</w:t>
      </w:r>
      <w:r w:rsidR="00FD27A6" w:rsidRPr="00FD27A6">
        <w:t xml:space="preserve">. </w:t>
      </w:r>
      <w:r w:rsidRPr="00FD27A6">
        <w:t>Такая компоновка обеспечивает сокращение простоев оборудования и, как следствие, повышение производительности РТК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В РТК</w:t>
      </w:r>
      <w:r w:rsidR="00FD27A6">
        <w:t xml:space="preserve"> (рис.1</w:t>
      </w:r>
      <w:r w:rsidRPr="00FD27A6">
        <w:t>, б</w:t>
      </w:r>
      <w:r w:rsidR="00FD27A6" w:rsidRPr="00FD27A6">
        <w:t xml:space="preserve">) </w:t>
      </w:r>
      <w:r w:rsidRPr="00FD27A6">
        <w:t>один ПР последовательно выполняет все операции сборки до получения полностью собранного изделия</w:t>
      </w:r>
      <w:r w:rsidR="00FD27A6" w:rsidRPr="00FD27A6">
        <w:t xml:space="preserve">. </w:t>
      </w:r>
      <w:r w:rsidRPr="00FD27A6">
        <w:t>При такой компоновке используют универсальные ПР и рабочие позиции в целях их быстрой переналадки при переходе на сборку другого изделия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В РТК</w:t>
      </w:r>
      <w:r w:rsidR="00FD27A6">
        <w:t xml:space="preserve"> (рис.1</w:t>
      </w:r>
      <w:r w:rsidRPr="00FD27A6">
        <w:t>, в</w:t>
      </w:r>
      <w:r w:rsidR="00FD27A6" w:rsidRPr="00FD27A6">
        <w:t xml:space="preserve">) </w:t>
      </w:r>
      <w:r w:rsidRPr="00FD27A6">
        <w:t>используют специальные ПР упрощенной конструкции с небольшим числом степеней подвижности</w:t>
      </w:r>
      <w:r w:rsidR="00FD27A6" w:rsidRPr="00FD27A6">
        <w:t xml:space="preserve">. </w:t>
      </w:r>
      <w:r w:rsidRPr="00FD27A6">
        <w:t>Собираемые детали перемещаются транспортером 5 между несколькими позициями сборки, работающими параллельно</w:t>
      </w:r>
      <w:r w:rsidR="00FD27A6" w:rsidRPr="00FD27A6">
        <w:t xml:space="preserve">. </w:t>
      </w:r>
      <w:r w:rsidRPr="00FD27A6">
        <w:t>Линейное расположение оборудования обеспечивает выполнение технологических функций и пустоту транспортной системы</w:t>
      </w:r>
      <w:r w:rsidR="00FD27A6" w:rsidRPr="00FD27A6">
        <w:t xml:space="preserve">. </w:t>
      </w:r>
      <w:r w:rsidRPr="00FD27A6">
        <w:t>Жесткая связь между рабочими позициями обусловливает остановку РТК при выходе из строя ПР или другого оборудования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Особенностью РТК</w:t>
      </w:r>
      <w:r w:rsidR="00FD27A6">
        <w:t xml:space="preserve"> (рис.1</w:t>
      </w:r>
      <w:r w:rsidRPr="00FD27A6">
        <w:t>, г</w:t>
      </w:r>
      <w:r w:rsidR="00FD27A6" w:rsidRPr="00FD27A6">
        <w:t xml:space="preserve">) </w:t>
      </w:r>
      <w:r w:rsidRPr="00FD27A6">
        <w:t>является то, что сборочные операции</w:t>
      </w:r>
      <w:r w:rsidR="00FD27A6">
        <w:t xml:space="preserve"> (</w:t>
      </w:r>
      <w:r w:rsidRPr="00FD27A6">
        <w:t>с учетом их специфики</w:t>
      </w:r>
      <w:r w:rsidR="00FD27A6" w:rsidRPr="00FD27A6">
        <w:t xml:space="preserve">) </w:t>
      </w:r>
      <w:r w:rsidRPr="00FD27A6">
        <w:t>максимально сконцентрированы на отдельных рабочих позициях, причем на ряде позиций сборочные операции выполняются одновременно несколькими ПР</w:t>
      </w:r>
      <w:r w:rsidR="00FD27A6" w:rsidRPr="00FD27A6">
        <w:t xml:space="preserve">. </w:t>
      </w:r>
      <w:r w:rsidRPr="00FD27A6">
        <w:t>Транспортирование полуфабрикатов между рабочими позициями 4 осуществляется конвейером 5</w:t>
      </w:r>
      <w:r w:rsidR="00FD27A6" w:rsidRPr="00FD27A6">
        <w:t xml:space="preserve">. </w:t>
      </w:r>
      <w:r w:rsidRPr="00FD27A6">
        <w:t>Связь между отдельными рабочими позициями гибкая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Варианты компоновки РТСК</w:t>
      </w:r>
      <w:r w:rsidR="00FD27A6" w:rsidRPr="00FD27A6">
        <w:t xml:space="preserve">. </w:t>
      </w:r>
      <w:r w:rsidRPr="00FD27A6">
        <w:t xml:space="preserve">На </w:t>
      </w:r>
      <w:r w:rsidR="00FD27A6">
        <w:t>рис.2</w:t>
      </w:r>
      <w:r w:rsidRPr="00FD27A6">
        <w:t>, а оборудование расставлено по дуге окружности, и для его обслуживания плечо робота 4 осуществляет возвратно-поступательные и вращательные движения</w:t>
      </w:r>
      <w:r w:rsidR="00FD27A6" w:rsidRPr="00FD27A6">
        <w:t xml:space="preserve">. </w:t>
      </w:r>
      <w:r w:rsidRPr="00FD27A6">
        <w:t>При переукладке деталей</w:t>
      </w:r>
      <w:r w:rsidR="00FD27A6">
        <w:t xml:space="preserve"> (</w:t>
      </w:r>
      <w:r w:rsidRPr="00FD27A6">
        <w:t>узлов</w:t>
      </w:r>
      <w:r w:rsidR="00FD27A6" w:rsidRPr="00FD27A6">
        <w:t xml:space="preserve">) </w:t>
      </w:r>
      <w:r w:rsidRPr="00FD27A6">
        <w:t>с подводящего конвейера</w:t>
      </w:r>
      <w:r w:rsidR="00FD27A6">
        <w:t xml:space="preserve"> (</w:t>
      </w:r>
      <w:r w:rsidRPr="00FD27A6">
        <w:t>позиция А</w:t>
      </w:r>
      <w:r w:rsidR="00FD27A6" w:rsidRPr="00FD27A6">
        <w:t xml:space="preserve">) </w:t>
      </w:r>
      <w:r w:rsidRPr="00FD27A6">
        <w:t>на конвейер</w:t>
      </w:r>
      <w:r w:rsidR="00FD27A6">
        <w:t xml:space="preserve"> (</w:t>
      </w:r>
      <w:r w:rsidRPr="00FD27A6">
        <w:t>позиция D</w:t>
      </w:r>
      <w:r w:rsidR="00FD27A6" w:rsidRPr="00FD27A6">
        <w:t xml:space="preserve">) </w:t>
      </w:r>
      <w:r w:rsidRPr="00FD27A6">
        <w:t>стационарный робот 4 на фиксированных позициях 1, 2, 3 осуществляет сопутствующие, вспомогательные или контрольные операции</w:t>
      </w:r>
      <w:r w:rsidR="00FD27A6" w:rsidRPr="00FD27A6">
        <w:t xml:space="preserve">: </w:t>
      </w:r>
      <w:r w:rsidRPr="00FD27A6">
        <w:t>лужение, мойку, травление, гибку, рихтовку, контроль параметров и др</w:t>
      </w:r>
      <w:r w:rsidR="00FD27A6" w:rsidRPr="00FD27A6">
        <w:t xml:space="preserve">. </w:t>
      </w:r>
      <w:r w:rsidRPr="00FD27A6">
        <w:t xml:space="preserve">Компоновка комплекса по схеме </w:t>
      </w:r>
      <w:r w:rsidR="00FD27A6">
        <w:t>рис.2</w:t>
      </w:r>
      <w:r w:rsidRPr="00FD27A6">
        <w:t>, б предусматривает расположение оборудования в линию, и робот 4 снабжен модулем глобального перемещения между транспортными конвейерами А, В и D</w:t>
      </w:r>
      <w:r w:rsidR="00FD27A6" w:rsidRPr="00FD27A6">
        <w:t xml:space="preserve">. </w:t>
      </w:r>
      <w:r w:rsidRPr="00FD27A6">
        <w:t>Такая компоновка оборудования предполагает автоматизацию основных</w:t>
      </w:r>
      <w:r w:rsidR="00FD27A6">
        <w:t xml:space="preserve"> (5,6)</w:t>
      </w:r>
      <w:r w:rsidR="00FD27A6" w:rsidRPr="00FD27A6">
        <w:t xml:space="preserve"> </w:t>
      </w:r>
      <w:r w:rsidRPr="00FD27A6">
        <w:t>и вспомогательных</w:t>
      </w:r>
      <w:r w:rsidR="00FD27A6">
        <w:t xml:space="preserve"> (</w:t>
      </w:r>
      <w:r w:rsidRPr="00FD27A6">
        <w:t xml:space="preserve">1, </w:t>
      </w:r>
      <w:r w:rsidR="00FD27A6">
        <w:t>2,3)</w:t>
      </w:r>
      <w:r w:rsidR="00FD27A6" w:rsidRPr="00FD27A6">
        <w:t xml:space="preserve"> </w:t>
      </w:r>
      <w:r w:rsidRPr="00FD27A6">
        <w:t>операций, которые обслуживает робот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Наличие упорядоченной среды позволяет роботу 4</w:t>
      </w:r>
      <w:r w:rsidR="00FD27A6">
        <w:t xml:space="preserve"> (рис.2</w:t>
      </w:r>
      <w:r w:rsidRPr="00FD27A6">
        <w:t>, в</w:t>
      </w:r>
      <w:r w:rsidR="00FD27A6" w:rsidRPr="00FD27A6">
        <w:t xml:space="preserve">) </w:t>
      </w:r>
      <w:r w:rsidRPr="00FD27A6">
        <w:t>не только обслуживать ее, аналогично схеме</w:t>
      </w:r>
      <w:r w:rsidR="00FD27A6">
        <w:t xml:space="preserve"> (рис.2</w:t>
      </w:r>
      <w:r w:rsidRPr="00FD27A6">
        <w:t>, а</w:t>
      </w:r>
      <w:r w:rsidR="00FD27A6" w:rsidRPr="00FD27A6">
        <w:t>),</w:t>
      </w:r>
      <w:r w:rsidRPr="00FD27A6">
        <w:t xml:space="preserve"> но и транспортировать узел, укомплектованный на позициях 1, 2, 3, на позицию 5, 6 фиксирующей операции</w:t>
      </w:r>
      <w:r w:rsidR="00FD27A6">
        <w:t xml:space="preserve"> (</w:t>
      </w:r>
      <w:r w:rsidRPr="00FD27A6">
        <w:t>развальцовка, пайка, сварка, запрессовка</w:t>
      </w:r>
      <w:r w:rsidR="00FD27A6" w:rsidRPr="00FD27A6">
        <w:t>),</w:t>
      </w:r>
      <w:r w:rsidRPr="00FD27A6">
        <w:t xml:space="preserve"> операции контроля, подгонки, покраски и </w:t>
      </w:r>
      <w:r w:rsidR="00FD27A6">
        <w:t>т.п.</w:t>
      </w:r>
      <w:r w:rsidR="00FD27A6" w:rsidRPr="00FD27A6">
        <w:t xml:space="preserve"> </w:t>
      </w:r>
      <w:r w:rsidRPr="00FD27A6">
        <w:t>В отдельных случаях робот может выполнять эти операции самостоятельно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 xml:space="preserve">Если синхронизация транспортных и основных операций невозможна или когда время, отведенное на операцию, не позволяет осуществлять последовательную комплектацию сборочной единицы за счет повторных возвратно-поступательных и вращательных движений рабочих органов робота, то обслуживаемая среда организуется по схеме, показанной на </w:t>
      </w:r>
      <w:r w:rsidR="00FD27A6">
        <w:t>рис.2</w:t>
      </w:r>
      <w:r w:rsidRPr="00FD27A6">
        <w:t>, г</w:t>
      </w:r>
      <w:r w:rsidR="00FD27A6" w:rsidRPr="00FD27A6">
        <w:t xml:space="preserve">. </w:t>
      </w:r>
      <w:r w:rsidRPr="00FD27A6">
        <w:t>Здесь роботы 4 и 11 попеременно в синхронизированном ритме устанавливают на позицию сборки б укомплектованные сборочные единицы, которые окончательно собираются в изделие специализированным сборочным оборудованием или одним из роботов</w:t>
      </w:r>
      <w:r w:rsidR="00FD27A6" w:rsidRPr="00FD27A6">
        <w:t xml:space="preserve">. </w:t>
      </w:r>
      <w:r w:rsidRPr="00FD27A6">
        <w:t>Кассеты с комплектующими деталями подаются на позиции 1, 3, 8, 10 конвейерами А, В, А' и В'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Укомплектованной</w:t>
      </w:r>
      <w:r w:rsidR="00FD27A6">
        <w:t xml:space="preserve"> (</w:t>
      </w:r>
      <w:r w:rsidRPr="00FD27A6">
        <w:t>собранное</w:t>
      </w:r>
      <w:r w:rsidR="00FD27A6" w:rsidRPr="00FD27A6">
        <w:t xml:space="preserve">) </w:t>
      </w:r>
      <w:r w:rsidRPr="00FD27A6">
        <w:t>изделие поступает на отводящий конвейер D</w:t>
      </w:r>
      <w:r w:rsidR="00FD27A6" w:rsidRPr="00FD27A6">
        <w:t xml:space="preserve">. </w:t>
      </w:r>
      <w:r w:rsidRPr="00FD27A6">
        <w:t>Позиции 2, 5 и 7, 9 используются для выполнения вспомогательных и сопутствующих операций</w:t>
      </w:r>
      <w:r w:rsidR="00FD27A6" w:rsidRPr="00FD27A6">
        <w:t xml:space="preserve">. </w:t>
      </w:r>
      <w:r w:rsidRPr="00FD27A6">
        <w:t>Технологический цикл РТК может быть сокращен за счет уменьшения вспомогательного времени, вызванного загрузкой и разгрузкой рабочих машин и межпозиционным транспортированием объектов</w:t>
      </w:r>
      <w:r w:rsidR="00FD27A6">
        <w:t xml:space="preserve"> (</w:t>
      </w:r>
      <w:r w:rsidRPr="00FD27A6">
        <w:t>деталей, узлов</w:t>
      </w:r>
      <w:r w:rsidR="00FD27A6" w:rsidRPr="00FD27A6">
        <w:t xml:space="preserve">). </w:t>
      </w:r>
      <w:r w:rsidRPr="00FD27A6">
        <w:t>С этой целью используются двурукие ПР</w:t>
      </w:r>
      <w:r w:rsidR="00FD27A6">
        <w:t xml:space="preserve"> (рис.2</w:t>
      </w:r>
      <w:r w:rsidRPr="00FD27A6">
        <w:t>, д, е</w:t>
      </w:r>
      <w:r w:rsidR="00FD27A6" w:rsidRPr="00FD27A6">
        <w:t>),</w:t>
      </w:r>
      <w:r w:rsidRPr="00FD27A6">
        <w:t xml:space="preserve"> таким образом цикл обслуживания рабочих позиций сокращается вдвое за счет исключения двойных поворотных ходов плеч робота 4</w:t>
      </w:r>
      <w:r w:rsidR="00FD27A6" w:rsidRPr="00FD27A6">
        <w:t>.</w:t>
      </w:r>
    </w:p>
    <w:p w:rsidR="00FD27A6" w:rsidRDefault="00FD27A6" w:rsidP="00FD27A6">
      <w:pPr>
        <w:ind w:firstLine="709"/>
      </w:pPr>
    </w:p>
    <w:p w:rsidR="00FD27A6" w:rsidRPr="00FD27A6" w:rsidRDefault="007F45A6" w:rsidP="00FD27A6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483.75pt" fillcolor="window">
            <v:imagedata r:id="rId7" o:title="" gain="69719f" blacklevel="-9830f" grayscale="t" bilevel="t"/>
          </v:shape>
        </w:pict>
      </w:r>
    </w:p>
    <w:p w:rsidR="0069793F" w:rsidRDefault="00FD27A6" w:rsidP="00FD27A6">
      <w:pPr>
        <w:ind w:firstLine="709"/>
      </w:pPr>
      <w:r>
        <w:t>Рис.1</w:t>
      </w:r>
      <w:r w:rsidRPr="00FD27A6">
        <w:t xml:space="preserve"> - </w:t>
      </w:r>
      <w:r w:rsidR="0069793F" w:rsidRPr="00FD27A6">
        <w:t>Типовые варианты компоновок</w:t>
      </w:r>
      <w:r w:rsidRPr="00FD27A6">
        <w:t xml:space="preserve"> </w:t>
      </w:r>
      <w:r w:rsidR="0069793F" w:rsidRPr="00FD27A6">
        <w:t>сборочных РТК</w:t>
      </w:r>
    </w:p>
    <w:p w:rsidR="00FD27A6" w:rsidRPr="00FD27A6" w:rsidRDefault="00FD27A6" w:rsidP="00FD27A6">
      <w:pPr>
        <w:ind w:firstLine="709"/>
      </w:pPr>
    </w:p>
    <w:p w:rsidR="0069793F" w:rsidRPr="00FD27A6" w:rsidRDefault="007F45A6" w:rsidP="00FD27A6">
      <w:pPr>
        <w:ind w:firstLine="709"/>
      </w:pPr>
      <w:r>
        <w:pict>
          <v:shape id="_x0000_i1026" type="#_x0000_t75" style="width:343.5pt;height:404.25pt" fillcolor="window">
            <v:imagedata r:id="rId8" o:title="" gain="69719f" blacklevel="-7864f" grayscale="t" bilevel="t"/>
          </v:shape>
        </w:pict>
      </w:r>
    </w:p>
    <w:p w:rsidR="00FD27A6" w:rsidRDefault="00FD27A6" w:rsidP="00FD27A6">
      <w:pPr>
        <w:ind w:firstLine="709"/>
      </w:pPr>
      <w:r>
        <w:t>Рис.2</w:t>
      </w:r>
      <w:r w:rsidRPr="00FD27A6">
        <w:t xml:space="preserve"> - </w:t>
      </w:r>
      <w:r w:rsidR="0069793F" w:rsidRPr="00FD27A6">
        <w:t>Варианты компоновки РТСК</w:t>
      </w:r>
      <w:r w:rsidRPr="00FD27A6">
        <w:t>.</w:t>
      </w:r>
    </w:p>
    <w:p w:rsidR="00FD27A6" w:rsidRDefault="00FD27A6" w:rsidP="00FD27A6">
      <w:pPr>
        <w:ind w:firstLine="709"/>
      </w:pPr>
      <w:bookmarkStart w:id="0" w:name="_Toc128449304"/>
    </w:p>
    <w:p w:rsidR="0069793F" w:rsidRPr="00FD27A6" w:rsidRDefault="0069793F" w:rsidP="00FD27A6">
      <w:pPr>
        <w:pStyle w:val="2"/>
      </w:pPr>
      <w:r w:rsidRPr="00FD27A6">
        <w:t>Сборочные промышленные роботы, взаимодействующие с упорядоченной средой</w:t>
      </w:r>
      <w:bookmarkEnd w:id="0"/>
    </w:p>
    <w:p w:rsidR="00FD27A6" w:rsidRDefault="00FD27A6" w:rsidP="00FD27A6">
      <w:pPr>
        <w:ind w:firstLine="709"/>
      </w:pPr>
    </w:p>
    <w:p w:rsidR="00FD27A6" w:rsidRDefault="0069793F" w:rsidP="00FD27A6">
      <w:pPr>
        <w:ind w:firstLine="709"/>
      </w:pPr>
      <w:r w:rsidRPr="00FD27A6">
        <w:t>Для осуществления сборки могут применяться как универсальные роботы общепромышленного назначения, так и специализированные сборочные роботы</w:t>
      </w:r>
      <w:r w:rsidR="00FD27A6">
        <w:t xml:space="preserve"> (</w:t>
      </w:r>
      <w:r w:rsidRPr="00FD27A6">
        <w:t>СПР</w:t>
      </w:r>
      <w:r w:rsidR="00FD27A6" w:rsidRPr="00FD27A6">
        <w:t xml:space="preserve">). </w:t>
      </w:r>
      <w:r w:rsidRPr="00FD27A6">
        <w:t>Учитывая специфику сборочных работ, выражающуюся в необходимости точного позиционирования захватов, целесообразно стремиться к минимально необходимому числу степеней свободы</w:t>
      </w:r>
      <w:r w:rsidR="00FD27A6">
        <w:t xml:space="preserve"> (</w:t>
      </w:r>
      <w:r w:rsidRPr="00FD27A6">
        <w:t>не более пяти, иногда шести</w:t>
      </w:r>
      <w:r w:rsidR="00FD27A6" w:rsidRPr="00FD27A6">
        <w:t>).</w:t>
      </w:r>
    </w:p>
    <w:p w:rsidR="00FD27A6" w:rsidRDefault="0069793F" w:rsidP="00FD27A6">
      <w:pPr>
        <w:ind w:firstLine="709"/>
      </w:pPr>
      <w:r w:rsidRPr="00FD27A6">
        <w:t>Особое место среди СПР занимают роботы для перемещения объектов с массой не более 1 кг</w:t>
      </w:r>
      <w:r w:rsidR="00FD27A6" w:rsidRPr="00FD27A6">
        <w:t xml:space="preserve">. </w:t>
      </w:r>
      <w:r w:rsidRPr="00FD27A6">
        <w:t>Их называют промышленными минироботами</w:t>
      </w:r>
      <w:r w:rsidR="00FD27A6">
        <w:t xml:space="preserve"> (</w:t>
      </w:r>
      <w:r w:rsidRPr="00FD27A6">
        <w:t>ПМР</w:t>
      </w:r>
      <w:r w:rsidR="00FD27A6" w:rsidRPr="00FD27A6">
        <w:t xml:space="preserve">). </w:t>
      </w:r>
      <w:r w:rsidRPr="00FD27A6">
        <w:t>К этому классу СПР предъявляются требования высокой технологической и функциональной универсальности, повышенной точности дискретного позиционирования рабочих органов, агрегатного исполнения и др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Для обеспечения технологической и функциональной универсальности, которая позволяла бы использовать ПР в сборочных операциях, ПР должны обладать достаточно развитой структурой, что подтверждается наличием пяти степеней подвижности у ряда моделей</w:t>
      </w:r>
      <w:r w:rsidR="00FD27A6" w:rsidRPr="00FD27A6">
        <w:t xml:space="preserve">. </w:t>
      </w:r>
      <w:r w:rsidRPr="00FD27A6">
        <w:t>Исключение составляют специализированные роботы, работающие в прямоугольной системе координат и предназначенные только для выполнения сопутствующих или вспомогательных операций при сборке</w:t>
      </w:r>
      <w:r w:rsidR="00FD27A6" w:rsidRPr="00FD27A6">
        <w:t xml:space="preserve">. </w:t>
      </w:r>
      <w:r w:rsidRPr="00FD27A6">
        <w:t>Общим требованием к ПМР, используемым непосредственно для выполнения сборочных операций</w:t>
      </w:r>
      <w:r w:rsidR="00FD27A6">
        <w:t xml:space="preserve"> (</w:t>
      </w:r>
      <w:r w:rsidRPr="00FD27A6">
        <w:t>комплектация, сопряжение</w:t>
      </w:r>
      <w:r w:rsidR="00FD27A6" w:rsidRPr="00FD27A6">
        <w:t>),</w:t>
      </w:r>
      <w:r w:rsidRPr="00FD27A6">
        <w:t xml:space="preserve"> является обеспечение высокой точности позиционирования</w:t>
      </w:r>
      <w:r w:rsidR="00FD27A6" w:rsidRPr="00FD27A6">
        <w:t xml:space="preserve">. </w:t>
      </w:r>
      <w:r w:rsidRPr="00FD27A6">
        <w:t>Последнее обстоятельство особенно важно для сборочных ПР, работающих без элементов адаптации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Весьма важной характеристикой сборочных ПР является дискретность промежуточного позиционирования, обеспечиваемая применением цифровых линейных и поворотных приводов</w:t>
      </w:r>
      <w:r w:rsidR="00FD27A6" w:rsidRPr="00FD27A6">
        <w:t xml:space="preserve">. </w:t>
      </w:r>
      <w:r w:rsidRPr="00FD27A6">
        <w:t>Такими приводами снабжены роботы серии РС и ПМР, что позволяет успешно использовать их в условиях многоэлементной сборки соединений высокой точности</w:t>
      </w:r>
      <w:r w:rsidR="00FD27A6" w:rsidRPr="00FD27A6">
        <w:t xml:space="preserve">. </w:t>
      </w:r>
      <w:r w:rsidRPr="00FD27A6">
        <w:t>Наличие у модели РС-4 модуля технологических перемещений захвата позволяет повысить маневренность ПР при комплектации сборочного соединения, а также совмещать сопутствующие и основные операции на одном рабочем месте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Базовой для промышленных минироботов ПМР и РС является модель РС-4</w:t>
      </w:r>
      <w:r w:rsidR="00FD27A6" w:rsidRPr="00FD27A6">
        <w:t xml:space="preserve">. </w:t>
      </w:r>
      <w:r w:rsidRPr="00FD27A6">
        <w:t xml:space="preserve">Компоновка улучшенной модификации этой серии, модели РС-6, приведена на </w:t>
      </w:r>
      <w:r w:rsidR="00FD27A6">
        <w:t>рис.3</w:t>
      </w:r>
      <w:r w:rsidR="00FD27A6" w:rsidRPr="00FD27A6">
        <w:t xml:space="preserve">. </w:t>
      </w:r>
      <w:r w:rsidRPr="00FD27A6">
        <w:t>Робот состоит из двух основных модулей</w:t>
      </w:r>
      <w:r w:rsidR="00FD27A6" w:rsidRPr="00FD27A6">
        <w:t xml:space="preserve"> - </w:t>
      </w:r>
      <w:r w:rsidRPr="00FD27A6">
        <w:t>продольных перемещений</w:t>
      </w:r>
      <w:r w:rsidR="00FD27A6">
        <w:t xml:space="preserve"> (</w:t>
      </w:r>
      <w:r w:rsidRPr="00FD27A6">
        <w:t>рука</w:t>
      </w:r>
      <w:r w:rsidR="00FD27A6" w:rsidRPr="00FD27A6">
        <w:t xml:space="preserve">) </w:t>
      </w:r>
      <w:r w:rsidRPr="00FD27A6">
        <w:t>А и совместных поворота и подъема руки В</w:t>
      </w:r>
      <w:r w:rsidR="00FD27A6" w:rsidRPr="00FD27A6">
        <w:t xml:space="preserve">. </w:t>
      </w:r>
      <w:r w:rsidRPr="00FD27A6">
        <w:t>Стыковка модулей А и В осуществляется механическим способом с помощью направляющих, позволяющих легко и быстро осуществить перекомпоновку</w:t>
      </w:r>
      <w:r w:rsidR="00FD27A6" w:rsidRPr="00FD27A6">
        <w:t xml:space="preserve">. </w:t>
      </w:r>
      <w:r w:rsidRPr="00FD27A6">
        <w:t>Пневмо</w:t>
      </w:r>
      <w:r w:rsidR="00FD27A6" w:rsidRPr="00FD27A6">
        <w:t xml:space="preserve">- </w:t>
      </w:r>
      <w:r w:rsidRPr="00FD27A6">
        <w:t>и электрокоммуникации стыкуются с помощью специальных разъемов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На передней стойке 15 несущего каркаса модуля продольных перемещении закреплен цифровой позиционный привод продольных перемещении</w:t>
      </w:r>
      <w:r w:rsidR="00FD27A6" w:rsidRPr="00FD27A6">
        <w:t xml:space="preserve">. </w:t>
      </w:r>
      <w:r w:rsidRPr="00FD27A6">
        <w:t>Последний содержит цилиндр противодавления 7 и ряд рабочих цилиндров 17 с различной длиной перемещения, состыкованных между собой в соответствии с требуемым диапазоном и дискретностью перемещения исполнительного органа робота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Рабочий орган привода продольных перемещений</w:t>
      </w:r>
      <w:r w:rsidR="00FD27A6">
        <w:t xml:space="preserve"> (</w:t>
      </w:r>
      <w:r w:rsidRPr="00FD27A6">
        <w:t>шток 9</w:t>
      </w:r>
      <w:r w:rsidR="00FD27A6" w:rsidRPr="00FD27A6">
        <w:t xml:space="preserve">) </w:t>
      </w:r>
      <w:r w:rsidRPr="00FD27A6">
        <w:t>посредством траверсы 10 связан со штангой 14, подвижно смонтированной в передней направляющей 13, в направлении изменения Rvar</w:t>
      </w:r>
      <w:r w:rsidR="00FD27A6" w:rsidRPr="00FD27A6">
        <w:t xml:space="preserve">. </w:t>
      </w:r>
      <w:r w:rsidRPr="00FD27A6">
        <w:t>Направляющая 13 закреплена на конце цилиндра противодавления привода продольных подач с помощью каретки 22 на двух задних направляющих 16 установленных в передней 15 и задней 23 стойках несущего каркаса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Захват закреплен на левом конце штанги</w:t>
      </w:r>
      <w:r w:rsidR="00FD27A6">
        <w:t xml:space="preserve"> (</w:t>
      </w:r>
      <w:r w:rsidRPr="00FD27A6">
        <w:t xml:space="preserve">на </w:t>
      </w:r>
      <w:r w:rsidR="00FD27A6">
        <w:t>рис.3</w:t>
      </w:r>
      <w:r w:rsidRPr="00FD27A6">
        <w:t xml:space="preserve"> не показан</w:t>
      </w:r>
      <w:r w:rsidR="00FD27A6" w:rsidRPr="00FD27A6">
        <w:t xml:space="preserve">). </w:t>
      </w:r>
      <w:r w:rsidRPr="00FD27A6">
        <w:t>Привод поворота захвата выполнен на базе реечного зацепления и позволяет получать три фиксированных с помощью настраиваемых жестких упоров угловых положений захвата</w:t>
      </w:r>
      <w:r w:rsidR="00FD27A6" w:rsidRPr="00FD27A6">
        <w:t xml:space="preserve">: </w:t>
      </w:r>
      <w:r w:rsidRPr="00FD27A6">
        <w:t>0, 90 и 180°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Шток 12 предназначен для привода губок захвата</w:t>
      </w:r>
      <w:r w:rsidR="00FD27A6" w:rsidRPr="00FD27A6">
        <w:t xml:space="preserve">. </w:t>
      </w:r>
      <w:r w:rsidRPr="00FD27A6">
        <w:t>Подшипники позволяют устранить поворот поршня привода губок при вращении захвата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В случае необходимости захват может быть закреплен на передней поверхности С траверсы 10, что позволяет разгрузить вал привода поворота захвата, если масса деталей существенна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В нижней части модуля продольных перемещений А установлен электромагнитный порошковый тормоз 5 с позиционным управлением, ось которого совмещена с осью вращения руки робота, что позволяет максимально уменьшить величину инерционных моментов, возникающих при повороте руки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Модуль поворота и подъема руки В смонтирован на основании 33 и состоит из двух трубчатых вертикальных направляющих 31, по которым перемещается каретка 32 с цифровым позиционным приводом поворота, состоящим из ряда флажковых пневмодвигателей 2 с различным углом поворота рабочего органа</w:t>
      </w:r>
      <w:r w:rsidR="00FD27A6">
        <w:t xml:space="preserve"> (</w:t>
      </w:r>
      <w:r w:rsidRPr="00FD27A6">
        <w:t>выходного вала</w:t>
      </w:r>
      <w:r w:rsidR="00FD27A6" w:rsidRPr="00FD27A6">
        <w:t>),</w:t>
      </w:r>
      <w:r w:rsidRPr="00FD27A6">
        <w:t xml:space="preserve"> беззазорно состыкованного с выходным валом 3 привода поворота, установленного в подшипниках</w:t>
      </w:r>
      <w:r w:rsidR="00FD27A6" w:rsidRPr="00FD27A6">
        <w:t xml:space="preserve">. </w:t>
      </w:r>
      <w:r w:rsidRPr="00FD27A6">
        <w:t>Устойчивость привода поворота по отношению к его вертикальной оси обеспечивается регулируемым кронштейном 1</w:t>
      </w:r>
      <w:r w:rsidR="00FD27A6" w:rsidRPr="00FD27A6">
        <w:t xml:space="preserve">. </w:t>
      </w:r>
      <w:r w:rsidRPr="00FD27A6">
        <w:t>Вертикальное перемещение каретки 32, а следовательно, и руки А робота, обеспечивается с помощью цифрового позиционного привода подъема</w:t>
      </w:r>
      <w:r w:rsidR="00FD27A6" w:rsidRPr="00FD27A6">
        <w:t xml:space="preserve">. </w:t>
      </w:r>
      <w:r w:rsidRPr="00FD27A6">
        <w:t>Привод подъема установлен на кронштейне 28, служащем одновременно для увеличения жесткости вертикальных направляющих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Управление тормозным устройством 26 осуществляется от ходового датчика, круговая линейка 4 которого установлена неподвижно на каретке 32, а подвижная ее часть</w:t>
      </w:r>
      <w:r w:rsidR="00FD27A6" w:rsidRPr="00FD27A6">
        <w:t xml:space="preserve"> - </w:t>
      </w:r>
      <w:r w:rsidRPr="00FD27A6">
        <w:t>на зубчатом колесе 6 с возможностью регулировки</w:t>
      </w:r>
      <w:r w:rsidR="00FD27A6" w:rsidRPr="00FD27A6">
        <w:t xml:space="preserve">. </w:t>
      </w:r>
      <w:r w:rsidRPr="00FD27A6">
        <w:t>В качестве кодовых датчиков применены датчики на герконах, обеспечивающие простоту конструкции и настройки, высокую надежность и требуемую точность управления включением и режимами работы электромагнитных порошковых тормозов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В соответствии с технологическим процессом, его последовательностью, а также параметрами, характеризующими отдельные переходы, определяется траектория захвата, исходя из которой уточняется и число модулей, составляющих приводы продольных перемещений руки и подъема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После определения кинематики робота составляется и вводится программа, управляющая последовательностью включения модулей дискретных приводов</w:t>
      </w:r>
      <w:r w:rsidR="00FD27A6" w:rsidRPr="00FD27A6">
        <w:t xml:space="preserve">. </w:t>
      </w:r>
      <w:r w:rsidRPr="00FD27A6">
        <w:t>Параллельно осуществляется настройка кодовых датчиков для управления тормозными устройствами</w:t>
      </w:r>
      <w:r w:rsidR="00FD27A6" w:rsidRPr="00FD27A6">
        <w:t>.</w:t>
      </w:r>
    </w:p>
    <w:p w:rsidR="00FD27A6" w:rsidRDefault="00FD27A6" w:rsidP="00FD27A6">
      <w:pPr>
        <w:ind w:firstLine="709"/>
      </w:pPr>
    </w:p>
    <w:p w:rsidR="00FD27A6" w:rsidRPr="00FD27A6" w:rsidRDefault="007F45A6" w:rsidP="00FD27A6">
      <w:pPr>
        <w:ind w:firstLine="709"/>
      </w:pPr>
      <w:r>
        <w:pict>
          <v:shape id="_x0000_i1027" type="#_x0000_t75" style="width:327pt;height:495pt" fillcolor="window">
            <v:imagedata r:id="rId9" o:title="" blacklevel="-3932f" grayscale="t" bilevel="t"/>
          </v:shape>
        </w:pict>
      </w:r>
    </w:p>
    <w:p w:rsidR="00FD27A6" w:rsidRDefault="0069793F" w:rsidP="00FD27A6">
      <w:pPr>
        <w:ind w:firstLine="709"/>
      </w:pPr>
      <w:r w:rsidRPr="00FD27A6">
        <w:t>Рис 3</w:t>
      </w:r>
      <w:r w:rsidR="00FD27A6" w:rsidRPr="00FD27A6">
        <w:t xml:space="preserve"> - </w:t>
      </w:r>
      <w:r w:rsidRPr="00FD27A6">
        <w:t>Компоновка робота РС-6</w:t>
      </w:r>
      <w:r w:rsidR="00FD27A6" w:rsidRPr="00FD27A6">
        <w:t>.</w:t>
      </w:r>
    </w:p>
    <w:p w:rsidR="00FD27A6" w:rsidRDefault="00FD27A6" w:rsidP="00FD27A6">
      <w:pPr>
        <w:ind w:firstLine="709"/>
      </w:pPr>
    </w:p>
    <w:p w:rsidR="00FD27A6" w:rsidRDefault="0069793F" w:rsidP="00FD27A6">
      <w:pPr>
        <w:ind w:firstLine="709"/>
      </w:pPr>
      <w:r w:rsidRPr="00FD27A6">
        <w:t>В запрограммированный момент времени подвижная часть кодового датчика</w:t>
      </w:r>
      <w:r w:rsidR="00FD27A6">
        <w:t xml:space="preserve"> (</w:t>
      </w:r>
      <w:r w:rsidRPr="00FD27A6">
        <w:t>в случае применения герконов</w:t>
      </w:r>
      <w:r w:rsidR="00FD27A6" w:rsidRPr="00FD27A6">
        <w:t xml:space="preserve"> - </w:t>
      </w:r>
      <w:r w:rsidRPr="00FD27A6">
        <w:t>постоянный магнит</w:t>
      </w:r>
      <w:r w:rsidR="00FD27A6" w:rsidRPr="00FD27A6">
        <w:t>),</w:t>
      </w:r>
      <w:r w:rsidRPr="00FD27A6">
        <w:t xml:space="preserve"> перемещающейся вместе со штангой 14 вдоль кодовой линейки 34, вызовет появление команды, управляющей включением тормозного устройства 5, которое, срабатывая, обеспечивает торможение зубчатой рейки 21, также перемещающейся вместе с кареткой 22</w:t>
      </w:r>
      <w:r w:rsidR="00FD27A6" w:rsidRPr="00FD27A6">
        <w:t xml:space="preserve">. </w:t>
      </w:r>
      <w:r w:rsidRPr="00FD27A6">
        <w:t>Таким образом обеспечиваются плавный выход в любую запрограммированную точку траектории движения штока привода продольных подач, а также требуемые скорости перемещения и ускорения</w:t>
      </w:r>
      <w:r w:rsidR="00FD27A6" w:rsidRPr="00FD27A6">
        <w:t xml:space="preserve">. </w:t>
      </w:r>
      <w:r w:rsidRPr="00FD27A6">
        <w:t>Аналогично работает привод поворота</w:t>
      </w:r>
      <w:r w:rsidR="00FD27A6" w:rsidRPr="00FD27A6">
        <w:t xml:space="preserve">. </w:t>
      </w:r>
      <w:r w:rsidRPr="00FD27A6">
        <w:t>Привод подъема не имеет тормозных устройств, управляемых от кодовых датчиков</w:t>
      </w:r>
      <w:r w:rsidR="00FD27A6" w:rsidRPr="00FD27A6">
        <w:t>.</w:t>
      </w:r>
    </w:p>
    <w:p w:rsidR="00FD27A6" w:rsidRDefault="0069793F" w:rsidP="00FD27A6">
      <w:pPr>
        <w:ind w:firstLine="709"/>
      </w:pPr>
      <w:r w:rsidRPr="00FD27A6">
        <w:t>Примененный в рассмотренной конструкции модульный принцип компоновки всех исполнительных приводов позволяет значительно расширить технологические возможности ПР и сделать его более универсальным</w:t>
      </w:r>
      <w:r w:rsidR="00FD27A6" w:rsidRPr="00FD27A6">
        <w:t xml:space="preserve">. </w:t>
      </w:r>
      <w:r w:rsidRPr="00FD27A6">
        <w:t>Оптимальная компоновка робота зависит от степени сложности реализуемых с его помощью технологических процессов При модульном принципе уменьшаются габаритные размеры и масса, что положительно сказывается на эксплуатационных характеристиках ПР</w:t>
      </w:r>
      <w:r w:rsidR="00FD27A6" w:rsidRPr="00FD27A6">
        <w:t xml:space="preserve"> - </w:t>
      </w:r>
      <w:r w:rsidRPr="00FD27A6">
        <w:t>увеличиваются быстродействие, точность позиционирования и срок службы</w:t>
      </w:r>
      <w:r w:rsidR="00FD27A6" w:rsidRPr="00FD27A6">
        <w:t xml:space="preserve">. </w:t>
      </w:r>
      <w:r w:rsidRPr="00FD27A6">
        <w:t>Использование дискретных линейных и поворотных приводов в роботах серий ПМР и РС позволяет автоматизировать процессы комплектации,</w:t>
      </w:r>
      <w:r w:rsidR="00FD27A6" w:rsidRPr="00FD27A6">
        <w:t xml:space="preserve"> </w:t>
      </w:r>
      <w:r w:rsidRPr="00FD27A6">
        <w:t xml:space="preserve">контроля, кассетирования и укладки изделий в тару, </w:t>
      </w:r>
      <w:r w:rsidR="00FD27A6">
        <w:t>т.е.</w:t>
      </w:r>
      <w:r w:rsidR="00FD27A6" w:rsidRPr="00FD27A6">
        <w:t xml:space="preserve"> </w:t>
      </w:r>
      <w:r w:rsidRPr="00FD27A6">
        <w:t>они пригодны для условий работы в тех случаях, когда требуется промежуточное позиционирование по одной или нескольким координатам</w:t>
      </w:r>
      <w:r w:rsidR="00FD27A6" w:rsidRPr="00FD27A6">
        <w:t>.</w:t>
      </w:r>
    </w:p>
    <w:p w:rsidR="00FD27A6" w:rsidRPr="00FD27A6" w:rsidRDefault="00FD27A6" w:rsidP="00FD27A6">
      <w:pPr>
        <w:pStyle w:val="2"/>
      </w:pPr>
      <w:r>
        <w:br w:type="page"/>
      </w:r>
      <w:r w:rsidR="00400C57" w:rsidRPr="00FD27A6">
        <w:t>Список литературы</w:t>
      </w:r>
    </w:p>
    <w:p w:rsidR="00FD27A6" w:rsidRDefault="00FD27A6" w:rsidP="00FD27A6">
      <w:pPr>
        <w:ind w:firstLine="709"/>
      </w:pPr>
    </w:p>
    <w:p w:rsidR="00FD27A6" w:rsidRDefault="00400C57" w:rsidP="00FD27A6">
      <w:pPr>
        <w:pStyle w:val="a0"/>
        <w:ind w:firstLine="0"/>
      </w:pPr>
      <w:r w:rsidRPr="00FD27A6">
        <w:t>Н</w:t>
      </w:r>
      <w:r w:rsidR="00FD27A6">
        <w:t xml:space="preserve">.П. </w:t>
      </w:r>
      <w:r w:rsidRPr="00FD27A6">
        <w:t>Меткин, М</w:t>
      </w:r>
      <w:r w:rsidR="00FD27A6">
        <w:t xml:space="preserve">.С. </w:t>
      </w:r>
      <w:r w:rsidRPr="00FD27A6">
        <w:t>Лапин, С</w:t>
      </w:r>
      <w:r w:rsidR="00FD27A6">
        <w:t xml:space="preserve">.А. </w:t>
      </w:r>
      <w:r w:rsidRPr="00FD27A6">
        <w:t>Клейменов, В</w:t>
      </w:r>
      <w:r w:rsidR="00FD27A6">
        <w:t xml:space="preserve">.М. </w:t>
      </w:r>
      <w:r w:rsidRPr="00FD27A6">
        <w:t>Критський</w:t>
      </w:r>
      <w:r w:rsidR="00FD27A6" w:rsidRPr="00FD27A6">
        <w:t xml:space="preserve">. </w:t>
      </w:r>
      <w:r w:rsidRPr="00FD27A6">
        <w:t>Гибкие производственные системы</w:t>
      </w:r>
      <w:r w:rsidR="00FD27A6" w:rsidRPr="00FD27A6">
        <w:t xml:space="preserve">. </w:t>
      </w:r>
      <w:r w:rsidR="00FD27A6">
        <w:t>-</w:t>
      </w:r>
      <w:r w:rsidRPr="00FD27A6">
        <w:t xml:space="preserve"> М</w:t>
      </w:r>
      <w:r w:rsidR="00FD27A6">
        <w:t>.:</w:t>
      </w:r>
      <w:r w:rsidR="00FD27A6" w:rsidRPr="00FD27A6">
        <w:t xml:space="preserve"> </w:t>
      </w:r>
      <w:r w:rsidRPr="00FD27A6">
        <w:t>Издательство стандартов, 1989</w:t>
      </w:r>
      <w:r w:rsidR="00FD27A6" w:rsidRPr="00FD27A6">
        <w:t xml:space="preserve">. </w:t>
      </w:r>
      <w:r w:rsidR="00FD27A6">
        <w:t>-</w:t>
      </w:r>
      <w:r w:rsidRPr="00FD27A6">
        <w:t xml:space="preserve"> 309с</w:t>
      </w:r>
      <w:r w:rsidR="00FD27A6" w:rsidRPr="00FD27A6">
        <w:t>.</w:t>
      </w:r>
    </w:p>
    <w:p w:rsidR="00FD27A6" w:rsidRDefault="00400C57" w:rsidP="00FD27A6">
      <w:pPr>
        <w:pStyle w:val="a0"/>
        <w:ind w:firstLine="0"/>
      </w:pPr>
      <w:r w:rsidRPr="00FD27A6">
        <w:t>Гибкие производственные комплексы /</w:t>
      </w:r>
      <w:r w:rsidR="00062431">
        <w:t xml:space="preserve"> </w:t>
      </w:r>
      <w:r w:rsidRPr="00FD27A6">
        <w:t>под</w:t>
      </w:r>
      <w:r w:rsidR="00FD27A6" w:rsidRPr="00FD27A6">
        <w:t xml:space="preserve">. </w:t>
      </w:r>
      <w:r w:rsidRPr="00FD27A6">
        <w:t>ред</w:t>
      </w:r>
      <w:r w:rsidR="00FD27A6">
        <w:t>.</w:t>
      </w:r>
      <w:r w:rsidR="00062431">
        <w:t xml:space="preserve"> </w:t>
      </w:r>
      <w:r w:rsidR="00FD27A6">
        <w:t xml:space="preserve">П.Н. </w:t>
      </w:r>
      <w:r w:rsidRPr="00FD27A6">
        <w:t>Белянина</w:t>
      </w:r>
      <w:r w:rsidR="00FD27A6" w:rsidRPr="00FD27A6">
        <w:t xml:space="preserve">. </w:t>
      </w:r>
      <w:r w:rsidR="00FD27A6">
        <w:t>-</w:t>
      </w:r>
      <w:r w:rsidRPr="00FD27A6">
        <w:t xml:space="preserve"> М</w:t>
      </w:r>
      <w:r w:rsidR="00FD27A6">
        <w:t>.:</w:t>
      </w:r>
      <w:r w:rsidR="00FD27A6" w:rsidRPr="00FD27A6">
        <w:t xml:space="preserve"> </w:t>
      </w:r>
      <w:r w:rsidRPr="00FD27A6">
        <w:t>Машиностроение, 1984</w:t>
      </w:r>
      <w:r w:rsidR="00FD27A6" w:rsidRPr="00FD27A6">
        <w:t xml:space="preserve">. </w:t>
      </w:r>
      <w:r w:rsidR="00FD27A6">
        <w:t>-</w:t>
      </w:r>
      <w:r w:rsidRPr="00FD27A6">
        <w:t xml:space="preserve"> 384с</w:t>
      </w:r>
      <w:r w:rsidR="00FD27A6" w:rsidRPr="00FD27A6">
        <w:t>.</w:t>
      </w:r>
    </w:p>
    <w:p w:rsidR="00FD27A6" w:rsidRDefault="00400C57" w:rsidP="00FD27A6">
      <w:pPr>
        <w:pStyle w:val="a0"/>
        <w:ind w:firstLine="0"/>
      </w:pPr>
      <w:r w:rsidRPr="00FD27A6">
        <w:t>Гибкое автоматическое производство/под</w:t>
      </w:r>
      <w:r w:rsidR="00FD27A6" w:rsidRPr="00FD27A6">
        <w:t xml:space="preserve">. </w:t>
      </w:r>
      <w:r w:rsidRPr="00FD27A6">
        <w:t>ред</w:t>
      </w:r>
      <w:r w:rsidR="00FD27A6" w:rsidRPr="00FD27A6">
        <w:t xml:space="preserve">. </w:t>
      </w:r>
      <w:r w:rsidRPr="00FD27A6">
        <w:t>С</w:t>
      </w:r>
      <w:r w:rsidR="00FD27A6">
        <w:t xml:space="preserve">.А. </w:t>
      </w:r>
      <w:r w:rsidRPr="00FD27A6">
        <w:t>Майорова</w:t>
      </w:r>
      <w:r w:rsidR="00FD27A6" w:rsidRPr="00FD27A6">
        <w:t xml:space="preserve">. </w:t>
      </w:r>
      <w:r w:rsidR="00FD27A6">
        <w:t>-</w:t>
      </w:r>
      <w:r w:rsidRPr="00FD27A6">
        <w:t xml:space="preserve"> М</w:t>
      </w:r>
      <w:r w:rsidR="00FD27A6">
        <w:t>.:</w:t>
      </w:r>
      <w:r w:rsidR="00FD27A6" w:rsidRPr="00FD27A6">
        <w:t xml:space="preserve"> </w:t>
      </w:r>
      <w:r w:rsidRPr="00FD27A6">
        <w:t>Машиностроение, 1985</w:t>
      </w:r>
      <w:r w:rsidR="00FD27A6" w:rsidRPr="00FD27A6">
        <w:t xml:space="preserve">. </w:t>
      </w:r>
      <w:r w:rsidR="00FD27A6">
        <w:t>-</w:t>
      </w:r>
      <w:r w:rsidRPr="00FD27A6">
        <w:t xml:space="preserve"> 456с</w:t>
      </w:r>
      <w:r w:rsidR="00FD27A6" w:rsidRPr="00FD27A6">
        <w:t>.</w:t>
      </w:r>
    </w:p>
    <w:p w:rsidR="00FD27A6" w:rsidRDefault="00400C57" w:rsidP="00FD27A6">
      <w:pPr>
        <w:pStyle w:val="a0"/>
        <w:ind w:firstLine="0"/>
      </w:pPr>
      <w:r w:rsidRPr="00FD27A6">
        <w:t>Управление работотехническими системами и гибкими автоматизированными производствами /</w:t>
      </w:r>
      <w:r w:rsidR="00062431">
        <w:t xml:space="preserve"> </w:t>
      </w:r>
      <w:r w:rsidRPr="00FD27A6">
        <w:t>под</w:t>
      </w:r>
      <w:r w:rsidR="00FD27A6" w:rsidRPr="00FD27A6">
        <w:t xml:space="preserve">. </w:t>
      </w:r>
      <w:r w:rsidRPr="00FD27A6">
        <w:t>ред</w:t>
      </w:r>
      <w:r w:rsidR="00FD27A6">
        <w:t>.</w:t>
      </w:r>
      <w:r w:rsidR="00062431">
        <w:t xml:space="preserve"> </w:t>
      </w:r>
      <w:r w:rsidR="00FD27A6">
        <w:t xml:space="preserve">Н.М. </w:t>
      </w:r>
      <w:r w:rsidRPr="00FD27A6">
        <w:t xml:space="preserve">Макарова, </w:t>
      </w:r>
      <w:r w:rsidR="00FD27A6">
        <w:t>-</w:t>
      </w:r>
      <w:r w:rsidRPr="00FD27A6">
        <w:t xml:space="preserve"> М</w:t>
      </w:r>
      <w:r w:rsidR="00FD27A6">
        <w:t>.:</w:t>
      </w:r>
      <w:r w:rsidR="00FD27A6" w:rsidRPr="00FD27A6">
        <w:t xml:space="preserve"> </w:t>
      </w:r>
      <w:r w:rsidRPr="00FD27A6">
        <w:t>Радио и связь, 1981, ч</w:t>
      </w:r>
      <w:r w:rsidR="00FD27A6">
        <w:t>.3</w:t>
      </w:r>
      <w:r w:rsidRPr="00FD27A6">
        <w:t xml:space="preserve"> </w:t>
      </w:r>
      <w:r w:rsidR="00FD27A6">
        <w:t>-</w:t>
      </w:r>
      <w:r w:rsidRPr="00FD27A6">
        <w:t xml:space="preserve"> 156с</w:t>
      </w:r>
      <w:r w:rsidR="00FD27A6" w:rsidRPr="00FD27A6">
        <w:t>.</w:t>
      </w:r>
    </w:p>
    <w:p w:rsidR="00F658EB" w:rsidRPr="00FD27A6" w:rsidRDefault="00400C57" w:rsidP="00FD27A6">
      <w:pPr>
        <w:pStyle w:val="a0"/>
        <w:ind w:firstLine="0"/>
      </w:pPr>
      <w:r w:rsidRPr="00FD27A6">
        <w:t>Широков А</w:t>
      </w:r>
      <w:r w:rsidR="00FD27A6">
        <w:t xml:space="preserve">.Г. </w:t>
      </w:r>
      <w:r w:rsidRPr="00FD27A6">
        <w:t>Склады в ГПС</w:t>
      </w:r>
      <w:r w:rsidR="00FD27A6" w:rsidRPr="00FD27A6">
        <w:t xml:space="preserve">. </w:t>
      </w:r>
      <w:r w:rsidR="00FD27A6">
        <w:t>-</w:t>
      </w:r>
      <w:r w:rsidRPr="00FD27A6">
        <w:t xml:space="preserve"> М</w:t>
      </w:r>
      <w:r w:rsidR="00FD27A6">
        <w:t>.:</w:t>
      </w:r>
      <w:r w:rsidR="00FD27A6" w:rsidRPr="00FD27A6">
        <w:t xml:space="preserve"> </w:t>
      </w:r>
      <w:r w:rsidRPr="00FD27A6">
        <w:t>Машиностроение, 1988</w:t>
      </w:r>
      <w:r w:rsidR="00FD27A6" w:rsidRPr="00FD27A6">
        <w:t xml:space="preserve">. </w:t>
      </w:r>
      <w:r w:rsidR="00FD27A6">
        <w:t>-</w:t>
      </w:r>
      <w:r w:rsidRPr="00FD27A6">
        <w:t xml:space="preserve"> 216с</w:t>
      </w:r>
      <w:r w:rsidR="00FD27A6" w:rsidRPr="00FD27A6">
        <w:t>.</w:t>
      </w:r>
      <w:bookmarkStart w:id="1" w:name="_GoBack"/>
      <w:bookmarkEnd w:id="1"/>
    </w:p>
    <w:sectPr w:rsidR="00F658EB" w:rsidRPr="00FD27A6" w:rsidSect="00FD27A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37" w:rsidRDefault="004D4C37">
      <w:pPr>
        <w:ind w:firstLine="709"/>
      </w:pPr>
      <w:r>
        <w:separator/>
      </w:r>
    </w:p>
  </w:endnote>
  <w:endnote w:type="continuationSeparator" w:id="0">
    <w:p w:rsidR="004D4C37" w:rsidRDefault="004D4C3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A6" w:rsidRDefault="00FD27A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A6" w:rsidRDefault="00FD27A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37" w:rsidRDefault="004D4C37">
      <w:pPr>
        <w:ind w:firstLine="709"/>
      </w:pPr>
      <w:r>
        <w:separator/>
      </w:r>
    </w:p>
  </w:footnote>
  <w:footnote w:type="continuationSeparator" w:id="0">
    <w:p w:rsidR="004D4C37" w:rsidRDefault="004D4C3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BA2245" w:rsidP="00410D4B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F906B2" w:rsidRDefault="00F906B2" w:rsidP="00F906B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A6" w:rsidRDefault="00FD27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62431"/>
    <w:rsid w:val="001070AD"/>
    <w:rsid w:val="00400C57"/>
    <w:rsid w:val="00410D4B"/>
    <w:rsid w:val="004D4C37"/>
    <w:rsid w:val="004E634C"/>
    <w:rsid w:val="00642B59"/>
    <w:rsid w:val="00644B8A"/>
    <w:rsid w:val="0069793F"/>
    <w:rsid w:val="007F45A6"/>
    <w:rsid w:val="008133F7"/>
    <w:rsid w:val="009F6540"/>
    <w:rsid w:val="00B015C7"/>
    <w:rsid w:val="00BA2245"/>
    <w:rsid w:val="00C51701"/>
    <w:rsid w:val="00F658EB"/>
    <w:rsid w:val="00F906B2"/>
    <w:rsid w:val="00F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0E0F7D5-06C8-48D9-A54E-428539F9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D27A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D27A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D27A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FD27A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D27A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D27A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D27A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D27A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D27A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FD27A6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FD27A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FD27A6"/>
    <w:rPr>
      <w:vertAlign w:val="superscript"/>
    </w:rPr>
  </w:style>
  <w:style w:type="character" w:styleId="ab">
    <w:name w:val="page number"/>
    <w:uiPriority w:val="99"/>
    <w:rsid w:val="00FD27A6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FD27A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FD27A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">
    <w:name w:val="выделение"/>
    <w:uiPriority w:val="99"/>
    <w:rsid w:val="00FD27A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FD27A6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e"/>
    <w:uiPriority w:val="99"/>
    <w:rsid w:val="00FD27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FD27A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FD27A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FD27A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FD27A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FD27A6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FD27A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D27A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D27A6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FD27A6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FD27A6"/>
    <w:rPr>
      <w:sz w:val="28"/>
      <w:szCs w:val="28"/>
    </w:rPr>
  </w:style>
  <w:style w:type="paragraph" w:styleId="af7">
    <w:name w:val="Normal (Web)"/>
    <w:basedOn w:val="a2"/>
    <w:uiPriority w:val="99"/>
    <w:rsid w:val="00FD27A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FD27A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D27A6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FD27A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D27A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D27A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D27A6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FD27A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D27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FD27A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D27A6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D27A6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D27A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D27A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D27A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D27A6"/>
    <w:rPr>
      <w:i/>
      <w:iCs/>
    </w:rPr>
  </w:style>
  <w:style w:type="paragraph" w:customStyle="1" w:styleId="afb">
    <w:name w:val="ТАБЛИЦА"/>
    <w:next w:val="a2"/>
    <w:autoRedefine/>
    <w:uiPriority w:val="99"/>
    <w:rsid w:val="00FD27A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D27A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D27A6"/>
  </w:style>
  <w:style w:type="table" w:customStyle="1" w:styleId="15">
    <w:name w:val="Стиль таблицы1"/>
    <w:uiPriority w:val="99"/>
    <w:rsid w:val="00FD27A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D27A6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FD27A6"/>
    <w:pPr>
      <w:jc w:val="center"/>
    </w:pPr>
  </w:style>
  <w:style w:type="paragraph" w:styleId="afe">
    <w:name w:val="endnote text"/>
    <w:basedOn w:val="a2"/>
    <w:link w:val="aff"/>
    <w:uiPriority w:val="99"/>
    <w:semiHidden/>
    <w:rsid w:val="00FD27A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D27A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FD27A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D27A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КОМПОНОВКИ РОБОТИЗИРОВАННЫХ ТЕХНОЛОГИЧЕСКИХ КОМПЛЕКСОВ (РТК) СБОРКИ</vt:lpstr>
    </vt:vector>
  </TitlesOfParts>
  <Company>HOME</Company>
  <LinksUpToDate>false</LinksUpToDate>
  <CharactersWithSpaces>13435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КОМПОНОВКИ РОБОТИЗИРОВАННЫХ ТЕХНОЛОГИЧЕСКИХ КОМПЛЕКСОВ (РТК) СБОРКИ</dc:title>
  <dc:subject/>
  <dc:creator>STAR</dc:creator>
  <cp:keywords/>
  <dc:description/>
  <cp:lastModifiedBy>admin</cp:lastModifiedBy>
  <cp:revision>2</cp:revision>
  <dcterms:created xsi:type="dcterms:W3CDTF">2014-03-20T02:37:00Z</dcterms:created>
  <dcterms:modified xsi:type="dcterms:W3CDTF">2014-03-20T02:37:00Z</dcterms:modified>
</cp:coreProperties>
</file>