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81" w:rsidRDefault="00981B81">
      <w:pPr>
        <w:pStyle w:val="1"/>
        <w:rPr>
          <w:kern w:val="0"/>
        </w:rPr>
      </w:pPr>
      <w:bookmarkStart w:id="0" w:name="_Toc517847825"/>
      <w:r>
        <w:rPr>
          <w:kern w:val="0"/>
        </w:rPr>
        <w:t>Толкование уголовного закона</w:t>
      </w:r>
      <w:bookmarkEnd w:id="0"/>
    </w:p>
    <w:p w:rsidR="00981B81" w:rsidRDefault="00981B81"/>
    <w:p w:rsidR="00981B81" w:rsidRDefault="00981B81">
      <w:r>
        <w:t xml:space="preserve">1. Санкции уголовно-правовой нормы обладают высокой степенью репрессивности, вплоть до смертной казни или пожизненного заключения. Поэтому при ее применении следствию, суду необходимо быть предельно внимательными, следует точно понять заложенную в уголовном законе волю законодателя. Уголовно-правовую норму вполне можно сравнить с математической формулой, где каждый символ несет большую смысловую нагрузку. Так и в правовой норме: пропустил знак препинания, спутал соединительный союз с разделительным, неверно понял примененный законодателем термин - и невиновное лицо будет осуждено, а виновное избежит ответственности. </w:t>
      </w:r>
    </w:p>
    <w:p w:rsidR="00981B81" w:rsidRDefault="00981B81">
      <w:r>
        <w:t xml:space="preserve">Поэтому теория и практика придают важное значение толкованию уголовного закона, которое понимается как всестороннее и глубокое уяснение его смысла, правильное и точное раскрытие терминов, содержащихся в уголовно-правовой норме. Выделяют несколько видов толкования в зависимости от субъектов толкования, его приемов и объема. </w:t>
      </w:r>
    </w:p>
    <w:p w:rsidR="00981B81" w:rsidRDefault="00981B81">
      <w:r>
        <w:t xml:space="preserve">2. Субъект толкования - это государственные органы и физические лица, разъясняющие уголовный закон. Толкование подразделяется на легальное, судебное и доктринальное. </w:t>
      </w:r>
    </w:p>
    <w:p w:rsidR="00981B81" w:rsidRDefault="00981B81">
      <w:r>
        <w:t xml:space="preserve">Легальное - это официальное толкование уголовного закона, которое дает орган, специально на то уполномоченный законом. </w:t>
      </w:r>
    </w:p>
    <w:p w:rsidR="00981B81" w:rsidRDefault="00981B81">
      <w:r>
        <w:t xml:space="preserve">Судебное толкование дается судом при применении уголовно-правовой нормы по конкретному уголовному делу. Оно обязательно только по этому делу. Разновидностью судебного толкования является толкование, даваемое в постановлениях Пленума Верховного Суда РФ. </w:t>
      </w:r>
    </w:p>
    <w:p w:rsidR="00981B81" w:rsidRDefault="00981B81">
      <w:r>
        <w:t xml:space="preserve">Научное (доктринальное) толкование, даваемое учеными, практическими работниками в статьях, учебниках, монографиях по проблемам уголовного права, обязательной силы не имеет, но способствует развитию правового сознания, а также может быть использовано при разработке новых законов. </w:t>
      </w:r>
    </w:p>
    <w:p w:rsidR="00981B81" w:rsidRDefault="00981B81">
      <w:r>
        <w:t xml:space="preserve">3. По приемам толкования выделяют такие виды, как грамматическое, систематическое, историческое. Грамматическое толкование - это уяснение смысла уголовного закона с помощью правил грамматики (синтаксиса, пунктуации). Например, ч.1 ст.111 УК РФ гласит: "Умышленное причинение тяжкого вреда здоровью, опасного для жизни человека, или повлекшего за собой потерю зрения, речи, слуха или какого-либо органа либо утрату органом его функций, или выразившееся в неизгладимом обезображении лица... (далее по тексту ч.1 ст.111)". Таким образом, в норме названы несколько видов причинения тяжкого вреда здоровью, разделенные союзами "или", "либо". </w:t>
      </w:r>
    </w:p>
    <w:p w:rsidR="00981B81" w:rsidRDefault="00981B81">
      <w:r>
        <w:t xml:space="preserve">Систематическое толкование предполагает уяснение смысла уголовно-правовой нормы в сопоставлении с другими нормами УК РФ. Например, состав убийства, совершенного при превышении пределов необходимой обороны (ч.1 ст.108), может быть выяснен только при толковании ч.3 ст.37 УК. Для правильной квалификации вовлечения несовершеннолетнего в совершение тяжкого преступления (ч.4 ст.150) необходимо обратиться к ст.15 УК. </w:t>
      </w:r>
    </w:p>
    <w:p w:rsidR="00981B81" w:rsidRDefault="00981B81">
      <w:r>
        <w:t xml:space="preserve">Историческое толкование также предполагает сопоставление уголовно-правовых норм действующего законодательства с ранее существовавшим или с проектами нового закона. Кроме того, этот вид толкования предполагает выяснение смысла нормы в сочетании со сложившейся социально-экономической обстановкой, политической ситуацией. </w:t>
      </w:r>
    </w:p>
    <w:p w:rsidR="00981B81" w:rsidRDefault="00981B81">
      <w:r>
        <w:t xml:space="preserve">4. По объему толкование бывает буквальным, ограничительным и распространительным. Буквальное - это толкование в точном соответствии с текстом, оно предполагает совпадение содержания нормы со словесной формулировкой. Ограничительным называется толкование, дающее основание применять закон к более узкому кругу случаев, чем это вытекает из буквального смысла закона. Например, ст.151 УК устанавливает ответственность за вовлечение несовершеннолетнего в совершение антиобщественных действий. Общий возраст субъекта преступления установлен в 16 лет (ст.20 УК). Однако за совершение данного преступления к уголовной ответственности может быть привлечено только лицо, достигшее 18 лет (хотя в тексте нормы это не указано). </w:t>
      </w:r>
    </w:p>
    <w:p w:rsidR="00981B81" w:rsidRDefault="00981B81">
      <w:r>
        <w:t xml:space="preserve">Распространительное (расширительное) толкование, наоборот, придает закону более широкий смысл, когда закон применяется к случаям, непосредственно в тексте закона не названным. </w:t>
      </w:r>
    </w:p>
    <w:p w:rsidR="00981B81" w:rsidRDefault="00981B81">
      <w:r>
        <w:t xml:space="preserve">Этот вид толкования применяется лишь в исключительных ситуациях. </w:t>
      </w:r>
      <w:bookmarkStart w:id="1" w:name="_Toc517847923"/>
    </w:p>
    <w:p w:rsidR="00981B81" w:rsidRDefault="00981B81"/>
    <w:p w:rsidR="00981B81" w:rsidRDefault="00981B81">
      <w:pPr>
        <w:pStyle w:val="2"/>
        <w:rPr>
          <w:kern w:val="0"/>
        </w:rPr>
      </w:pPr>
      <w:r>
        <w:rPr>
          <w:kern w:val="0"/>
        </w:rPr>
        <w:t>Преступления против общественной безопасности</w:t>
      </w:r>
      <w:bookmarkEnd w:id="1"/>
    </w:p>
    <w:p w:rsidR="00981B81" w:rsidRDefault="00981B81"/>
    <w:p w:rsidR="00981B81" w:rsidRDefault="00981B81">
      <w:r>
        <w:t xml:space="preserve">Родовым объектом преступлений против общественной безопасности является совокупность общественных отношений, складывающихся в процессе обеспечения безопасных условий существования и деятельности общества, его граждан и социальных институтов. </w:t>
      </w:r>
    </w:p>
    <w:p w:rsidR="00981B81" w:rsidRDefault="00981B81">
      <w:r>
        <w:t xml:space="preserve">В качестве видовых объектов рассматриваемых посягательств могут выступать группы общественных отношений, направленные на обеспечение безопасного функционирования той или иной сферы социальной жизни. </w:t>
      </w:r>
    </w:p>
    <w:p w:rsidR="00981B81" w:rsidRDefault="00981B81">
      <w:r>
        <w:t xml:space="preserve">Непосредственные объекты будут охарактеризованы при анализе конкретных преступных деяний. </w:t>
      </w:r>
    </w:p>
    <w:p w:rsidR="00981B81" w:rsidRDefault="00981B81">
      <w:r>
        <w:t xml:space="preserve">Некоторые преступления посягают на дополнительные объекты: например, терроризм, бандитизм и хулиганство (ст. 205, 209, 213 УК) - на здоровье личности, отношения собственности, нормальную деятельность предприятий, учреждений, организаций. Конструктивным признаком состава ряда преступлений является предмет посягательства, например, судно воздушного или водного транспорта, железнодорожный подвижной состав - при угоне этих транспортных средств (ст.211 УК), ядерные материалы или радиоактивные вещества - при совершении их хищения, вымогательства или незаконного обращения с ними (ст.220, 221). </w:t>
      </w:r>
    </w:p>
    <w:p w:rsidR="00981B81" w:rsidRDefault="00981B81">
      <w:r>
        <w:t xml:space="preserve">С объективной стороны большинство преступлений совершается путем активных действий, некоторые могут быть совершены и в форме бездействия (например, нарушение правил безопасности на объектах атомной энергетики - ст.215 УК; нарушение правил пожарной безопасности - ст.219 УК и др.). По конструкции составы рассматриваемых преступлений в большинстве своем формальные, но отдельные - материальные (например, нарушение правил безопасности при ведении горных, строительных и иных работ - ст.216 УК; нарушение правил пожарной безопасности - ст.219 УК; небрежное хранение огнестрельного оружия - ст.224 УК и некоторые другие). </w:t>
      </w:r>
    </w:p>
    <w:p w:rsidR="00981B81" w:rsidRDefault="00981B81">
      <w:r>
        <w:t xml:space="preserve">Многие диспозиции норм, предусматривающих ответственность за преступления против общественной безопасности, бланкетные (например, ст.215, 216, 217, 218, 219, 224,225 УК). Для точного применения уголовного закона при совершении перечисленных деяний необходимо обратиться к нормативным актам иных отраслей права. </w:t>
      </w:r>
    </w:p>
    <w:p w:rsidR="00981B81" w:rsidRDefault="00981B81">
      <w:r>
        <w:t xml:space="preserve">С субъективной стороны большая группа преступлений характеризуется умышленной виной, некоторые совершаются неосторожно (например, деяния, предусмотренные ст.216, 218, 219, 224, 225 УК). В качестве обязательных признаков субъективной стороны отдельных составов закон называет цель (например, при бандитизме - цель совершать нападения на граждан и организации). </w:t>
      </w:r>
    </w:p>
    <w:p w:rsidR="00981B81" w:rsidRDefault="00981B81">
      <w:r>
        <w:t xml:space="preserve">Субъектами преступлений являются физические вменяемые лица, достигшие установленного законом возраста уголовной ответственности: при терроризме, захвате заложника, заведомо ложном сообщении об акте терроризма, хулиганстве при отягчающих обстоятельствах, вандализме, хищении либо вымогательстве оружия, боеприпасов, взрывчатых веществ и взрывных устройств - 14 лет; при совершении иных посягательств - 16 лет. Некоторые преступления могут быть совершены только специальными субъектами. Например, нарушение правил пожарной безопасности - лицом, обязанным их соблюдать; ненадлежащее исполнение обязанностей по охране оружия, боеприпасов, взрывчатых веществ и взрывных устройств (ст.225) - лицом, которому была поручена их охрана, и некоторые другие. </w:t>
      </w:r>
    </w:p>
    <w:p w:rsidR="00981B81" w:rsidRDefault="00981B81">
      <w:r>
        <w:t xml:space="preserve">Система преступлений против общественной безопасности может быть представлена следующим образом: </w:t>
      </w:r>
    </w:p>
    <w:p w:rsidR="00981B81" w:rsidRDefault="00981B81">
      <w:r>
        <w:t xml:space="preserve">1) преступления против общественной (общей) безопасности: терроризм (ст. 205 УК), захват заложника (ст. 206 УК), заведомо ложное сообщение об акте терроризма (ст. 207 УК), организация незаконного вооруженного формирования или участие в нем (ст. 208 УК); бандитизм (ст. 209 УК); организация преступного сообщества (ст.210 УК); угон судна воздушного или водного транспорта либо железнодорожного подвижного состава (ст.211 У К); незаконное отключение электроэнергии (ст.2151 УК); массовые беспорядки (ст.212 УК); пиратство (ст.227 УК); </w:t>
      </w:r>
    </w:p>
    <w:p w:rsidR="00981B81" w:rsidRDefault="00981B81">
      <w:r>
        <w:t xml:space="preserve">2) преступления против общественной безопасности, связанные с нарушением правил безопасности производства отдельных видов работ и иных специальных правил безопасности: нарушение правил безопасности на объектах атомной энергетики (ст.215 УК); нарушение правил безопасности при ведении горных, строительных или иных работ (ст.216 УК); нарушение правил безопасности на взрывных объектах (ст.217 УК); нарушение правил пожарной безопасности (ст.219 УК); </w:t>
      </w:r>
    </w:p>
    <w:p w:rsidR="00981B81" w:rsidRDefault="00981B81">
      <w:r>
        <w:t xml:space="preserve">3) преступления против общественной безопасности, связанные с нарушением правил обращения с отдельными видами общеопасных предметов: нарушение правил учета, хранения, перевозки и использования взрывчатых, легковоспламеняющихся веществ и пиротехнических изделий (ст.218 УК); преступления, предметом которых являются радиоактивные материалы (незаконное обращение с радиоактивными материалами - ст.220 УК; хищение либо вымогательство радиоактивных материалов - ст.221 УК; преступления, связанные с незаконным оборотом оружия, боеприпасов, взрывчатых веществ и взрывных устройств, а также с нарушением правил обращения с ними (ст.222-226 УК); </w:t>
      </w:r>
    </w:p>
    <w:p w:rsidR="00981B81" w:rsidRDefault="00981B81">
      <w:r>
        <w:t xml:space="preserve">4) преступления против общественного порядка: хулиганство (ст.213 УК), вандализм (ст.214 УК). </w:t>
      </w:r>
    </w:p>
    <w:p w:rsidR="00981B81" w:rsidRDefault="00981B81"/>
    <w:p w:rsidR="00981B81" w:rsidRDefault="00981B81">
      <w:pPr>
        <w:pStyle w:val="2"/>
      </w:pPr>
      <w:r>
        <w:rPr>
          <w:kern w:val="0"/>
        </w:rPr>
        <w:t>Отличие от преступлений против личности</w:t>
      </w:r>
    </w:p>
    <w:p w:rsidR="00981B81" w:rsidRDefault="00981B81"/>
    <w:p w:rsidR="00981B81" w:rsidRDefault="00981B81">
      <w:r>
        <w:t xml:space="preserve">Конституция РФ предоставляет гражданам России весьма широкий круг прав и свобод. Однако для их реализации требуется система серьезных гарантий. Последние весьма разнообразны по своей природе и содержанию: экономические, политические, социальные и т.д. Немаловажная роль в этой системе принадлежит юридическим (правовым) гарантиям. На обеспечение прав и свобод личности направлены нормы всех отраслей права: конституционного, гражданского, трудового и т.д. Но особое место отводится нормам уголовного законодательства, поскольку именно они охраняют права и свободы гражданина от наиболее серьезных посягательств, оказывающих на них наиболее глубокое негативное воздействие. </w:t>
      </w:r>
    </w:p>
    <w:p w:rsidR="00981B81" w:rsidRDefault="00981B81">
      <w:r>
        <w:t xml:space="preserve">Статья 2 УК РФ первоочередной задачей уголовного закона провозглашает охрану прав и свобод человека и гражданина. В связи с этим он содержит обширную систему норм, направленных на борьбу с многочисленными посягательствами на основные неотъемлемые блага, права и свободы личности: жизнь, здоровье, честь, достоинство, личную свободу и т.д. Все эти нормы объединены в разд. VII УК РФ "Преступления против личности". </w:t>
      </w:r>
    </w:p>
    <w:p w:rsidR="00981B81" w:rsidRDefault="00981B81">
      <w:r>
        <w:t xml:space="preserve">Данную группу преступлений можно определить как виновно совершенные общественно опасные деяния (действия либо бездействие), запрещенные уголовным законом и посягающие на основные блага, права и свободы человека и гражданина. </w:t>
      </w:r>
    </w:p>
    <w:p w:rsidR="00981B81" w:rsidRDefault="00981B81">
      <w:r>
        <w:t xml:space="preserve">2. Родовым объектом преступлений против личности выступает личность во всех ее проявлениях со всей совокупностью принадлежащих и гарантированных ей прав и свобод. </w:t>
      </w:r>
    </w:p>
    <w:p w:rsidR="00981B81" w:rsidRDefault="00981B81">
      <w:r>
        <w:t xml:space="preserve">Видовыми (групповыми) объектами названных преступлений являются конкретные блага, права и свободы личности: жизнь и здоровье, честь и достоинство, половая свобода и т.д. </w:t>
      </w:r>
    </w:p>
    <w:p w:rsidR="00981B81" w:rsidRDefault="00981B81">
      <w:r>
        <w:t xml:space="preserve">Именно с учетом видового объекта преступления против личности распределены по главам внутри разд. VII УК. Но, классифицируя рассматриваемые преступные деяния, необходимо учитывать, что внутри глав следует выделять подгруппы преступлений против личности, исходя из характеристики их непосредственного объекта. </w:t>
      </w:r>
    </w:p>
    <w:p w:rsidR="00981B81" w:rsidRDefault="00981B81">
      <w:r>
        <w:t xml:space="preserve">3. С учетом изложенного классификация преступлений против личности может быть представлена следующим образом: </w:t>
      </w:r>
    </w:p>
    <w:p w:rsidR="00981B81" w:rsidRDefault="00981B81">
      <w:r>
        <w:t xml:space="preserve">• преступления против жизни (ст.105-110 УК); </w:t>
      </w:r>
    </w:p>
    <w:p w:rsidR="00981B81" w:rsidRDefault="00981B81">
      <w:r>
        <w:t xml:space="preserve">• преступления против здоровья (ст.111-118, 121, 122 УК); </w:t>
      </w:r>
    </w:p>
    <w:p w:rsidR="00981B81" w:rsidRDefault="00981B81">
      <w:r>
        <w:t xml:space="preserve">• преступления, создающие реальную угрозу жизни и здоровью человека (ст.119-120, 123-125 УК); </w:t>
      </w:r>
    </w:p>
    <w:p w:rsidR="00981B81" w:rsidRDefault="00981B81">
      <w:r>
        <w:t xml:space="preserve">• преступления против личной свободы (ст.126-128 УК); </w:t>
      </w:r>
    </w:p>
    <w:p w:rsidR="00981B81" w:rsidRDefault="00981B81">
      <w:r>
        <w:t xml:space="preserve">• преступления против чести и достоинства (ст.129, 130 УК); </w:t>
      </w:r>
    </w:p>
    <w:p w:rsidR="00981B81" w:rsidRDefault="00981B81">
      <w:r>
        <w:t xml:space="preserve">• преступления против половой неприкосновенности и половой свободы личности (ст.131-135 УК); </w:t>
      </w:r>
    </w:p>
    <w:p w:rsidR="00981B81" w:rsidRDefault="00981B81">
      <w:r>
        <w:t xml:space="preserve">• преступления против конституционных прав и свобод человека и гражданина (ст.136-149 УК); </w:t>
      </w:r>
    </w:p>
    <w:p w:rsidR="00981B81" w:rsidRDefault="00981B81">
      <w:r>
        <w:t>• преступления против семьи и несовершеннолетних (ст.150 - 157 УК).</w:t>
      </w:r>
    </w:p>
    <w:p w:rsidR="00981B81" w:rsidRDefault="00981B81"/>
    <w:tbl>
      <w:tblPr>
        <w:tblW w:w="5000" w:type="pct"/>
        <w:tblInd w:w="-108" w:type="dxa"/>
        <w:tblLook w:val="0000" w:firstRow="0" w:lastRow="0" w:firstColumn="0" w:lastColumn="0" w:noHBand="0" w:noVBand="0"/>
      </w:tblPr>
      <w:tblGrid>
        <w:gridCol w:w="9571"/>
      </w:tblGrid>
      <w:tr w:rsidR="00981B81">
        <w:trPr>
          <w:trHeight w:val="512"/>
        </w:trPr>
        <w:tc>
          <w:tcPr>
            <w:tcW w:w="5000" w:type="pct"/>
            <w:tcBorders>
              <w:top w:val="nil"/>
              <w:left w:val="nil"/>
              <w:bottom w:val="nil"/>
              <w:right w:val="nil"/>
            </w:tcBorders>
            <w:vAlign w:val="bottom"/>
          </w:tcPr>
          <w:p w:rsidR="00981B81" w:rsidRDefault="00981B81">
            <w:pPr>
              <w:pStyle w:val="aff2"/>
            </w:pPr>
            <w:r>
              <w:t xml:space="preserve">Гр. Кацов Д.Л., ранее судимый за кражу чужого имущества, вошел в квартиру гр. Турова Т. Р., где в присутствии его шестилетнего сына похитил деньги и вещи на общую сумму 5 тыс.700 руб. Действия гр. Кацова Д.Л. судом квалифицированы по ч.2 ст.161 УК. Суд второй инстанции переквалифицировал содеянное виновным на ч.2 ст.158 УК, сославшись на то, что шестилетний сын потерпевшего, в присутствии которого было совершено хищение, хотя и видел происходящее, но в силу своего малолетнего возраста не понимал и не мог понять противоправного характера действий гр. Кацова Д.Л. в том объеме, как этого требует уголовный закон, а также был не способен противодействовать преступнику. </w:t>
            </w:r>
          </w:p>
        </w:tc>
      </w:tr>
      <w:tr w:rsidR="00981B81">
        <w:trPr>
          <w:trHeight w:val="513"/>
        </w:trPr>
        <w:tc>
          <w:tcPr>
            <w:tcW w:w="5000" w:type="pct"/>
            <w:tcBorders>
              <w:top w:val="nil"/>
              <w:left w:val="nil"/>
              <w:bottom w:val="nil"/>
              <w:right w:val="nil"/>
            </w:tcBorders>
            <w:vAlign w:val="bottom"/>
          </w:tcPr>
          <w:p w:rsidR="00981B81" w:rsidRDefault="00981B81">
            <w:pPr>
              <w:pStyle w:val="aff2"/>
            </w:pPr>
            <w:r>
              <w:t xml:space="preserve">Вопросы: </w:t>
            </w:r>
          </w:p>
        </w:tc>
      </w:tr>
      <w:tr w:rsidR="00981B81">
        <w:trPr>
          <w:trHeight w:val="512"/>
        </w:trPr>
        <w:tc>
          <w:tcPr>
            <w:tcW w:w="5000" w:type="pct"/>
            <w:tcBorders>
              <w:top w:val="nil"/>
              <w:left w:val="nil"/>
              <w:bottom w:val="nil"/>
              <w:right w:val="nil"/>
            </w:tcBorders>
            <w:vAlign w:val="bottom"/>
          </w:tcPr>
          <w:p w:rsidR="00981B81" w:rsidRDefault="00981B81">
            <w:pPr>
              <w:pStyle w:val="aff2"/>
            </w:pPr>
            <w:r>
              <w:t xml:space="preserve">Правильно ли произведена квалификация данного деяния судом? </w:t>
            </w:r>
          </w:p>
        </w:tc>
      </w:tr>
      <w:tr w:rsidR="00981B81">
        <w:trPr>
          <w:trHeight w:val="513"/>
        </w:trPr>
        <w:tc>
          <w:tcPr>
            <w:tcW w:w="5000" w:type="pct"/>
            <w:tcBorders>
              <w:top w:val="nil"/>
              <w:left w:val="nil"/>
              <w:bottom w:val="nil"/>
              <w:right w:val="nil"/>
            </w:tcBorders>
            <w:vAlign w:val="bottom"/>
          </w:tcPr>
          <w:p w:rsidR="00981B81" w:rsidRDefault="00981B81">
            <w:pPr>
              <w:pStyle w:val="aff2"/>
            </w:pPr>
            <w:r>
              <w:t xml:space="preserve">Определите состав данного преступления. </w:t>
            </w:r>
          </w:p>
        </w:tc>
      </w:tr>
      <w:tr w:rsidR="00981B81">
        <w:trPr>
          <w:trHeight w:val="512"/>
        </w:trPr>
        <w:tc>
          <w:tcPr>
            <w:tcW w:w="5000" w:type="pct"/>
            <w:tcBorders>
              <w:top w:val="nil"/>
              <w:left w:val="nil"/>
              <w:bottom w:val="nil"/>
              <w:right w:val="nil"/>
            </w:tcBorders>
            <w:vAlign w:val="bottom"/>
          </w:tcPr>
          <w:p w:rsidR="00981B81" w:rsidRDefault="00981B81">
            <w:pPr>
              <w:pStyle w:val="aff2"/>
            </w:pPr>
            <w:r>
              <w:t xml:space="preserve">В чем состоит различие между кражей и грабежом? </w:t>
            </w:r>
          </w:p>
        </w:tc>
      </w:tr>
    </w:tbl>
    <w:p w:rsidR="00981B81" w:rsidRDefault="00981B81">
      <w:r>
        <w:br w:type="page"/>
        <w:t>Вопрос № 1.</w:t>
      </w:r>
    </w:p>
    <w:p w:rsidR="00981B81" w:rsidRDefault="00981B81">
      <w:r>
        <w:t xml:space="preserve">Переквалификация действий гр. Кацова Д.Л. судом второй инстанции правомерна. Так в соответствии с ч.2 ст.161 УК РФ открытым признается такое хищение, которое совершается в присутствии собственника или иного владельца имущества либо на виду у посторонних, когда лицо, совершающее хищение, осознает, что присутствующие при этом лица понимают противоправный характер его действий, но игнорирует данное обстоятельство (п.3 Постановления Пленума ВС РФ N 29). </w:t>
      </w:r>
    </w:p>
    <w:p w:rsidR="00981B81" w:rsidRDefault="00981B81">
      <w:r>
        <w:t xml:space="preserve">Но в силу своего малолетнего возраста сын гр. Турова Т.Р. не мог осознавать противоправный характер действиям гр. Кацова Д.Л. на основании чего следует прийти к выводу, что гр. Кацовым Д.Л. совершено преступление предусмотренное ч.2 ст.158 УК РФ. </w:t>
      </w:r>
    </w:p>
    <w:p w:rsidR="00981B81" w:rsidRDefault="00981B81">
      <w:r>
        <w:t>Вопрос № 2.</w:t>
      </w:r>
    </w:p>
    <w:p w:rsidR="00981B81" w:rsidRDefault="00981B81">
      <w:r>
        <w:t xml:space="preserve">ч.2 ст.158 УК РФ </w:t>
      </w:r>
    </w:p>
    <w:p w:rsidR="00981B81" w:rsidRDefault="00981B81">
      <w:r>
        <w:t xml:space="preserve">Субъект – субъектом преступного посягательства признается физическое вменяемое лицо, достигшее к моменту совершения преступления 14 лет. </w:t>
      </w:r>
    </w:p>
    <w:p w:rsidR="00981B81" w:rsidRDefault="00981B81">
      <w:r>
        <w:t xml:space="preserve">Объект – основным объектом преступного посягательства выступает чужая собственность, факультативными – неприкосновенность личности, право на неприкосновенность жилища. </w:t>
      </w:r>
    </w:p>
    <w:p w:rsidR="00981B81" w:rsidRDefault="00981B81">
      <w:r>
        <w:t xml:space="preserve">Субъективная сторона – субъективную сторону составов преступления характеризуют вина в форме прямого умысла и корыстная цель. </w:t>
      </w:r>
    </w:p>
    <w:p w:rsidR="00981B81" w:rsidRDefault="00981B81">
      <w:r>
        <w:t xml:space="preserve">Объективная сторона – объективная сторона кражи выражается в тайном хищении чужого имущества. </w:t>
      </w:r>
    </w:p>
    <w:p w:rsidR="00981B81" w:rsidRDefault="00981B81">
      <w:r>
        <w:t>Вопрос № 3</w:t>
      </w:r>
    </w:p>
    <w:p w:rsidR="00981B81" w:rsidRDefault="00981B81">
      <w:r>
        <w:t xml:space="preserve">Основным различием между кражей и грабежом заключается в том, что при краже деяние совершается тайно от собственника имущества, при этом хищение признается тайным (кражей), если оно совершено: в присутствие собственника или иного владельца похищаемого имущества либо посторонних лиц; в присутствии указанных лиц, но незаметно для них; в присутствии данных лиц и заметно для них, но если виновный, исходя из окружающей обстановки, считал, что действует тайно (п.2 Постановления Пленума ВС РФ N 29). </w:t>
      </w:r>
    </w:p>
    <w:p w:rsidR="00981B81" w:rsidRDefault="00981B81">
      <w:r>
        <w:t xml:space="preserve">При грабеже хищение совершается открыто для собственника имущества, при этом открытым признается такое похищение, которое совершается в присутствии собственника или иного владельца имущества либо на виду у посторонних, когда лицо, совершающее хищение, осознает, что присутствующие при этом лица понимают противоправный характер его действий, но игнорирует данное обстоятельство (п.3 Постановления Пленума ВС РФ N 29). </w:t>
      </w:r>
      <w:bookmarkStart w:id="2" w:name="_GoBack"/>
      <w:bookmarkEnd w:id="2"/>
    </w:p>
    <w:sectPr w:rsidR="00981B8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59" w:rsidRDefault="00CE4A59">
      <w:r>
        <w:separator/>
      </w:r>
    </w:p>
  </w:endnote>
  <w:endnote w:type="continuationSeparator" w:id="0">
    <w:p w:rsidR="00CE4A59" w:rsidRDefault="00C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81" w:rsidRDefault="00981B8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81" w:rsidRDefault="00981B8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59" w:rsidRDefault="00CE4A59">
      <w:r>
        <w:separator/>
      </w:r>
    </w:p>
  </w:footnote>
  <w:footnote w:type="continuationSeparator" w:id="0">
    <w:p w:rsidR="00CE4A59" w:rsidRDefault="00CE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81" w:rsidRDefault="002E359E">
    <w:pPr>
      <w:pStyle w:val="af9"/>
      <w:framePr w:wrap="auto" w:vAnchor="text" w:hAnchor="margin" w:xAlign="right" w:y="1"/>
      <w:rPr>
        <w:rStyle w:val="a9"/>
      </w:rPr>
    </w:pPr>
    <w:r>
      <w:rPr>
        <w:rStyle w:val="a9"/>
      </w:rPr>
      <w:t>2</w:t>
    </w:r>
  </w:p>
  <w:p w:rsidR="00981B81" w:rsidRDefault="00981B81">
    <w:pPr>
      <w:pStyle w:val="af9"/>
      <w:ind w:right="360"/>
    </w:pPr>
  </w:p>
  <w:p w:rsidR="00981B81" w:rsidRDefault="00981B8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81" w:rsidRDefault="00981B8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0C8211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42B31BCB"/>
    <w:multiLevelType w:val="hybridMultilevel"/>
    <w:tmpl w:val="23A850E0"/>
    <w:lvl w:ilvl="0" w:tplc="0419000F">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D34BEA"/>
    <w:multiLevelType w:val="singleLevel"/>
    <w:tmpl w:val="B3CE7834"/>
    <w:lvl w:ilvl="0">
      <w:start w:val="1"/>
      <w:numFmt w:val="decimal"/>
      <w:pStyle w:val="a0"/>
      <w:lvlText w:val="%1."/>
      <w:lvlJc w:val="left"/>
      <w:pPr>
        <w:tabs>
          <w:tab w:val="num" w:pos="1080"/>
        </w:tabs>
        <w:ind w:firstLine="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B81"/>
    <w:rsid w:val="002E359E"/>
    <w:rsid w:val="00981B81"/>
    <w:rsid w:val="00982B93"/>
    <w:rsid w:val="00A42BF8"/>
    <w:rsid w:val="00CE4A59"/>
    <w:rsid w:val="00E0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F67D8-BF65-418A-AD59-FAEBFB0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spacing w:before="240" w:after="60"/>
      <w:outlineLvl w:val="8"/>
    </w:pPr>
    <w:rPr>
      <w:rFonts w:ascii="Cambria" w:hAnsi="Cambria" w:cs="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No Spacing"/>
    <w:basedOn w:val="a1"/>
    <w:uiPriority w:val="99"/>
    <w:qFormat/>
  </w:style>
  <w:style w:type="character" w:customStyle="1" w:styleId="a6">
    <w:name w:val="Без интервала Знак"/>
    <w:uiPriority w:val="99"/>
    <w:rPr>
      <w:sz w:val="32"/>
      <w:szCs w:val="32"/>
    </w:rPr>
  </w:style>
  <w:style w:type="paragraph" w:styleId="a7">
    <w:name w:val="Balloon Text"/>
    <w:basedOn w:val="a1"/>
    <w:link w:val="a8"/>
    <w:uiPriority w:val="99"/>
    <w:semiHidden/>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page number"/>
    <w:uiPriority w:val="99"/>
  </w:style>
  <w:style w:type="paragraph" w:styleId="aa">
    <w:name w:val="Title"/>
    <w:basedOn w:val="a1"/>
    <w:next w:val="a1"/>
    <w:link w:val="ab"/>
    <w:uiPriority w:val="99"/>
    <w:qFormat/>
    <w:pPr>
      <w:spacing w:before="240" w:after="60"/>
      <w:jc w:val="center"/>
      <w:outlineLvl w:val="0"/>
    </w:pPr>
    <w:rPr>
      <w:rFonts w:ascii="Cambria" w:hAnsi="Cambria" w:cs="Cambria"/>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1"/>
    <w:next w:val="a1"/>
    <w:link w:val="ad"/>
    <w:uiPriority w:val="99"/>
    <w:qFormat/>
    <w:pPr>
      <w:spacing w:after="60"/>
      <w:jc w:val="center"/>
      <w:outlineLvl w:val="1"/>
    </w:pPr>
    <w:rPr>
      <w:rFonts w:ascii="Cambria" w:hAnsi="Cambria" w:cs="Cambria"/>
    </w:rPr>
  </w:style>
  <w:style w:type="character" w:customStyle="1" w:styleId="ad">
    <w:name w:val="Подзаголовок Знак"/>
    <w:link w:val="ac"/>
    <w:uiPriority w:val="11"/>
    <w:rPr>
      <w:rFonts w:ascii="Cambria" w:eastAsia="Times New Roman" w:hAnsi="Cambria" w:cs="Times New Roman"/>
      <w:sz w:val="24"/>
      <w:szCs w:val="24"/>
    </w:rPr>
  </w:style>
  <w:style w:type="character" w:styleId="ae">
    <w:name w:val="Strong"/>
    <w:uiPriority w:val="99"/>
    <w:qFormat/>
    <w:rPr>
      <w:b/>
      <w:bCs/>
    </w:rPr>
  </w:style>
  <w:style w:type="character" w:styleId="af">
    <w:name w:val="Emphasis"/>
    <w:uiPriority w:val="99"/>
    <w:qFormat/>
    <w:rPr>
      <w:rFonts w:ascii="Calibri" w:hAnsi="Calibri" w:cs="Calibri"/>
      <w:b/>
      <w:bCs/>
      <w:i/>
      <w:iCs/>
    </w:rPr>
  </w:style>
  <w:style w:type="paragraph" w:styleId="af0">
    <w:name w:val="List Paragraph"/>
    <w:basedOn w:val="a1"/>
    <w:uiPriority w:val="99"/>
    <w:qFormat/>
    <w:pPr>
      <w:ind w:left="720"/>
    </w:pPr>
  </w:style>
  <w:style w:type="paragraph" w:styleId="21">
    <w:name w:val="Quote"/>
    <w:basedOn w:val="a1"/>
    <w:next w:val="a1"/>
    <w:link w:val="22"/>
    <w:uiPriority w:val="99"/>
    <w:qFormat/>
    <w:rPr>
      <w:i/>
      <w:iCs/>
    </w:rPr>
  </w:style>
  <w:style w:type="character" w:customStyle="1" w:styleId="22">
    <w:name w:val="Цитата 2 Знак"/>
    <w:link w:val="21"/>
    <w:uiPriority w:val="99"/>
    <w:rPr>
      <w:i/>
      <w:iCs/>
      <w:sz w:val="24"/>
      <w:szCs w:val="24"/>
    </w:rPr>
  </w:style>
  <w:style w:type="paragraph" w:styleId="af1">
    <w:name w:val="Intense Quote"/>
    <w:basedOn w:val="a1"/>
    <w:next w:val="a1"/>
    <w:link w:val="af2"/>
    <w:uiPriority w:val="99"/>
    <w:qFormat/>
    <w:pPr>
      <w:ind w:left="720" w:right="720"/>
    </w:pPr>
    <w:rPr>
      <w:b/>
      <w:bCs/>
      <w:i/>
      <w:iCs/>
    </w:rPr>
  </w:style>
  <w:style w:type="character" w:customStyle="1" w:styleId="af2">
    <w:name w:val="Выделенная цитата Знак"/>
    <w:link w:val="af1"/>
    <w:uiPriority w:val="99"/>
    <w:rPr>
      <w:b/>
      <w:bCs/>
      <w:i/>
      <w:iCs/>
      <w:sz w:val="24"/>
      <w:szCs w:val="24"/>
    </w:rPr>
  </w:style>
  <w:style w:type="character" w:styleId="af3">
    <w:name w:val="Subtle Emphasis"/>
    <w:uiPriority w:val="99"/>
    <w:qFormat/>
    <w:rPr>
      <w:i/>
      <w:iCs/>
      <w:color w:val="auto"/>
    </w:rPr>
  </w:style>
  <w:style w:type="character" w:styleId="af4">
    <w:name w:val="Intense Emphasis"/>
    <w:uiPriority w:val="99"/>
    <w:qFormat/>
    <w:rPr>
      <w:b/>
      <w:bCs/>
      <w:i/>
      <w:iCs/>
      <w:sz w:val="24"/>
      <w:szCs w:val="24"/>
      <w:u w:val="single"/>
    </w:rPr>
  </w:style>
  <w:style w:type="character" w:styleId="af5">
    <w:name w:val="Subtle Reference"/>
    <w:uiPriority w:val="99"/>
    <w:qFormat/>
    <w:rPr>
      <w:sz w:val="24"/>
      <w:szCs w:val="24"/>
      <w:u w:val="single"/>
    </w:rPr>
  </w:style>
  <w:style w:type="character" w:styleId="af6">
    <w:name w:val="Intense Reference"/>
    <w:uiPriority w:val="99"/>
    <w:qFormat/>
    <w:rPr>
      <w:b/>
      <w:bCs/>
      <w:sz w:val="24"/>
      <w:szCs w:val="24"/>
      <w:u w:val="single"/>
    </w:rPr>
  </w:style>
  <w:style w:type="character" w:styleId="af7">
    <w:name w:val="Book Title"/>
    <w:uiPriority w:val="99"/>
    <w:qFormat/>
    <w:rPr>
      <w:rFonts w:ascii="Cambria" w:eastAsia="Times New Roman" w:hAnsi="Cambria" w:cs="Cambria"/>
      <w:b/>
      <w:bCs/>
      <w:i/>
      <w:iCs/>
      <w:sz w:val="24"/>
      <w:szCs w:val="24"/>
    </w:rPr>
  </w:style>
  <w:style w:type="paragraph" w:styleId="af8">
    <w:name w:val="TOC Heading"/>
    <w:basedOn w:val="1"/>
    <w:next w:val="a1"/>
    <w:uiPriority w:val="99"/>
    <w:qFormat/>
    <w:pPr>
      <w:outlineLvl w:val="9"/>
    </w:pPr>
  </w:style>
  <w:style w:type="paragraph" w:styleId="af9">
    <w:name w:val="header"/>
    <w:basedOn w:val="a1"/>
    <w:next w:val="afa"/>
    <w:link w:val="afb"/>
    <w:uiPriority w:val="99"/>
    <w:pPr>
      <w:tabs>
        <w:tab w:val="center" w:pos="4677"/>
        <w:tab w:val="right" w:pos="9355"/>
      </w:tabs>
      <w:jc w:val="right"/>
    </w:pPr>
    <w:rPr>
      <w:noProof/>
      <w:kern w:val="16"/>
    </w:rPr>
  </w:style>
  <w:style w:type="character" w:customStyle="1" w:styleId="afb">
    <w:name w:val="Верхний колонтитул Знак"/>
    <w:link w:val="af9"/>
    <w:uiPriority w:val="99"/>
    <w:rPr>
      <w:kern w:val="16"/>
      <w:sz w:val="24"/>
      <w:szCs w:val="24"/>
    </w:rPr>
  </w:style>
  <w:style w:type="paragraph" w:styleId="afa">
    <w:name w:val="Body Text"/>
    <w:basedOn w:val="a1"/>
    <w:link w:val="afc"/>
    <w:uiPriority w:val="99"/>
  </w:style>
  <w:style w:type="character" w:customStyle="1" w:styleId="afc">
    <w:name w:val="Основной текст Знак"/>
    <w:link w:val="afa"/>
    <w:uiPriority w:val="99"/>
    <w:semiHidden/>
    <w:rPr>
      <w:sz w:val="28"/>
      <w:szCs w:val="28"/>
    </w:rPr>
  </w:style>
  <w:style w:type="paragraph" w:styleId="afd">
    <w:name w:val="footer"/>
    <w:basedOn w:val="a1"/>
    <w:link w:val="afe"/>
    <w:uiPriority w:val="99"/>
    <w:pPr>
      <w:tabs>
        <w:tab w:val="center" w:pos="4677"/>
        <w:tab w:val="right" w:pos="9355"/>
      </w:tabs>
    </w:pPr>
  </w:style>
  <w:style w:type="character" w:customStyle="1" w:styleId="afe">
    <w:name w:val="Нижний колонтитул Знак"/>
    <w:link w:val="afd"/>
    <w:uiPriority w:val="99"/>
    <w:semiHidden/>
    <w:rPr>
      <w:sz w:val="28"/>
      <w:szCs w:val="28"/>
    </w:rPr>
  </w:style>
  <w:style w:type="paragraph" w:customStyle="1" w:styleId="aff">
    <w:name w:val="выделение"/>
    <w:uiPriority w:val="99"/>
    <w:pPr>
      <w:spacing w:line="360" w:lineRule="auto"/>
      <w:ind w:firstLine="709"/>
      <w:jc w:val="both"/>
    </w:pPr>
    <w:rPr>
      <w:b/>
      <w:bCs/>
      <w:i/>
      <w:iCs/>
      <w:noProof/>
      <w:sz w:val="28"/>
      <w:szCs w:val="28"/>
    </w:rPr>
  </w:style>
  <w:style w:type="character" w:styleId="aff0">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3">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2"/>
      </w:numPr>
      <w:spacing w:line="360" w:lineRule="auto"/>
      <w:jc w:val="both"/>
    </w:pPr>
    <w:rPr>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noProof/>
      <w:sz w:val="28"/>
      <w:szCs w:val="28"/>
    </w:rPr>
  </w:style>
  <w:style w:type="paragraph" w:customStyle="1" w:styleId="aff1">
    <w:name w:val="схема"/>
    <w:uiPriority w:val="99"/>
    <w:pPr>
      <w:jc w:val="center"/>
    </w:pPr>
    <w:rPr>
      <w:noProof/>
      <w:sz w:val="24"/>
      <w:szCs w:val="24"/>
    </w:rPr>
  </w:style>
  <w:style w:type="paragraph" w:customStyle="1" w:styleId="aff2">
    <w:name w:val="ТАБЛИЦА"/>
    <w:uiPriority w:val="99"/>
    <w:pPr>
      <w:jc w:val="center"/>
    </w:pPr>
  </w:style>
  <w:style w:type="paragraph" w:styleId="aff3">
    <w:name w:val="footnote text"/>
    <w:basedOn w:val="a1"/>
    <w:link w:val="aff4"/>
    <w:uiPriority w:val="99"/>
    <w:semiHidden/>
  </w:style>
  <w:style w:type="character" w:customStyle="1" w:styleId="aff4">
    <w:name w:val="Текст сноски Знак"/>
    <w:link w:val="aff3"/>
    <w:uiPriority w:val="99"/>
    <w:semiHidden/>
    <w:rPr>
      <w:sz w:val="20"/>
      <w:szCs w:val="20"/>
    </w:rPr>
  </w:style>
  <w:style w:type="paragraph" w:customStyle="1" w:styleId="aff5">
    <w:name w:val="титут"/>
    <w:uiPriority w:val="9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Толкование уголовного закона</vt:lpstr>
    </vt:vector>
  </TitlesOfParts>
  <Company>Microsoft</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Толкование уголовного закона</dc:title>
  <dc:subject/>
  <dc:creator>Admin</dc:creator>
  <cp:keywords/>
  <dc:description/>
  <cp:lastModifiedBy>admin</cp:lastModifiedBy>
  <cp:revision>2</cp:revision>
  <dcterms:created xsi:type="dcterms:W3CDTF">2014-03-07T10:31:00Z</dcterms:created>
  <dcterms:modified xsi:type="dcterms:W3CDTF">2014-03-07T10:31:00Z</dcterms:modified>
</cp:coreProperties>
</file>