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87" w:rsidRPr="00FD7DCD" w:rsidRDefault="00006087" w:rsidP="00FD7DCD">
      <w:pPr>
        <w:pStyle w:val="aff1"/>
      </w:pPr>
    </w:p>
    <w:p w:rsidR="00006087" w:rsidRPr="00FD7DCD" w:rsidRDefault="00006087" w:rsidP="00FD7DCD">
      <w:pPr>
        <w:pStyle w:val="aff1"/>
      </w:pPr>
    </w:p>
    <w:p w:rsidR="00006087" w:rsidRPr="00FD7DCD" w:rsidRDefault="00006087" w:rsidP="00FD7DCD">
      <w:pPr>
        <w:pStyle w:val="aff1"/>
      </w:pPr>
    </w:p>
    <w:p w:rsidR="00006087" w:rsidRDefault="00006087" w:rsidP="00FD7DCD">
      <w:pPr>
        <w:pStyle w:val="aff1"/>
      </w:pPr>
    </w:p>
    <w:p w:rsidR="00FD7DCD" w:rsidRDefault="00FD7DCD" w:rsidP="00FD7DCD">
      <w:pPr>
        <w:pStyle w:val="aff1"/>
      </w:pPr>
    </w:p>
    <w:p w:rsidR="00FD7DCD" w:rsidRDefault="00FD7DCD" w:rsidP="00FD7DCD">
      <w:pPr>
        <w:pStyle w:val="aff1"/>
      </w:pPr>
    </w:p>
    <w:p w:rsidR="00FD7DCD" w:rsidRDefault="00FD7DCD" w:rsidP="00FD7DCD">
      <w:pPr>
        <w:pStyle w:val="aff1"/>
      </w:pPr>
    </w:p>
    <w:p w:rsidR="00FD7DCD" w:rsidRDefault="00FD7DCD" w:rsidP="00FD7DCD">
      <w:pPr>
        <w:pStyle w:val="aff1"/>
      </w:pPr>
    </w:p>
    <w:p w:rsidR="00FD7DCD" w:rsidRDefault="00FD7DCD" w:rsidP="00FD7DCD">
      <w:pPr>
        <w:pStyle w:val="aff1"/>
      </w:pPr>
    </w:p>
    <w:p w:rsidR="00FD7DCD" w:rsidRDefault="00FD7DCD" w:rsidP="00FD7DCD">
      <w:pPr>
        <w:pStyle w:val="aff1"/>
      </w:pPr>
    </w:p>
    <w:p w:rsidR="00FD7DCD" w:rsidRDefault="00FD7DCD" w:rsidP="00FD7DCD">
      <w:pPr>
        <w:pStyle w:val="aff1"/>
      </w:pPr>
    </w:p>
    <w:p w:rsidR="00FD7DCD" w:rsidRPr="00FD7DCD" w:rsidRDefault="00FD7DCD" w:rsidP="00FD7DCD">
      <w:pPr>
        <w:pStyle w:val="aff1"/>
      </w:pPr>
    </w:p>
    <w:p w:rsidR="00006087" w:rsidRPr="00FD7DCD" w:rsidRDefault="00C46A80" w:rsidP="00FD7DCD">
      <w:pPr>
        <w:pStyle w:val="aff1"/>
      </w:pPr>
      <w:r w:rsidRPr="00FD7DCD">
        <w:t>КОНТРОЛЬНАЯ РАБОТА</w:t>
      </w:r>
    </w:p>
    <w:p w:rsidR="00006087" w:rsidRPr="00FD7DCD" w:rsidRDefault="00C46A80" w:rsidP="00FD7DCD">
      <w:pPr>
        <w:pStyle w:val="aff1"/>
      </w:pPr>
      <w:r w:rsidRPr="00FD7DCD">
        <w:t>Торговая организация в системе гражданских правоотношений</w:t>
      </w:r>
    </w:p>
    <w:p w:rsidR="00006087" w:rsidRDefault="00FD7DCD" w:rsidP="00FD7DCD">
      <w:pPr>
        <w:pStyle w:val="af9"/>
      </w:pPr>
      <w:r>
        <w:br w:type="page"/>
      </w:r>
      <w:r w:rsidR="00006087" w:rsidRPr="00FD7DCD">
        <w:t>Содержание</w:t>
      </w:r>
    </w:p>
    <w:p w:rsidR="00FD7DCD" w:rsidRPr="00FD7DCD" w:rsidRDefault="00FD7DCD" w:rsidP="00FD7DCD">
      <w:pPr>
        <w:pStyle w:val="af9"/>
      </w:pPr>
    </w:p>
    <w:p w:rsidR="00DA61EA" w:rsidRDefault="00DA61EA">
      <w:pPr>
        <w:pStyle w:val="22"/>
        <w:rPr>
          <w:smallCaps w:val="0"/>
          <w:noProof/>
          <w:sz w:val="24"/>
          <w:szCs w:val="24"/>
        </w:rPr>
      </w:pPr>
      <w:r w:rsidRPr="00E14B43">
        <w:rPr>
          <w:rStyle w:val="af2"/>
          <w:noProof/>
        </w:rPr>
        <w:t>1. Содержание договора о товарообмене</w:t>
      </w:r>
    </w:p>
    <w:p w:rsidR="00DA61EA" w:rsidRDefault="00DA61EA">
      <w:pPr>
        <w:pStyle w:val="22"/>
        <w:rPr>
          <w:smallCaps w:val="0"/>
          <w:noProof/>
          <w:sz w:val="24"/>
          <w:szCs w:val="24"/>
        </w:rPr>
      </w:pPr>
      <w:r w:rsidRPr="00E14B43">
        <w:rPr>
          <w:rStyle w:val="af2"/>
          <w:noProof/>
        </w:rPr>
        <w:t>1.1 Понятие биржевых сделок</w:t>
      </w:r>
    </w:p>
    <w:p w:rsidR="00DA61EA" w:rsidRDefault="00DA61EA">
      <w:pPr>
        <w:pStyle w:val="22"/>
        <w:rPr>
          <w:smallCaps w:val="0"/>
          <w:noProof/>
          <w:sz w:val="24"/>
          <w:szCs w:val="24"/>
        </w:rPr>
      </w:pPr>
      <w:r w:rsidRPr="00E14B43">
        <w:rPr>
          <w:rStyle w:val="af2"/>
          <w:noProof/>
        </w:rPr>
        <w:t>1.2 Практика</w:t>
      </w:r>
    </w:p>
    <w:p w:rsidR="00DA61EA" w:rsidRDefault="00DA61EA">
      <w:pPr>
        <w:pStyle w:val="22"/>
        <w:rPr>
          <w:smallCaps w:val="0"/>
          <w:noProof/>
          <w:sz w:val="24"/>
          <w:szCs w:val="24"/>
        </w:rPr>
      </w:pPr>
      <w:r w:rsidRPr="00E14B43">
        <w:rPr>
          <w:rStyle w:val="af2"/>
          <w:noProof/>
        </w:rPr>
        <w:t>Библиография</w:t>
      </w:r>
    </w:p>
    <w:p w:rsidR="00006087" w:rsidRPr="00FD7DCD" w:rsidRDefault="00006087" w:rsidP="00006087">
      <w:pPr>
        <w:ind w:firstLine="709"/>
      </w:pPr>
    </w:p>
    <w:p w:rsidR="00006087" w:rsidRPr="00FD7DCD" w:rsidRDefault="0010186F" w:rsidP="00DA61EA">
      <w:pPr>
        <w:pStyle w:val="2"/>
      </w:pPr>
      <w:r>
        <w:br w:type="page"/>
      </w:r>
      <w:bookmarkStart w:id="0" w:name="_Toc255295969"/>
      <w:r>
        <w:t xml:space="preserve">1. </w:t>
      </w:r>
      <w:r w:rsidR="00C46A80" w:rsidRPr="00FD7DCD">
        <w:t>Содержание договора о товарообмене</w:t>
      </w:r>
      <w:bookmarkEnd w:id="0"/>
    </w:p>
    <w:p w:rsidR="0010186F" w:rsidRDefault="0010186F" w:rsidP="00006087">
      <w:pPr>
        <w:ind w:firstLine="709"/>
      </w:pPr>
    </w:p>
    <w:p w:rsidR="00006087" w:rsidRPr="00FD7DCD" w:rsidRDefault="00C46A80" w:rsidP="00006087">
      <w:pPr>
        <w:ind w:firstLine="709"/>
      </w:pPr>
      <w:r w:rsidRPr="00FD7DCD">
        <w:t>В соответствии со ст</w:t>
      </w:r>
      <w:r w:rsidR="00006087" w:rsidRPr="00FD7DCD">
        <w:t>.5</w:t>
      </w:r>
      <w:r w:rsidRPr="00FD7DCD">
        <w:t>67 Гражданского Кодекса РФ</w:t>
      </w:r>
      <w:r w:rsidR="00006087" w:rsidRPr="00FD7DCD">
        <w:t xml:space="preserve"> (</w:t>
      </w:r>
      <w:r w:rsidRPr="00FD7DCD">
        <w:t>далее ГК РФ</w:t>
      </w:r>
      <w:r w:rsidR="00006087" w:rsidRPr="00FD7DCD">
        <w:t xml:space="preserve">) </w:t>
      </w:r>
      <w:r w:rsidRPr="00FD7DCD">
        <w:t>по договору мены каждая из сторон обязуется передать в собственность другой стороны один товар в обмен на другой</w:t>
      </w:r>
      <w:r w:rsidR="00006087" w:rsidRPr="00FD7DCD">
        <w:t>.</w:t>
      </w:r>
    </w:p>
    <w:p w:rsidR="00006087" w:rsidRPr="00FD7DCD" w:rsidRDefault="00C46A80" w:rsidP="00006087">
      <w:pPr>
        <w:ind w:firstLine="709"/>
      </w:pPr>
      <w:r w:rsidRPr="00FD7DCD">
        <w:t>К договору мены применяются соответственно правила о купле-продаже</w:t>
      </w:r>
      <w:r w:rsidR="00006087" w:rsidRPr="00FD7DCD">
        <w:t xml:space="preserve"> (</w:t>
      </w:r>
      <w:r w:rsidRPr="00FD7DCD">
        <w:t>глава 30 ГК РФ</w:t>
      </w:r>
      <w:r w:rsidR="00006087" w:rsidRPr="00FD7DCD">
        <w:t>),</w:t>
      </w:r>
      <w:r w:rsidRPr="00FD7DCD">
        <w:t xml:space="preserve"> если это не противоречит существу мены</w:t>
      </w:r>
      <w:r w:rsidR="00006087" w:rsidRPr="00FD7DCD">
        <w:t xml:space="preserve">. </w:t>
      </w:r>
      <w:r w:rsidRPr="00FD7DCD">
        <w:t>При этом каждая из сторон признается продавцом товара, который она обязуется передать, и покупателем товара, который она обязуется принять в обмен</w:t>
      </w:r>
      <w:r w:rsidR="00006087" w:rsidRPr="00FD7DCD">
        <w:t>.</w:t>
      </w:r>
    </w:p>
    <w:p w:rsidR="00006087" w:rsidRPr="00FD7DCD" w:rsidRDefault="00C46A80" w:rsidP="00006087">
      <w:pPr>
        <w:ind w:firstLine="709"/>
      </w:pPr>
      <w:r w:rsidRPr="00FD7DCD">
        <w:t>В соответствии со ст</w:t>
      </w:r>
      <w:r w:rsidR="00006087" w:rsidRPr="00FD7DCD">
        <w:t>.5</w:t>
      </w:r>
      <w:r w:rsidRPr="00FD7DCD">
        <w:t>68</w:t>
      </w:r>
      <w:r w:rsidR="00AB0B5B" w:rsidRPr="00FD7DCD">
        <w:t>,</w:t>
      </w:r>
      <w:r w:rsidRPr="00FD7DCD">
        <w:t xml:space="preserve"> если из договора мены не вытекает </w:t>
      </w:r>
      <w:r w:rsidR="00AB0B5B" w:rsidRPr="00FD7DCD">
        <w:t>иное, товары, подлежащие обмену,</w:t>
      </w:r>
      <w:r w:rsidRPr="00FD7DCD">
        <w:t xml:space="preserve"> предполагаются равноценными, а расходы на их передачу и принятие осуществляются в каждом случае той стороной, которая несет соответствующие обязанности</w:t>
      </w:r>
      <w:r w:rsidR="00006087" w:rsidRPr="00FD7DCD">
        <w:t>.</w:t>
      </w:r>
    </w:p>
    <w:p w:rsidR="00006087" w:rsidRPr="00FD7DCD" w:rsidRDefault="00C46A80" w:rsidP="00006087">
      <w:pPr>
        <w:ind w:firstLine="709"/>
      </w:pPr>
      <w:r w:rsidRPr="00FD7DCD">
        <w:t>В случае, когда в соответствии с договором мены обмениваемые товары признаются неравноценными, сторона, обязанная передать товар, цена которого ниже цены товара, предоставляемого в обмен, должна оплатить разницу в ценах непосредственно до или после исполнения ее обязанности передать товар, если иной порядок оплаты не предусмотрен договором</w:t>
      </w:r>
      <w:r w:rsidR="00006087" w:rsidRPr="00FD7DCD">
        <w:t>.</w:t>
      </w:r>
    </w:p>
    <w:p w:rsidR="00006087" w:rsidRPr="00FD7DCD" w:rsidRDefault="00C46A80" w:rsidP="00006087">
      <w:pPr>
        <w:ind w:firstLine="709"/>
      </w:pPr>
      <w:r w:rsidRPr="00FD7DCD">
        <w:t>В случае, когда в соответствии с договором мены сроки передачи обмениваемых товаров не совпадают, к исполнению обязательства передать товар стороной, которая должна передать товар после передачи товара другой стороной, применяются правила о встречном исполнении обязательств</w:t>
      </w:r>
      <w:r w:rsidR="00006087" w:rsidRPr="00FD7DCD">
        <w:t xml:space="preserve"> (</w:t>
      </w:r>
      <w:r w:rsidRPr="00FD7DCD">
        <w:t>статья 328 ГК РФ</w:t>
      </w:r>
      <w:r w:rsidR="00006087" w:rsidRPr="00FD7DCD">
        <w:t>).</w:t>
      </w:r>
    </w:p>
    <w:p w:rsidR="00006087" w:rsidRPr="00FD7DCD" w:rsidRDefault="00C46A80" w:rsidP="00006087">
      <w:pPr>
        <w:ind w:firstLine="709"/>
      </w:pPr>
      <w:r w:rsidRPr="00FD7DCD">
        <w:t>Переход права собственности на обмениваемые товары</w:t>
      </w:r>
      <w:r w:rsidR="00006087" w:rsidRPr="00FD7DCD">
        <w:t xml:space="preserve">. </w:t>
      </w:r>
      <w:r w:rsidRPr="00FD7DCD">
        <w:t>Если законом или договором мены не предусмотрено иное, право собственности на обмениваемые товары переходит к сторонам, выступающим по договору мены в качестве покупателей, одновременно после исполнения обязательств передать соответствующие товары обеими сторонами</w:t>
      </w:r>
      <w:r w:rsidR="00006087" w:rsidRPr="00FD7DCD">
        <w:t>.</w:t>
      </w:r>
    </w:p>
    <w:p w:rsidR="00006087" w:rsidRPr="00FD7DCD" w:rsidRDefault="0010186F" w:rsidP="0010186F">
      <w:pPr>
        <w:pStyle w:val="2"/>
      </w:pPr>
      <w:r>
        <w:br w:type="page"/>
      </w:r>
      <w:bookmarkStart w:id="1" w:name="_Toc255295970"/>
      <w:r w:rsidR="00006087" w:rsidRPr="00FD7DCD">
        <w:t>1.</w:t>
      </w:r>
      <w:r>
        <w:t>1</w:t>
      </w:r>
      <w:r w:rsidR="005526D9" w:rsidRPr="00FD7DCD">
        <w:t xml:space="preserve"> Понятие биржевых сделок</w:t>
      </w:r>
      <w:bookmarkEnd w:id="1"/>
    </w:p>
    <w:p w:rsidR="0010186F" w:rsidRDefault="0010186F" w:rsidP="00006087">
      <w:pPr>
        <w:ind w:firstLine="709"/>
      </w:pPr>
    </w:p>
    <w:p w:rsidR="00006087" w:rsidRPr="00FD7DCD" w:rsidRDefault="005526D9" w:rsidP="00006087">
      <w:pPr>
        <w:ind w:firstLine="709"/>
      </w:pPr>
      <w:r w:rsidRPr="00FD7DCD">
        <w:t>Биржа</w:t>
      </w:r>
      <w:r w:rsidR="00006087" w:rsidRPr="00FD7DCD">
        <w:t xml:space="preserve"> - </w:t>
      </w:r>
      <w:r w:rsidRPr="00FD7DCD">
        <w:t>это постоянно действующий рынок массовых взаимозаменяемых товаров</w:t>
      </w:r>
      <w:r w:rsidR="00006087" w:rsidRPr="00FD7DCD">
        <w:t xml:space="preserve"> (</w:t>
      </w:r>
      <w:r w:rsidRPr="00FD7DCD">
        <w:t>ценных бумаг</w:t>
      </w:r>
      <w:r w:rsidR="00006087" w:rsidRPr="00FD7DCD">
        <w:t xml:space="preserve">, </w:t>
      </w:r>
      <w:r w:rsidRPr="00FD7DCD">
        <w:t>перевозок</w:t>
      </w:r>
      <w:r w:rsidR="00006087" w:rsidRPr="00FD7DCD">
        <w:t xml:space="preserve">), </w:t>
      </w:r>
      <w:r w:rsidRPr="00FD7DCD">
        <w:t>предполагающий свободу товарного производства</w:t>
      </w:r>
      <w:r w:rsidR="00006087" w:rsidRPr="00FD7DCD">
        <w:t xml:space="preserve">, </w:t>
      </w:r>
      <w:r w:rsidRPr="00FD7DCD">
        <w:t>конкуренции и цен</w:t>
      </w:r>
      <w:r w:rsidR="00006087" w:rsidRPr="00FD7DCD">
        <w:t xml:space="preserve">. </w:t>
      </w:r>
      <w:r w:rsidRPr="00FD7DCD">
        <w:t>Возникновение биржевого сообщества у нас</w:t>
      </w:r>
      <w:r w:rsidR="00006087" w:rsidRPr="00FD7DCD">
        <w:t xml:space="preserve"> </w:t>
      </w:r>
      <w:r w:rsidRPr="00FD7DCD">
        <w:t>сопряжено с необходимостью определенной централизации операций обмена</w:t>
      </w:r>
      <w:r w:rsidR="00006087" w:rsidRPr="00FD7DCD">
        <w:t>.</w:t>
      </w:r>
    </w:p>
    <w:p w:rsidR="00006087" w:rsidRPr="00FD7DCD" w:rsidRDefault="005526D9" w:rsidP="00006087">
      <w:pPr>
        <w:ind w:firstLine="709"/>
      </w:pPr>
      <w:r w:rsidRPr="00FD7DCD">
        <w:t>Биржевая торговля организуется торговцами для облегчения процесса торговли, для выработки более эффективного механизма и впоследствии, хеджирования</w:t>
      </w:r>
      <w:r w:rsidR="00006087" w:rsidRPr="00FD7DCD">
        <w:t xml:space="preserve"> (</w:t>
      </w:r>
      <w:r w:rsidRPr="00FD7DCD">
        <w:t>защита, страховка от неблагоприятного изменения цен</w:t>
      </w:r>
      <w:r w:rsidR="00006087" w:rsidRPr="00FD7DCD">
        <w:t>).</w:t>
      </w:r>
    </w:p>
    <w:p w:rsidR="00006087" w:rsidRPr="00FD7DCD" w:rsidRDefault="005526D9" w:rsidP="00006087">
      <w:pPr>
        <w:ind w:firstLine="709"/>
      </w:pPr>
      <w:r w:rsidRPr="00FD7DCD">
        <w:t>Биржевой сделкой является зарегистрированный биржей договор</w:t>
      </w:r>
      <w:r w:rsidR="00006087" w:rsidRPr="00FD7DCD">
        <w:t xml:space="preserve"> (</w:t>
      </w:r>
      <w:r w:rsidRPr="00FD7DCD">
        <w:t>соглашение</w:t>
      </w:r>
      <w:r w:rsidR="00006087" w:rsidRPr="00FD7DCD">
        <w:t>),</w:t>
      </w:r>
      <w:r w:rsidRPr="00FD7DCD">
        <w:t xml:space="preserve"> заключаемый участниками биржевой торговли в отношении биржевого товара в ходе биржевых торгов</w:t>
      </w:r>
      <w:r w:rsidR="00006087" w:rsidRPr="00FD7DCD">
        <w:t xml:space="preserve">. </w:t>
      </w:r>
      <w:r w:rsidRPr="00FD7DCD">
        <w:t>Порядок регистрации и оформления биржевых сделок устанавливается биржей</w:t>
      </w:r>
      <w:r w:rsidR="00006087" w:rsidRPr="00FD7DCD">
        <w:t>.</w:t>
      </w:r>
    </w:p>
    <w:p w:rsidR="00006087" w:rsidRPr="00FD7DCD" w:rsidRDefault="005526D9" w:rsidP="00006087">
      <w:pPr>
        <w:ind w:firstLine="709"/>
      </w:pPr>
      <w:r w:rsidRPr="00FD7DCD">
        <w:t>Биржевая сделка характеризуется несколькими сторонами</w:t>
      </w:r>
      <w:r w:rsidR="00006087" w:rsidRPr="00FD7DCD">
        <w:t>:</w:t>
      </w:r>
    </w:p>
    <w:p w:rsidR="00006087" w:rsidRPr="00FD7DCD" w:rsidRDefault="005526D9" w:rsidP="00006087">
      <w:pPr>
        <w:ind w:firstLine="709"/>
      </w:pPr>
      <w:r w:rsidRPr="00FD7DCD">
        <w:t>юридическая сторона сделки</w:t>
      </w:r>
      <w:r w:rsidR="00006087" w:rsidRPr="00FD7DCD">
        <w:t xml:space="preserve">. </w:t>
      </w:r>
      <w:r w:rsidRPr="00FD7DCD">
        <w:t>Понимается действие, направленное на установление, изменение или прекращение гражданских прав и обязанностей</w:t>
      </w:r>
      <w:r w:rsidR="00006087" w:rsidRPr="00FD7DCD">
        <w:t xml:space="preserve">. </w:t>
      </w:r>
      <w:r w:rsidRPr="00FD7DCD">
        <w:t>Юридическая правовая сторона биржевых сделок так же касается прав и обязанностей участников</w:t>
      </w:r>
      <w:r w:rsidR="00006087" w:rsidRPr="00FD7DCD">
        <w:t>.</w:t>
      </w:r>
    </w:p>
    <w:p w:rsidR="00006087" w:rsidRPr="00FD7DCD" w:rsidRDefault="005526D9" w:rsidP="00006087">
      <w:pPr>
        <w:ind w:firstLine="709"/>
      </w:pPr>
      <w:r w:rsidRPr="00FD7DCD">
        <w:t>организационная</w:t>
      </w:r>
      <w:r w:rsidR="00006087" w:rsidRPr="00FD7DCD">
        <w:t xml:space="preserve">. </w:t>
      </w:r>
      <w:r w:rsidRPr="00FD7DCD">
        <w:t>Предполагает установление участников сделок, предполагает виды биржевых сделок, а так же порядок или очередность выполнения определенных действий к заключению бирж</w:t>
      </w:r>
      <w:r w:rsidR="00006087" w:rsidRPr="00FD7DCD">
        <w:t xml:space="preserve">. </w:t>
      </w:r>
      <w:r w:rsidRPr="00FD7DCD">
        <w:t>сделок и их отражение в документах</w:t>
      </w:r>
      <w:r w:rsidR="00006087" w:rsidRPr="00FD7DCD">
        <w:t>.</w:t>
      </w:r>
    </w:p>
    <w:p w:rsidR="00006087" w:rsidRPr="00FD7DCD" w:rsidRDefault="005526D9" w:rsidP="00006087">
      <w:pPr>
        <w:ind w:firstLine="709"/>
      </w:pPr>
      <w:r w:rsidRPr="00FD7DCD">
        <w:t>экономическая</w:t>
      </w:r>
      <w:r w:rsidR="00006087" w:rsidRPr="00FD7DCD">
        <w:t xml:space="preserve">. </w:t>
      </w:r>
      <w:r w:rsidRPr="00FD7DCD">
        <w:t>Предполагает цель заключения сделки</w:t>
      </w:r>
      <w:r w:rsidR="00006087" w:rsidRPr="00FD7DCD">
        <w:t xml:space="preserve">: </w:t>
      </w:r>
      <w:r w:rsidRPr="00FD7DCD">
        <w:t xml:space="preserve">удовлетворение потребностей, спекуляция, продажа, </w:t>
      </w:r>
      <w:r w:rsidR="00006087" w:rsidRPr="00FD7DCD">
        <w:t>т.д.</w:t>
      </w:r>
    </w:p>
    <w:p w:rsidR="00006087" w:rsidRPr="00FD7DCD" w:rsidRDefault="005526D9" w:rsidP="00006087">
      <w:pPr>
        <w:ind w:firstLine="709"/>
      </w:pPr>
      <w:r w:rsidRPr="00FD7DCD">
        <w:t>этическая</w:t>
      </w:r>
      <w:r w:rsidR="00006087" w:rsidRPr="00FD7DCD">
        <w:t xml:space="preserve">. </w:t>
      </w:r>
      <w:r w:rsidRPr="00FD7DCD">
        <w:t>Предполагает соблюдение традиций, норм и правил поведения</w:t>
      </w:r>
      <w:r w:rsidR="00006087" w:rsidRPr="00FD7DCD">
        <w:t>.</w:t>
      </w:r>
    </w:p>
    <w:p w:rsidR="00006087" w:rsidRPr="00FD7DCD" w:rsidRDefault="005526D9" w:rsidP="00006087">
      <w:pPr>
        <w:ind w:firstLine="709"/>
      </w:pPr>
      <w:r w:rsidRPr="00FD7DCD">
        <w:t>Сделки, совершенные на бирже, но не соответствующие</w:t>
      </w:r>
      <w:r w:rsidR="00006087" w:rsidRPr="00FD7DCD">
        <w:t xml:space="preserve"> </w:t>
      </w:r>
      <w:r w:rsidRPr="00FD7DCD">
        <w:t>требованиям, биржевой сделки, не являются биржевыми</w:t>
      </w:r>
      <w:r w:rsidR="00006087" w:rsidRPr="00FD7DCD">
        <w:t xml:space="preserve">. </w:t>
      </w:r>
      <w:r w:rsidRPr="00FD7DCD">
        <w:t>Гарантии биржи на такие сделки не распространяются</w:t>
      </w:r>
      <w:r w:rsidR="00006087" w:rsidRPr="00FD7DCD">
        <w:t xml:space="preserve">. </w:t>
      </w:r>
      <w:r w:rsidRPr="00FD7DCD">
        <w:t>Биржа вправе применять санкции к участникам биржевой торговли, совершающим не биржевые сделки на данной бирже</w:t>
      </w:r>
      <w:r w:rsidR="00006087" w:rsidRPr="00FD7DCD">
        <w:t>.</w:t>
      </w:r>
    </w:p>
    <w:p w:rsidR="00006087" w:rsidRPr="00FD7DCD" w:rsidRDefault="005526D9" w:rsidP="00006087">
      <w:pPr>
        <w:ind w:firstLine="709"/>
      </w:pPr>
      <w:r w:rsidRPr="00FD7DCD">
        <w:t>Биржевые сделки не могут совершаться от имени и за счет биржи</w:t>
      </w:r>
      <w:r w:rsidR="00006087" w:rsidRPr="00FD7DCD">
        <w:t>.</w:t>
      </w:r>
    </w:p>
    <w:p w:rsidR="00006087" w:rsidRPr="00FD7DCD" w:rsidRDefault="005526D9" w:rsidP="00006087">
      <w:pPr>
        <w:ind w:firstLine="709"/>
      </w:pPr>
      <w:r w:rsidRPr="00FD7DCD">
        <w:t>Участниками биржевой торговли в ходе биржевых торгов могут совершаться сделки, связанные с</w:t>
      </w:r>
      <w:r w:rsidR="00006087" w:rsidRPr="00FD7DCD">
        <w:t>:</w:t>
      </w:r>
    </w:p>
    <w:p w:rsidR="00006087" w:rsidRPr="00FD7DCD" w:rsidRDefault="005526D9" w:rsidP="00006087">
      <w:pPr>
        <w:ind w:firstLine="709"/>
      </w:pPr>
      <w:r w:rsidRPr="00FD7DCD">
        <w:t>взаимной передачей прав и обязанностей в отношении реального товара</w:t>
      </w:r>
      <w:r w:rsidR="00006087" w:rsidRPr="00FD7DCD">
        <w:t>;</w:t>
      </w:r>
    </w:p>
    <w:p w:rsidR="00006087" w:rsidRPr="00FD7DCD" w:rsidRDefault="005526D9" w:rsidP="00006087">
      <w:pPr>
        <w:ind w:firstLine="709"/>
      </w:pPr>
      <w:r w:rsidRPr="00FD7DCD">
        <w:t>взаимной передачей прав и обязанностей в отношении реального товара с отсроченным сроком его поставки</w:t>
      </w:r>
      <w:r w:rsidR="00006087" w:rsidRPr="00FD7DCD">
        <w:t xml:space="preserve"> (</w:t>
      </w:r>
      <w:r w:rsidRPr="00FD7DCD">
        <w:t>форвардные сделки</w:t>
      </w:r>
      <w:r w:rsidR="00006087" w:rsidRPr="00FD7DCD">
        <w:t>);</w:t>
      </w:r>
    </w:p>
    <w:p w:rsidR="00006087" w:rsidRPr="00FD7DCD" w:rsidRDefault="005526D9" w:rsidP="00006087">
      <w:pPr>
        <w:ind w:firstLine="709"/>
      </w:pPr>
      <w:r w:rsidRPr="00FD7DCD">
        <w:t>взаимной передачей прав и обязанностей в отношении стандартных контрактов на поставку биржевого товара</w:t>
      </w:r>
      <w:r w:rsidR="00006087" w:rsidRPr="00FD7DCD">
        <w:t xml:space="preserve"> (</w:t>
      </w:r>
      <w:r w:rsidRPr="00FD7DCD">
        <w:t>фьючерсные сделки</w:t>
      </w:r>
      <w:r w:rsidR="00006087" w:rsidRPr="00FD7DCD">
        <w:t>);</w:t>
      </w:r>
    </w:p>
    <w:p w:rsidR="00006087" w:rsidRPr="00FD7DCD" w:rsidRDefault="005526D9" w:rsidP="00006087">
      <w:pPr>
        <w:ind w:firstLine="709"/>
      </w:pPr>
      <w:r w:rsidRPr="00FD7DCD">
        <w:t>уступкой прав на будущую передачу прав и обязанностей в</w:t>
      </w:r>
      <w:r w:rsidR="00006087" w:rsidRPr="00FD7DCD">
        <w:t xml:space="preserve"> </w:t>
      </w:r>
      <w:r w:rsidRPr="00FD7DCD">
        <w:t>отношении биржевого</w:t>
      </w:r>
      <w:r w:rsidR="00006087" w:rsidRPr="00FD7DCD">
        <w:t xml:space="preserve"> </w:t>
      </w:r>
      <w:r w:rsidRPr="00FD7DCD">
        <w:t>товара</w:t>
      </w:r>
      <w:r w:rsidR="00006087" w:rsidRPr="00FD7DCD">
        <w:t xml:space="preserve"> </w:t>
      </w:r>
      <w:r w:rsidRPr="00FD7DCD">
        <w:t>или</w:t>
      </w:r>
      <w:r w:rsidR="00006087" w:rsidRPr="00FD7DCD">
        <w:t xml:space="preserve"> </w:t>
      </w:r>
      <w:r w:rsidRPr="00FD7DCD">
        <w:t>контракта на поставку биржевого товара</w:t>
      </w:r>
      <w:r w:rsidR="00006087" w:rsidRPr="00FD7DCD">
        <w:t xml:space="preserve"> (</w:t>
      </w:r>
      <w:r w:rsidRPr="00FD7DCD">
        <w:t>опционные сделки</w:t>
      </w:r>
      <w:r w:rsidR="00006087" w:rsidRPr="00FD7DCD">
        <w:t>);</w:t>
      </w:r>
    </w:p>
    <w:p w:rsidR="00006087" w:rsidRPr="00FD7DCD" w:rsidRDefault="005526D9" w:rsidP="00006087">
      <w:pPr>
        <w:ind w:firstLine="709"/>
      </w:pPr>
      <w:r w:rsidRPr="00FD7DCD">
        <w:t>а также другие сделки в отношении биржевого товара, контрактов</w:t>
      </w:r>
      <w:r w:rsidR="00006087" w:rsidRPr="00FD7DCD">
        <w:t xml:space="preserve"> </w:t>
      </w:r>
      <w:r w:rsidRPr="00FD7DCD">
        <w:t>или прав, установленные в правилах биржевой торговли</w:t>
      </w:r>
      <w:r w:rsidR="00006087" w:rsidRPr="00FD7DCD">
        <w:t>.</w:t>
      </w:r>
    </w:p>
    <w:p w:rsidR="00006087" w:rsidRPr="00FD7DCD" w:rsidRDefault="005526D9" w:rsidP="00006087">
      <w:pPr>
        <w:ind w:firstLine="709"/>
      </w:pPr>
      <w:r w:rsidRPr="00FD7DCD">
        <w:t>Сделки имеют следующие моменты</w:t>
      </w:r>
      <w:r w:rsidR="00006087" w:rsidRPr="00FD7DCD">
        <w:t>:</w:t>
      </w:r>
    </w:p>
    <w:p w:rsidR="00006087" w:rsidRPr="00FD7DCD" w:rsidRDefault="005526D9" w:rsidP="00006087">
      <w:pPr>
        <w:ind w:firstLine="709"/>
      </w:pPr>
      <w:r w:rsidRPr="00FD7DCD">
        <w:t>сделка должна представлять собой соглашение о купли-продажи</w:t>
      </w:r>
      <w:r w:rsidR="00006087" w:rsidRPr="00FD7DCD">
        <w:t xml:space="preserve"> </w:t>
      </w:r>
      <w:r w:rsidRPr="00FD7DCD">
        <w:t>биржевого товара с немедленной поставкой или к определенному сроку в будущем</w:t>
      </w:r>
      <w:r w:rsidR="00006087" w:rsidRPr="00FD7DCD">
        <w:t>;</w:t>
      </w:r>
    </w:p>
    <w:p w:rsidR="00006087" w:rsidRPr="00FD7DCD" w:rsidRDefault="005526D9" w:rsidP="00006087">
      <w:pPr>
        <w:ind w:firstLine="709"/>
      </w:pPr>
      <w:r w:rsidRPr="00FD7DCD">
        <w:t>участники биржевой сделки являются участниками биржевых торгов</w:t>
      </w:r>
      <w:r w:rsidR="00006087" w:rsidRPr="00FD7DCD">
        <w:t>;</w:t>
      </w:r>
    </w:p>
    <w:p w:rsidR="00006087" w:rsidRPr="00FD7DCD" w:rsidRDefault="005526D9" w:rsidP="00006087">
      <w:pPr>
        <w:ind w:firstLine="709"/>
      </w:pPr>
      <w:r w:rsidRPr="00FD7DCD">
        <w:t>сделка выполняется вне бирж</w:t>
      </w:r>
      <w:r w:rsidR="00006087" w:rsidRPr="00FD7DCD">
        <w:t>;</w:t>
      </w:r>
    </w:p>
    <w:p w:rsidR="00006087" w:rsidRPr="00FD7DCD" w:rsidRDefault="005526D9" w:rsidP="00006087">
      <w:pPr>
        <w:ind w:firstLine="709"/>
      </w:pPr>
      <w:r w:rsidRPr="00FD7DCD">
        <w:t>следует обязательная регистрация в соответствии с установленными правилами</w:t>
      </w:r>
      <w:r w:rsidR="00006087" w:rsidRPr="00FD7DCD">
        <w:t>;</w:t>
      </w:r>
    </w:p>
    <w:p w:rsidR="00006087" w:rsidRPr="00FD7DCD" w:rsidRDefault="005526D9" w:rsidP="00006087">
      <w:pPr>
        <w:ind w:firstLine="709"/>
      </w:pPr>
      <w:r w:rsidRPr="00FD7DCD">
        <w:t>биржа является гарантом выполнения сделок, зарегистрированных на ее торгах</w:t>
      </w:r>
      <w:r w:rsidR="00006087" w:rsidRPr="00FD7DCD">
        <w:t>;</w:t>
      </w:r>
    </w:p>
    <w:p w:rsidR="00006087" w:rsidRPr="00FD7DCD" w:rsidRDefault="005526D9" w:rsidP="00006087">
      <w:pPr>
        <w:ind w:firstLine="709"/>
      </w:pPr>
      <w:r w:rsidRPr="00FD7DCD">
        <w:t>биржа вправе применять санкции к участникам биржевой торговли, совершающих не биржевой сделки</w:t>
      </w:r>
      <w:r w:rsidR="00006087" w:rsidRPr="00FD7DCD">
        <w:t>;</w:t>
      </w:r>
    </w:p>
    <w:p w:rsidR="00006087" w:rsidRPr="00FD7DCD" w:rsidRDefault="005526D9" w:rsidP="00006087">
      <w:pPr>
        <w:ind w:firstLine="709"/>
      </w:pPr>
      <w:r w:rsidRPr="00FD7DCD">
        <w:t>биржевые сделки не могут совершаться от имени и за счет биржи, заключение сделок</w:t>
      </w:r>
      <w:r w:rsidR="00006087" w:rsidRPr="00FD7DCD">
        <w:t xml:space="preserve"> - </w:t>
      </w:r>
      <w:r w:rsidRPr="00FD7DCD">
        <w:t xml:space="preserve">это функции участников биржевых торгов, </w:t>
      </w:r>
      <w:r w:rsidR="00006087" w:rsidRPr="00FD7DCD">
        <w:t xml:space="preserve">т.е. </w:t>
      </w:r>
      <w:r w:rsidRPr="00FD7DCD">
        <w:t>членов биржи и брокеров, выступающих в роли профессиональных посредников</w:t>
      </w:r>
      <w:r w:rsidR="00006087" w:rsidRPr="00FD7DCD">
        <w:t>.</w:t>
      </w:r>
    </w:p>
    <w:p w:rsidR="00006087" w:rsidRPr="00FD7DCD" w:rsidRDefault="005526D9" w:rsidP="00006087">
      <w:pPr>
        <w:ind w:firstLine="709"/>
      </w:pPr>
      <w:r w:rsidRPr="00FD7DCD">
        <w:t>Торговля на рынках</w:t>
      </w:r>
      <w:r w:rsidR="00006087" w:rsidRPr="00FD7DCD">
        <w:t xml:space="preserve">: </w:t>
      </w:r>
      <w:r w:rsidRPr="00FD7DCD">
        <w:t>правовой режим</w:t>
      </w:r>
    </w:p>
    <w:p w:rsidR="00006087" w:rsidRPr="00FD7DCD" w:rsidRDefault="00B76277" w:rsidP="00006087">
      <w:pPr>
        <w:ind w:firstLine="709"/>
      </w:pPr>
      <w:r w:rsidRPr="00FD7DCD">
        <w:t>Торговля на рынках относится к мелкорозничной торговле</w:t>
      </w:r>
      <w:r w:rsidR="00006087" w:rsidRPr="00FD7DCD">
        <w:t>.</w:t>
      </w:r>
    </w:p>
    <w:p w:rsidR="00006087" w:rsidRPr="00FD7DCD" w:rsidRDefault="00B76277" w:rsidP="00006087">
      <w:pPr>
        <w:ind w:firstLine="709"/>
      </w:pPr>
      <w:r w:rsidRPr="00FD7DCD">
        <w:t xml:space="preserve">Согласно </w:t>
      </w:r>
      <w:r w:rsidRPr="00FD7DCD">
        <w:rPr>
          <w:rFonts w:eastAsia="MS Mincho"/>
        </w:rPr>
        <w:t>Письмо Комитета РФ по торговле</w:t>
      </w:r>
      <w:r w:rsidR="00006087" w:rsidRPr="00FD7DCD">
        <w:rPr>
          <w:rFonts w:eastAsia="MS Mincho"/>
        </w:rPr>
        <w:t xml:space="preserve"> "</w:t>
      </w:r>
      <w:r w:rsidRPr="00FD7DCD">
        <w:rPr>
          <w:rFonts w:eastAsia="MS Mincho"/>
        </w:rPr>
        <w:t>О понятии мелкорозничной торговли</w:t>
      </w:r>
      <w:r w:rsidR="00006087" w:rsidRPr="00FD7DCD">
        <w:rPr>
          <w:rFonts w:eastAsia="MS Mincho"/>
        </w:rPr>
        <w:t xml:space="preserve">". </w:t>
      </w:r>
      <w:r w:rsidRPr="00FD7DCD">
        <w:rPr>
          <w:rFonts w:eastAsia="MS Mincho"/>
        </w:rPr>
        <w:t>П</w:t>
      </w:r>
      <w:r w:rsidRPr="00FD7DCD">
        <w:t>од мелкорозничной торговлей понимается продажа продовольственных и непродовольственных товаров несложного ассортимента через стационарную и передвижную мелкорозничную торговую сеть</w:t>
      </w:r>
      <w:r w:rsidR="00006087" w:rsidRPr="00FD7DCD">
        <w:t>.</w:t>
      </w:r>
    </w:p>
    <w:p w:rsidR="00006087" w:rsidRPr="00FD7DCD" w:rsidRDefault="00B76277" w:rsidP="00006087">
      <w:pPr>
        <w:ind w:firstLine="709"/>
      </w:pPr>
      <w:r w:rsidRPr="00FD7DCD">
        <w:t>К стационарной мелкорозничной торговой сети относятся палатки, ларьки, киоски</w:t>
      </w:r>
      <w:r w:rsidR="00006087" w:rsidRPr="00FD7DCD">
        <w:t xml:space="preserve">. </w:t>
      </w:r>
      <w:r w:rsidRPr="00FD7DCD">
        <w:t>Это торговые предприятия, занимающие обособленные помещения, но не имеющие торгового зала для покупателей</w:t>
      </w:r>
      <w:r w:rsidR="00006087" w:rsidRPr="00FD7DCD">
        <w:t>.</w:t>
      </w:r>
    </w:p>
    <w:p w:rsidR="00006087" w:rsidRPr="00FD7DCD" w:rsidRDefault="00B76277" w:rsidP="00006087">
      <w:pPr>
        <w:ind w:firstLine="709"/>
      </w:pPr>
      <w:r w:rsidRPr="00FD7DCD">
        <w:t>К передвижной мелкорозничной торговой сети относятся специально оборудованные приспособления для торговли вразвоз и вразнос</w:t>
      </w:r>
      <w:r w:rsidR="00006087" w:rsidRPr="00FD7DCD">
        <w:t xml:space="preserve"> (</w:t>
      </w:r>
      <w:r w:rsidRPr="00FD7DCD">
        <w:t xml:space="preserve">автомагазины или автолавки, ручные тележки, лотки, корзины и </w:t>
      </w:r>
      <w:r w:rsidR="00006087" w:rsidRPr="00FD7DCD">
        <w:t>т.д.).</w:t>
      </w:r>
    </w:p>
    <w:p w:rsidR="00006087" w:rsidRPr="00FD7DCD" w:rsidRDefault="00B76277" w:rsidP="00006087">
      <w:pPr>
        <w:ind w:firstLine="709"/>
      </w:pPr>
      <w:r w:rsidRPr="00FD7DCD">
        <w:t>Объекты мелкорозничной сети</w:t>
      </w:r>
      <w:r w:rsidR="00006087" w:rsidRPr="00FD7DCD">
        <w:t xml:space="preserve"> (</w:t>
      </w:r>
      <w:r w:rsidRPr="00FD7DCD">
        <w:t>киоски, палатки</w:t>
      </w:r>
      <w:r w:rsidR="00006087" w:rsidRPr="00FD7DCD">
        <w:t xml:space="preserve">) </w:t>
      </w:r>
      <w:r w:rsidRPr="00FD7DCD">
        <w:t>обязаны иметь на видном месте информацию о режиме работы, юридический адрес продавца</w:t>
      </w:r>
      <w:r w:rsidR="00006087" w:rsidRPr="00FD7DCD">
        <w:t>.</w:t>
      </w:r>
    </w:p>
    <w:p w:rsidR="00006087" w:rsidRPr="00FD7DCD" w:rsidRDefault="00B76277" w:rsidP="00006087">
      <w:pPr>
        <w:ind w:firstLine="709"/>
      </w:pPr>
      <w:r w:rsidRPr="00FD7DCD">
        <w:t xml:space="preserve">Объекты рыночной торговли должны быть обеспечены кассовым аппаратом, другим необходимым оборудованием и инвентарем, а торгующий скоропортящимися товарами </w:t>
      </w:r>
      <w:r w:rsidR="00006087" w:rsidRPr="00FD7DCD">
        <w:t>-</w:t>
      </w:r>
      <w:r w:rsidRPr="00FD7DCD">
        <w:t xml:space="preserve"> средствами охлаждения</w:t>
      </w:r>
      <w:r w:rsidR="00006087" w:rsidRPr="00FD7DCD">
        <w:t xml:space="preserve">. </w:t>
      </w:r>
      <w:r w:rsidRPr="00FD7DCD">
        <w:t>Применяемые весоизмерительные приборы должны быть исправны, опломбированы, иметь заводской</w:t>
      </w:r>
      <w:r w:rsidR="00006087" w:rsidRPr="00FD7DCD">
        <w:t xml:space="preserve"> (</w:t>
      </w:r>
      <w:r w:rsidRPr="00FD7DCD">
        <w:t>инвентарный</w:t>
      </w:r>
      <w:r w:rsidR="00006087" w:rsidRPr="00FD7DCD">
        <w:t xml:space="preserve">) </w:t>
      </w:r>
      <w:r w:rsidRPr="00FD7DCD">
        <w:t>номер, оттиск даты последней поверки</w:t>
      </w:r>
      <w:r w:rsidR="00006087" w:rsidRPr="00FD7DCD">
        <w:t xml:space="preserve"> (</w:t>
      </w:r>
      <w:r w:rsidRPr="00FD7DCD">
        <w:t>калибровки</w:t>
      </w:r>
      <w:r w:rsidR="00006087" w:rsidRPr="00FD7DCD">
        <w:t xml:space="preserve">) </w:t>
      </w:r>
      <w:r w:rsidRPr="00FD7DCD">
        <w:t xml:space="preserve">и </w:t>
      </w:r>
      <w:r w:rsidR="00006087" w:rsidRPr="00FD7DCD">
        <w:t>т.д.</w:t>
      </w:r>
    </w:p>
    <w:p w:rsidR="0010186F" w:rsidRDefault="0010186F" w:rsidP="0010186F">
      <w:pPr>
        <w:pStyle w:val="2"/>
      </w:pPr>
    </w:p>
    <w:p w:rsidR="00A532AB" w:rsidRPr="00FD7DCD" w:rsidRDefault="0010186F" w:rsidP="0010186F">
      <w:pPr>
        <w:pStyle w:val="2"/>
      </w:pPr>
      <w:bookmarkStart w:id="2" w:name="_Toc255295971"/>
      <w:r>
        <w:t xml:space="preserve">1.2 </w:t>
      </w:r>
      <w:r w:rsidR="00A532AB" w:rsidRPr="00FD7DCD">
        <w:t>Практика</w:t>
      </w:r>
      <w:bookmarkEnd w:id="2"/>
    </w:p>
    <w:p w:rsidR="0010186F" w:rsidRDefault="0010186F" w:rsidP="00006087">
      <w:pPr>
        <w:ind w:firstLine="709"/>
      </w:pPr>
    </w:p>
    <w:p w:rsidR="00006087" w:rsidRPr="00FD7DCD" w:rsidRDefault="00A532AB" w:rsidP="00006087">
      <w:pPr>
        <w:ind w:firstLine="709"/>
      </w:pPr>
      <w:r w:rsidRPr="00FD7DCD">
        <w:t>Какие права имеет при розничной купле-продаже товара</w:t>
      </w:r>
      <w:r w:rsidR="00006087" w:rsidRPr="00FD7DCD">
        <w:t>?</w:t>
      </w:r>
    </w:p>
    <w:p w:rsidR="00006087" w:rsidRPr="00FD7DCD" w:rsidRDefault="00382F14" w:rsidP="00006087">
      <w:pPr>
        <w:ind w:firstLine="709"/>
      </w:pPr>
      <w:r w:rsidRPr="00FD7DCD">
        <w:t>Покупатель вправе до заключения договора розничной купли-продажи осмотреть товар, потребовать проведения в его присутствии проверки свойств или демонстрации использования товара, если это не исключено ввиду характера товара и не противоречит правилам, принятым в розничной торговле</w:t>
      </w:r>
      <w:r w:rsidR="00006087" w:rsidRPr="00FD7DCD">
        <w:t xml:space="preserve">. </w:t>
      </w:r>
      <w:r w:rsidRPr="00FD7DCD">
        <w:t>Если покупателю не предоставлена возможность незамедлительно получить в месте продажи информацию о товаре, указанную в пунктах 1 и 2 настоящей статьи, он вправе потребовать от продавца возмещения убытков, вызванных необоснованным уклонением от заключения договора розничной купли-продажи</w:t>
      </w:r>
      <w:r w:rsidR="00006087" w:rsidRPr="00FD7DCD">
        <w:t xml:space="preserve"> (</w:t>
      </w:r>
      <w:r w:rsidRPr="00FD7DCD">
        <w:t>пункт 4 статьи 445 ГК РФ</w:t>
      </w:r>
      <w:r w:rsidR="00006087" w:rsidRPr="00FD7DCD">
        <w:t>),</w:t>
      </w:r>
      <w:r w:rsidRPr="00FD7DCD">
        <w:t xml:space="preserve"> а если договор заключен, в разумный срок отказаться от исполнения договора, потребовать возврата уплаченной за товар суммы и возмещения других убытков</w:t>
      </w:r>
      <w:r w:rsidR="00006087" w:rsidRPr="00FD7DCD">
        <w:t xml:space="preserve"> (</w:t>
      </w:r>
      <w:r w:rsidRPr="00FD7DCD">
        <w:t>ст</w:t>
      </w:r>
      <w:r w:rsidR="00006087" w:rsidRPr="00FD7DCD">
        <w:t>.4</w:t>
      </w:r>
      <w:r w:rsidRPr="00FD7DCD">
        <w:t>95 ГК РФ</w:t>
      </w:r>
      <w:r w:rsidR="00006087" w:rsidRPr="00FD7DCD">
        <w:t>).</w:t>
      </w:r>
    </w:p>
    <w:p w:rsidR="00006087" w:rsidRPr="00FD7DCD" w:rsidRDefault="00382F14" w:rsidP="00006087">
      <w:pPr>
        <w:ind w:firstLine="709"/>
      </w:pPr>
      <w:r w:rsidRPr="00FD7DCD">
        <w:t>Покупатель</w:t>
      </w:r>
      <w:r w:rsidR="00006087" w:rsidRPr="00FD7DCD">
        <w:t xml:space="preserve"> </w:t>
      </w:r>
      <w:r w:rsidRPr="00FD7DCD">
        <w:t>вправе</w:t>
      </w:r>
      <w:r w:rsidR="00006087" w:rsidRPr="00FD7DCD">
        <w:t xml:space="preserve"> </w:t>
      </w:r>
      <w:r w:rsidRPr="00FD7DCD">
        <w:t>в течение 14 дней с момента передачи ему непродовольственного товара, если более длительный срок не объявлен продавцом, обменять купленный товар в месте покупки и иных местах, объявленных продавцом, на аналогичный товар других размера, формы, габарита, фасона, расцветки или комплектации, произведя в случае разницы в цене необходимый перерасчет с продавцом</w:t>
      </w:r>
      <w:r w:rsidR="00006087" w:rsidRPr="00FD7DCD">
        <w:t xml:space="preserve">. </w:t>
      </w:r>
      <w:r w:rsidRPr="00FD7DCD">
        <w:t xml:space="preserve">При отсутствии </w:t>
      </w:r>
      <w:r w:rsidR="000F0C89" w:rsidRPr="00FD7DCD">
        <w:t>необходимого для обмена товара у продавца покупатель вправе возвратить приобретенный товар продавцу и получить уплаченную за него денежную сумму</w:t>
      </w:r>
      <w:r w:rsidR="00006087" w:rsidRPr="00FD7DCD">
        <w:t xml:space="preserve">. </w:t>
      </w:r>
      <w:r w:rsidR="000F0C89" w:rsidRPr="00FD7DCD">
        <w:t>Требование покупателя об обмене либо о возврате товара подлежит удовлетворению, если товар не был в употреблении, сохранены его потребительские свойства и имеются доказательства приобретения его у данного продавца</w:t>
      </w:r>
      <w:r w:rsidR="00006087" w:rsidRPr="00FD7DCD">
        <w:t>. (</w:t>
      </w:r>
      <w:r w:rsidR="000F0C89" w:rsidRPr="00FD7DCD">
        <w:t>ст</w:t>
      </w:r>
      <w:r w:rsidR="00006087" w:rsidRPr="00FD7DCD">
        <w:t>.5</w:t>
      </w:r>
      <w:r w:rsidR="000F0C89" w:rsidRPr="00FD7DCD">
        <w:t>02 ГК РФ</w:t>
      </w:r>
      <w:r w:rsidR="00006087" w:rsidRPr="00FD7DCD">
        <w:t>)</w:t>
      </w:r>
    </w:p>
    <w:p w:rsidR="00006087" w:rsidRPr="00FD7DCD" w:rsidRDefault="000F0C89" w:rsidP="00006087">
      <w:pPr>
        <w:ind w:firstLine="709"/>
      </w:pPr>
      <w:r w:rsidRPr="00FD7DCD">
        <w:t>Покупатель, которому продан товар ненадлежащего качества, если его недостатки не были оговорены продавцом, вправе по своему выбору потребовать</w:t>
      </w:r>
      <w:r w:rsidR="00006087" w:rsidRPr="00FD7DCD">
        <w:t>:</w:t>
      </w:r>
    </w:p>
    <w:p w:rsidR="00006087" w:rsidRPr="00FD7DCD" w:rsidRDefault="000F0C89" w:rsidP="00006087">
      <w:pPr>
        <w:ind w:firstLine="709"/>
      </w:pPr>
      <w:r w:rsidRPr="00FD7DCD">
        <w:t>замены недоброкачественного товара товаром надлежащего качества</w:t>
      </w:r>
      <w:r w:rsidR="00006087" w:rsidRPr="00FD7DCD">
        <w:t>;</w:t>
      </w:r>
    </w:p>
    <w:p w:rsidR="00006087" w:rsidRPr="00FD7DCD" w:rsidRDefault="000F0C89" w:rsidP="00006087">
      <w:pPr>
        <w:ind w:firstLine="709"/>
      </w:pPr>
      <w:r w:rsidRPr="00FD7DCD">
        <w:t>соразмерного уменьшения покупной цены</w:t>
      </w:r>
      <w:r w:rsidR="00006087" w:rsidRPr="00FD7DCD">
        <w:t>;</w:t>
      </w:r>
    </w:p>
    <w:p w:rsidR="00006087" w:rsidRPr="00FD7DCD" w:rsidRDefault="00CB55A5" w:rsidP="00006087">
      <w:pPr>
        <w:ind w:firstLine="709"/>
      </w:pPr>
      <w:r w:rsidRPr="00FD7DCD">
        <w:t>незамедлительного безвозмездного устранения недостатков товара</w:t>
      </w:r>
      <w:r w:rsidR="00006087" w:rsidRPr="00FD7DCD">
        <w:t>;</w:t>
      </w:r>
    </w:p>
    <w:p w:rsidR="00006087" w:rsidRPr="00FD7DCD" w:rsidRDefault="00CB55A5" w:rsidP="00006087">
      <w:pPr>
        <w:ind w:firstLine="709"/>
      </w:pPr>
      <w:r w:rsidRPr="00FD7DCD">
        <w:t>возмещения расходов на устранение недостатков товара</w:t>
      </w:r>
      <w:r w:rsidR="00006087" w:rsidRPr="00FD7DCD">
        <w:t>.</w:t>
      </w:r>
    </w:p>
    <w:p w:rsidR="00006087" w:rsidRPr="00FD7DCD" w:rsidRDefault="00CB55A5" w:rsidP="00006087">
      <w:pPr>
        <w:ind w:firstLine="709"/>
      </w:pPr>
      <w:r w:rsidRPr="00FD7DCD">
        <w:t>Покупатель вправе требовать замены технически сложного или дорогостоящего товара в случае существенного нарушения требований к его качеству</w:t>
      </w:r>
      <w:r w:rsidR="00006087" w:rsidRPr="00FD7DCD">
        <w:t>.</w:t>
      </w:r>
    </w:p>
    <w:p w:rsidR="00006087" w:rsidRPr="00FD7DCD" w:rsidRDefault="00CB55A5" w:rsidP="00006087">
      <w:pPr>
        <w:ind w:firstLine="709"/>
      </w:pPr>
      <w:r w:rsidRPr="00FD7DCD">
        <w:t>В случае обнаружения недостатков товара, свойства которого не позволяют устранить их, покупатель вправе по своему выбору потребовать замены такого товара товаром надлежащего качества либо соразмерного уменьшения покупной цены</w:t>
      </w:r>
      <w:r w:rsidR="00006087" w:rsidRPr="00FD7DCD">
        <w:t>.</w:t>
      </w:r>
    </w:p>
    <w:p w:rsidR="00006087" w:rsidRPr="00FD7DCD" w:rsidRDefault="00C245D9" w:rsidP="00006087">
      <w:pPr>
        <w:ind w:firstLine="709"/>
      </w:pPr>
      <w:r w:rsidRPr="00FD7DCD">
        <w:t>В чем заключаются права арендатора при обнаружении недостатков арендованного имущества, за наличие которых ответственен арендодатель</w:t>
      </w:r>
      <w:r w:rsidR="00006087" w:rsidRPr="00FD7DCD">
        <w:t>?</w:t>
      </w:r>
    </w:p>
    <w:p w:rsidR="00006087" w:rsidRPr="00FD7DCD" w:rsidRDefault="00C245D9" w:rsidP="00006087">
      <w:pPr>
        <w:ind w:firstLine="709"/>
      </w:pPr>
      <w:r w:rsidRPr="00FD7DCD">
        <w:t>Арендодатель отвечает за недостатки сданного в аренду имущества</w:t>
      </w:r>
      <w:r w:rsidR="00006087" w:rsidRPr="00FD7DCD">
        <w:t xml:space="preserve">. </w:t>
      </w:r>
      <w:r w:rsidRPr="00FD7DCD">
        <w:t>Полностью или частично препятствующие пользованию им, даже если во время заключения договора аренды он не знал об этих недостатках</w:t>
      </w:r>
      <w:r w:rsidR="00006087" w:rsidRPr="00FD7DCD">
        <w:t xml:space="preserve">. </w:t>
      </w:r>
      <w:r w:rsidRPr="00FD7DCD">
        <w:t>При обнаружении таких недостатков арендатор вправе по своему выбору</w:t>
      </w:r>
      <w:r w:rsidR="00006087" w:rsidRPr="00FD7DCD">
        <w:t>:</w:t>
      </w:r>
    </w:p>
    <w:p w:rsidR="00006087" w:rsidRPr="00FD7DCD" w:rsidRDefault="00C245D9" w:rsidP="00006087">
      <w:pPr>
        <w:ind w:firstLine="709"/>
      </w:pPr>
      <w:r w:rsidRPr="00FD7DCD">
        <w:t xml:space="preserve">потребовать от арендодателя либо безвозмездного устранения недостатков имущества, либо соразмерного </w:t>
      </w:r>
      <w:r w:rsidR="00F1190A" w:rsidRPr="00FD7DCD">
        <w:t>уменьшения арендной платы, либо возмещения своих расходов на устранение недостатков имущества</w:t>
      </w:r>
      <w:r w:rsidR="00006087" w:rsidRPr="00FD7DCD">
        <w:t>;</w:t>
      </w:r>
    </w:p>
    <w:p w:rsidR="00006087" w:rsidRPr="00FD7DCD" w:rsidRDefault="00F1190A" w:rsidP="00006087">
      <w:pPr>
        <w:ind w:firstLine="709"/>
      </w:pPr>
      <w:r w:rsidRPr="00FD7DCD">
        <w:t>непосредственно удержать сумму понесенных им расходов на устранение данных недостатков платы, предварительно уведомив об этом арендодателя</w:t>
      </w:r>
      <w:r w:rsidR="00006087" w:rsidRPr="00FD7DCD">
        <w:t>;</w:t>
      </w:r>
    </w:p>
    <w:p w:rsidR="00F1190A" w:rsidRPr="00FD7DCD" w:rsidRDefault="00F1190A" w:rsidP="00006087">
      <w:pPr>
        <w:ind w:firstLine="709"/>
      </w:pPr>
      <w:r w:rsidRPr="00FD7DCD">
        <w:t>потребовать досрочного расторжения договора</w:t>
      </w:r>
    </w:p>
    <w:p w:rsidR="00006087" w:rsidRPr="00FD7DCD" w:rsidRDefault="00F1190A" w:rsidP="00006087">
      <w:pPr>
        <w:ind w:firstLine="709"/>
      </w:pPr>
      <w:r w:rsidRPr="00FD7DCD">
        <w:t>Арендодатель, извещенный о требованиях арендатора или его намерении устранить недостатки имущества за счет арендодателя, может без промедления произвести замену предоставленного арендатору имущества другим аналогичным имуществом, находящимся в надлежащем состоянии, либо безвозмездно устранить недостатки имущества</w:t>
      </w:r>
      <w:r w:rsidR="00006087" w:rsidRPr="00FD7DCD">
        <w:t>.</w:t>
      </w:r>
    </w:p>
    <w:p w:rsidR="00006087" w:rsidRPr="00FD7DCD" w:rsidRDefault="00F1190A" w:rsidP="00006087">
      <w:pPr>
        <w:ind w:firstLine="709"/>
      </w:pPr>
      <w:r w:rsidRPr="00FD7DCD">
        <w:t>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убытков, он вправе потребовать возмещения непокрытой части убытков</w:t>
      </w:r>
      <w:r w:rsidR="00006087" w:rsidRPr="00FD7DCD">
        <w:t>.</w:t>
      </w:r>
    </w:p>
    <w:p w:rsidR="00006087" w:rsidRPr="00FD7DCD" w:rsidRDefault="008812B9" w:rsidP="00006087">
      <w:pPr>
        <w:ind w:firstLine="709"/>
      </w:pPr>
      <w:r w:rsidRPr="00FD7DCD">
        <w:t>Дать сравнительную характеристику договорам поручения, комиссии, агентирования</w:t>
      </w:r>
      <w:r w:rsidR="00006087" w:rsidRPr="00FD7DCD">
        <w:t>.</w:t>
      </w:r>
    </w:p>
    <w:p w:rsidR="00006087" w:rsidRPr="00FD7DCD" w:rsidRDefault="007D2C70" w:rsidP="00006087">
      <w:pPr>
        <w:ind w:firstLine="709"/>
      </w:pPr>
      <w:r w:rsidRPr="00FD7DCD">
        <w:t>Договор комиссии относится к числу договоров о предоставлении юридических услуг</w:t>
      </w:r>
      <w:r w:rsidR="00006087" w:rsidRPr="00FD7DCD">
        <w:t xml:space="preserve">. </w:t>
      </w:r>
      <w:r w:rsidRPr="00FD7DCD">
        <w:t>В этом смысле он довольно близок к договору поручения</w:t>
      </w:r>
      <w:r w:rsidR="00006087" w:rsidRPr="00FD7DCD">
        <w:t xml:space="preserve">. </w:t>
      </w:r>
      <w:r w:rsidRPr="00FD7DCD">
        <w:t>Вместе</w:t>
      </w:r>
      <w:r w:rsidR="00006087" w:rsidRPr="00FD7DCD">
        <w:t xml:space="preserve"> </w:t>
      </w:r>
      <w:r w:rsidRPr="00FD7DCD">
        <w:t>с тем между ними имеются существенные различия</w:t>
      </w:r>
      <w:r w:rsidR="00006087" w:rsidRPr="00FD7DCD">
        <w:t xml:space="preserve">. </w:t>
      </w:r>
      <w:r w:rsidRPr="00FD7DCD">
        <w:t>Первое состоит в том, что по договору поручения одна сторона может в интересах другой стороны совершать различные юридические действия, в т</w:t>
      </w:r>
      <w:r w:rsidR="00006087" w:rsidRPr="00FD7DCD">
        <w:t xml:space="preserve">. </w:t>
      </w:r>
      <w:r w:rsidRPr="00FD7DCD">
        <w:t>ч</w:t>
      </w:r>
      <w:r w:rsidR="00006087" w:rsidRPr="00FD7DCD">
        <w:t xml:space="preserve">. </w:t>
      </w:r>
      <w:r w:rsidRPr="00FD7DCD">
        <w:t>по исполнению обязанностей или осуществлению прав представляемого лица</w:t>
      </w:r>
      <w:r w:rsidR="00006087" w:rsidRPr="00FD7DCD">
        <w:t xml:space="preserve">. </w:t>
      </w:r>
      <w:r w:rsidRPr="00FD7DCD">
        <w:t>По договору же комиссии комиссионер обязуется по поручению комитента совершать одну или несколько сделок</w:t>
      </w:r>
      <w:r w:rsidR="00006087" w:rsidRPr="00FD7DCD">
        <w:t xml:space="preserve">. </w:t>
      </w:r>
      <w:r w:rsidRPr="00FD7DCD">
        <w:t xml:space="preserve">Таким образом, предметом договора </w:t>
      </w:r>
      <w:r w:rsidR="00C06C96" w:rsidRPr="00FD7DCD">
        <w:t>комиссии является более узкий круг юридических действий, а именно</w:t>
      </w:r>
      <w:r w:rsidR="00006087" w:rsidRPr="00FD7DCD">
        <w:t xml:space="preserve"> - </w:t>
      </w:r>
      <w:r w:rsidR="00C06C96" w:rsidRPr="00FD7DCD">
        <w:t>лишь совершение сделок</w:t>
      </w:r>
      <w:r w:rsidR="00006087" w:rsidRPr="00FD7DCD">
        <w:t xml:space="preserve">. </w:t>
      </w:r>
      <w:r w:rsidR="00C06C96" w:rsidRPr="00FD7DCD">
        <w:t>Второе отличие, и оно является главным, состоит в том, что если поверенный совершает юридические действия от имени доверителя, то комиссионер, совершая сделки, действует от своего имени</w:t>
      </w:r>
      <w:r w:rsidR="00006087" w:rsidRPr="00FD7DCD">
        <w:t>.</w:t>
      </w:r>
    </w:p>
    <w:p w:rsidR="00006087" w:rsidRPr="00FD7DCD" w:rsidRDefault="00C06C96" w:rsidP="00006087">
      <w:pPr>
        <w:ind w:firstLine="709"/>
      </w:pPr>
      <w:r w:rsidRPr="00FD7DCD">
        <w:t>Агентский договор может строиться или по модели договора поручения, или по модели договора комиссии</w:t>
      </w:r>
      <w:r w:rsidR="00006087" w:rsidRPr="00FD7DCD">
        <w:t xml:space="preserve">. </w:t>
      </w:r>
      <w:r w:rsidRPr="00FD7DCD">
        <w:t>И в том, и в другом случае агент обязуется совершать определенные действия по поручению другой стороны</w:t>
      </w:r>
      <w:r w:rsidR="00006087" w:rsidRPr="00FD7DCD">
        <w:t xml:space="preserve"> (</w:t>
      </w:r>
      <w:r w:rsidRPr="00FD7DCD">
        <w:t>принципала</w:t>
      </w:r>
      <w:r w:rsidR="00006087" w:rsidRPr="00FD7DCD">
        <w:t xml:space="preserve">) </w:t>
      </w:r>
      <w:r w:rsidRPr="00FD7DCD">
        <w:t>и за его счет</w:t>
      </w:r>
      <w:r w:rsidR="00006087" w:rsidRPr="00FD7DCD">
        <w:t xml:space="preserve">. </w:t>
      </w:r>
      <w:r w:rsidRPr="00FD7DCD">
        <w:t>Однако в одном случае агент совершает действия, например сделки, от своего имени, как по договору комиссии</w:t>
      </w:r>
      <w:r w:rsidR="00006087" w:rsidRPr="00FD7DCD">
        <w:t xml:space="preserve">. </w:t>
      </w:r>
      <w:r w:rsidRPr="00FD7DCD">
        <w:t>В другом случае, напротив,</w:t>
      </w:r>
      <w:r w:rsidR="00006087" w:rsidRPr="00FD7DCD">
        <w:t xml:space="preserve"> - </w:t>
      </w:r>
      <w:r w:rsidRPr="00FD7DCD">
        <w:t>от имени принципала, как по договору комиссии</w:t>
      </w:r>
      <w:r w:rsidR="00006087" w:rsidRPr="00FD7DCD">
        <w:t xml:space="preserve">. </w:t>
      </w:r>
      <w:r w:rsidRPr="00FD7DCD">
        <w:t xml:space="preserve">Если сделка совершена агентом от своего имени, тог стороной в этой сделке выступает сам агент с последующей передачей прав и </w:t>
      </w:r>
      <w:r w:rsidR="002116AE" w:rsidRPr="00FD7DCD">
        <w:t>обязанностей принципалу</w:t>
      </w:r>
      <w:r w:rsidR="00006087" w:rsidRPr="00FD7DCD">
        <w:t xml:space="preserve">. </w:t>
      </w:r>
      <w:r w:rsidR="002116AE" w:rsidRPr="00FD7DCD">
        <w:t>Если сделка совершена агентом от имени принципала, то стороной сделки является принципал, которому с самого начала принадлежат права и обязанности</w:t>
      </w:r>
      <w:r w:rsidR="00006087" w:rsidRPr="00FD7DCD">
        <w:t xml:space="preserve">. </w:t>
      </w:r>
      <w:r w:rsidR="002116AE" w:rsidRPr="00FD7DCD">
        <w:t>Не следует, однако, упускать из виду, что независимо от того, действует ли агент по схеме договора поручения или по схеме договора комиссии, его действия могут выходить за рамки и того, и другого договоров, поскольку содержание агентского договора может быть шире любого из них</w:t>
      </w:r>
      <w:r w:rsidR="00006087" w:rsidRPr="00FD7DCD">
        <w:t>.</w:t>
      </w:r>
    </w:p>
    <w:p w:rsidR="00437545" w:rsidRPr="00FD7DCD" w:rsidRDefault="00437545" w:rsidP="00006087">
      <w:pPr>
        <w:ind w:firstLine="709"/>
      </w:pPr>
      <w:r w:rsidRPr="00FD7DCD">
        <w:t>ЗАДАЧА 1</w:t>
      </w:r>
      <w:r w:rsidR="0010186F">
        <w:t>.</w:t>
      </w:r>
    </w:p>
    <w:p w:rsidR="00006087" w:rsidRPr="00FD7DCD" w:rsidRDefault="00437545" w:rsidP="00006087">
      <w:pPr>
        <w:ind w:firstLine="709"/>
      </w:pPr>
      <w:r w:rsidRPr="00FD7DCD">
        <w:t>ОАО</w:t>
      </w:r>
      <w:r w:rsidR="00006087" w:rsidRPr="00FD7DCD">
        <w:t xml:space="preserve"> "</w:t>
      </w:r>
      <w:r w:rsidRPr="00FD7DCD">
        <w:t>Швейная фабрика</w:t>
      </w:r>
      <w:r w:rsidR="00006087" w:rsidRPr="00FD7DCD">
        <w:t xml:space="preserve">" </w:t>
      </w:r>
      <w:r w:rsidRPr="00FD7DCD">
        <w:t>предъявила иск к ОАО</w:t>
      </w:r>
      <w:r w:rsidR="00006087" w:rsidRPr="00FD7DCD">
        <w:t xml:space="preserve"> "</w:t>
      </w:r>
      <w:r w:rsidRPr="00FD7DCD">
        <w:t>Стройторгсервис</w:t>
      </w:r>
      <w:r w:rsidR="00006087" w:rsidRPr="00FD7DCD">
        <w:t xml:space="preserve">" </w:t>
      </w:r>
      <w:r w:rsidRPr="00FD7DCD">
        <w:t>о взыскании неустойки в сумме 300 тыс</w:t>
      </w:r>
      <w:r w:rsidR="00006087" w:rsidRPr="00FD7DCD">
        <w:t xml:space="preserve">. </w:t>
      </w:r>
      <w:r w:rsidRPr="00FD7DCD">
        <w:t>рублей</w:t>
      </w:r>
      <w:r w:rsidR="00006087" w:rsidRPr="00FD7DCD">
        <w:t xml:space="preserve">. </w:t>
      </w:r>
      <w:r w:rsidRPr="00FD7DCD">
        <w:t>Между сторонами был заключен договор, по которому</w:t>
      </w:r>
      <w:r w:rsidR="00006087" w:rsidRPr="00FD7DCD">
        <w:t xml:space="preserve"> "</w:t>
      </w:r>
      <w:r w:rsidRPr="00FD7DCD">
        <w:t>Стройторгсервис</w:t>
      </w:r>
      <w:r w:rsidR="00006087" w:rsidRPr="00FD7DCD">
        <w:t xml:space="preserve">" </w:t>
      </w:r>
      <w:r w:rsidRPr="00FD7DCD">
        <w:t>обязался произвести строительные работы по перестройке и пристройке к главному корпусу</w:t>
      </w:r>
      <w:r w:rsidR="00006087" w:rsidRPr="00FD7DCD">
        <w:t xml:space="preserve"> </w:t>
      </w:r>
      <w:r w:rsidRPr="00FD7DCD">
        <w:t>фабрики</w:t>
      </w:r>
      <w:r w:rsidR="00006087" w:rsidRPr="00FD7DCD">
        <w:t xml:space="preserve">. </w:t>
      </w:r>
      <w:r w:rsidRPr="00FD7DCD">
        <w:t>В связи с тем, что к установленному сроку работы были выполнены не полностью, истец предъявил иск о взыскании неустойки</w:t>
      </w:r>
      <w:r w:rsidR="00006087" w:rsidRPr="00FD7DCD">
        <w:t xml:space="preserve">. </w:t>
      </w:r>
      <w:r w:rsidRPr="00FD7DCD">
        <w:t>Арбитражный суд, ознакомившись с материалами суда, установил, что в договоре между сторонами не была предусмотрена выплата неустойки</w:t>
      </w:r>
      <w:r w:rsidR="00006087" w:rsidRPr="00FD7DCD">
        <w:t>.</w:t>
      </w:r>
    </w:p>
    <w:p w:rsidR="00006087" w:rsidRPr="00FD7DCD" w:rsidRDefault="00437545" w:rsidP="00006087">
      <w:pPr>
        <w:ind w:firstLine="709"/>
      </w:pPr>
      <w:r w:rsidRPr="00FD7DCD">
        <w:t>Дать определение договора как основания возникновения гражданско-правовых обязательств</w:t>
      </w:r>
      <w:r w:rsidR="00006087" w:rsidRPr="00FD7DCD">
        <w:t xml:space="preserve">. </w:t>
      </w:r>
      <w:r w:rsidRPr="00FD7DCD">
        <w:t>Какими способами может быть обеспечено исполнение договора</w:t>
      </w:r>
      <w:r w:rsidR="00006087" w:rsidRPr="00FD7DCD">
        <w:t xml:space="preserve">? </w:t>
      </w:r>
      <w:r w:rsidRPr="00FD7DCD">
        <w:t>Охарактеризовать неустойку, ее виды по соотношению с убытками</w:t>
      </w:r>
      <w:r w:rsidR="00006087" w:rsidRPr="00FD7DCD">
        <w:t xml:space="preserve">. </w:t>
      </w:r>
      <w:r w:rsidRPr="00FD7DCD">
        <w:t>В какой форме должно быть совершено соглашение о неустойке</w:t>
      </w:r>
      <w:r w:rsidR="00006087" w:rsidRPr="00FD7DCD">
        <w:t xml:space="preserve">? </w:t>
      </w:r>
      <w:r w:rsidRPr="00FD7DCD">
        <w:t>Какое решение по данному делу должен принять арбитражный суд</w:t>
      </w:r>
      <w:r w:rsidR="00006087" w:rsidRPr="00FD7DCD">
        <w:t>?</w:t>
      </w:r>
    </w:p>
    <w:p w:rsidR="00006087" w:rsidRPr="00FD7DCD" w:rsidRDefault="00C723A8" w:rsidP="00006087">
      <w:pPr>
        <w:ind w:firstLine="709"/>
      </w:pPr>
      <w:r w:rsidRPr="00FD7DCD">
        <w:t>Решение</w:t>
      </w:r>
      <w:r w:rsidR="00006087" w:rsidRPr="00FD7DCD">
        <w:t xml:space="preserve">: </w:t>
      </w:r>
      <w:r w:rsidRPr="00FD7DCD">
        <w:t>Между фабрикой и ОАО</w:t>
      </w:r>
      <w:r w:rsidR="00006087" w:rsidRPr="00FD7DCD">
        <w:t xml:space="preserve"> "</w:t>
      </w:r>
      <w:r w:rsidRPr="00FD7DCD">
        <w:t>Стройторгсервис</w:t>
      </w:r>
      <w:r w:rsidR="00006087" w:rsidRPr="00FD7DCD">
        <w:t xml:space="preserve">" </w:t>
      </w:r>
      <w:r w:rsidRPr="00FD7DCD">
        <w:t>был заключен договор строительного подряда, по которому подрядчик</w:t>
      </w:r>
      <w:r w:rsidR="00006087" w:rsidRPr="00FD7DCD">
        <w:t xml:space="preserve"> - </w:t>
      </w:r>
      <w:r w:rsidRPr="00FD7DCD">
        <w:t>ОАО</w:t>
      </w:r>
      <w:r w:rsidR="00006087" w:rsidRPr="00FD7DCD">
        <w:t xml:space="preserve"> "</w:t>
      </w:r>
      <w:r w:rsidRPr="00FD7DCD">
        <w:t>Стройторгсервис</w:t>
      </w:r>
      <w:r w:rsidR="00006087" w:rsidRPr="00FD7DCD">
        <w:t xml:space="preserve">" </w:t>
      </w:r>
      <w:r w:rsidRPr="00FD7DCD">
        <w:t>обязуется в установленный договором срок произвести строительные работы по перестройке и пристройке к главному корпусу фабрики по заданию заказчика</w:t>
      </w:r>
      <w:r w:rsidR="00006087" w:rsidRPr="00FD7DCD">
        <w:t xml:space="preserve"> - </w:t>
      </w:r>
      <w:r w:rsidRPr="00FD7DCD">
        <w:t>ОАО</w:t>
      </w:r>
      <w:r w:rsidR="00006087" w:rsidRPr="00FD7DCD">
        <w:t xml:space="preserve"> "</w:t>
      </w:r>
      <w:r w:rsidRPr="00FD7DCD">
        <w:t>Швейная фабрика</w:t>
      </w:r>
      <w:r w:rsidR="00006087" w:rsidRPr="00FD7DCD">
        <w:t xml:space="preserve">", </w:t>
      </w:r>
      <w:r w:rsidRPr="00FD7DCD">
        <w:t>а заказчик обязуется создать подрядчику необходимые условия для выполнения работ, принять их результат и уплатить обусловленную сумму</w:t>
      </w:r>
      <w:r w:rsidR="00006087" w:rsidRPr="00FD7DCD">
        <w:t xml:space="preserve">. </w:t>
      </w:r>
      <w:r w:rsidRPr="00FD7DCD">
        <w:t>Исполнение договора подряда может быть обеспечено соглашением о неустойке</w:t>
      </w:r>
      <w:r w:rsidR="00006087" w:rsidRPr="00FD7DCD">
        <w:t xml:space="preserve">. </w:t>
      </w:r>
      <w:r w:rsidRPr="00FD7DCD">
        <w:t>Соглашение о неустойке должно быть совершено в письменной форме независимо от формы основного обязательства</w:t>
      </w:r>
      <w:r w:rsidR="00006087" w:rsidRPr="00FD7DCD">
        <w:t xml:space="preserve">. </w:t>
      </w:r>
      <w:r w:rsidRPr="00FD7DCD">
        <w:t>Несоблюдение письменной формы влечет недействительность соглашения о неустойке</w:t>
      </w:r>
      <w:r w:rsidR="00006087" w:rsidRPr="00FD7DCD">
        <w:t xml:space="preserve">. </w:t>
      </w:r>
      <w:r w:rsidR="00E6108B" w:rsidRPr="00FD7DCD">
        <w:t>Если за неисполнение или ненадлежащее исполнение обязательства установлена неустойка, то убытки возмещаются в части, не покрытой неустойкой</w:t>
      </w:r>
      <w:r w:rsidR="00006087" w:rsidRPr="00FD7DCD">
        <w:t xml:space="preserve">. </w:t>
      </w:r>
      <w:r w:rsidR="00E6108B" w:rsidRPr="00FD7DCD">
        <w:t>Законом могут быть предусмотрены случаи</w:t>
      </w:r>
      <w:r w:rsidR="00006087" w:rsidRPr="00FD7DCD">
        <w:t xml:space="preserve">: </w:t>
      </w:r>
      <w:r w:rsidR="00E6108B" w:rsidRPr="00FD7DCD">
        <w:t>когда допускается взыскание только неустойки, но не убытков</w:t>
      </w:r>
      <w:r w:rsidR="00006087" w:rsidRPr="00FD7DCD">
        <w:t xml:space="preserve">; </w:t>
      </w:r>
      <w:r w:rsidR="00E6108B" w:rsidRPr="00FD7DCD">
        <w:t>когда убытки могут быть взысканы в полной сумме сверх неустойки</w:t>
      </w:r>
      <w:r w:rsidR="00006087" w:rsidRPr="00FD7DCD">
        <w:t xml:space="preserve">; </w:t>
      </w:r>
      <w:r w:rsidR="00E6108B" w:rsidRPr="00FD7DCD">
        <w:t>когда по выбору кредитора могут быть взысканы либо неустойка, либо убытки</w:t>
      </w:r>
      <w:r w:rsidR="00006087" w:rsidRPr="00FD7DCD">
        <w:t xml:space="preserve">. </w:t>
      </w:r>
      <w:r w:rsidR="00E6108B" w:rsidRPr="00FD7DCD">
        <w:t>Если из материалов дела следует, что в договоре не соглашения о неустойке, то арбитражный суд должен вынести решение об отказе в исковых требованиях о взыскании неустойки</w:t>
      </w:r>
      <w:r w:rsidR="00006087" w:rsidRPr="00FD7DCD">
        <w:t>.</w:t>
      </w:r>
    </w:p>
    <w:p w:rsidR="00E6108B" w:rsidRPr="00FD7DCD" w:rsidRDefault="00E6108B" w:rsidP="00006087">
      <w:pPr>
        <w:ind w:firstLine="709"/>
      </w:pPr>
      <w:r w:rsidRPr="00FD7DCD">
        <w:t>ЗАДАЧА 2</w:t>
      </w:r>
      <w:r w:rsidR="0010186F">
        <w:t>.</w:t>
      </w:r>
    </w:p>
    <w:p w:rsidR="00006087" w:rsidRPr="00FD7DCD" w:rsidRDefault="00E6108B" w:rsidP="00006087">
      <w:pPr>
        <w:ind w:firstLine="709"/>
      </w:pPr>
      <w:r w:rsidRPr="00FD7DCD">
        <w:t>Акционерный банк</w:t>
      </w:r>
      <w:r w:rsidR="00006087" w:rsidRPr="00FD7DCD">
        <w:t xml:space="preserve"> "</w:t>
      </w:r>
      <w:r w:rsidRPr="00FD7DCD">
        <w:t>Интель</w:t>
      </w:r>
      <w:r w:rsidR="00006087" w:rsidRPr="00FD7DCD">
        <w:t xml:space="preserve">" </w:t>
      </w:r>
      <w:r w:rsidRPr="00FD7DCD">
        <w:t>предоставил целевой кредит ООО</w:t>
      </w:r>
      <w:r w:rsidR="00006087" w:rsidRPr="00FD7DCD">
        <w:t xml:space="preserve"> "</w:t>
      </w:r>
      <w:r w:rsidRPr="00FD7DCD">
        <w:t>Талеон</w:t>
      </w:r>
      <w:r w:rsidR="00006087" w:rsidRPr="00FD7DCD">
        <w:t xml:space="preserve">" </w:t>
      </w:r>
      <w:r w:rsidRPr="00FD7DCD">
        <w:t>на покупку у бельгийской фирмы</w:t>
      </w:r>
      <w:r w:rsidR="00006087" w:rsidRPr="00FD7DCD">
        <w:t xml:space="preserve"> "</w:t>
      </w:r>
      <w:r w:rsidRPr="00FD7DCD">
        <w:t>Ломмель</w:t>
      </w:r>
      <w:r w:rsidR="00006087" w:rsidRPr="00FD7DCD">
        <w:t xml:space="preserve">" </w:t>
      </w:r>
      <w:r w:rsidRPr="00FD7DCD">
        <w:t>технологической линии по производству ковровых покрытий</w:t>
      </w:r>
      <w:r w:rsidR="00006087" w:rsidRPr="00FD7DCD">
        <w:t xml:space="preserve">. </w:t>
      </w:r>
      <w:r w:rsidRPr="00FD7DCD">
        <w:t>В обеспечение своевременного возврата денежных средств между банком и обществом был заключен договор о залоге этой технологической линии, в котором содержалась ссылка на импортный контракт</w:t>
      </w:r>
      <w:r w:rsidR="00006087" w:rsidRPr="00FD7DCD">
        <w:t>.</w:t>
      </w:r>
    </w:p>
    <w:p w:rsidR="00006087" w:rsidRPr="00FD7DCD" w:rsidRDefault="00A83FFD" w:rsidP="00006087">
      <w:pPr>
        <w:ind w:firstLine="709"/>
      </w:pPr>
      <w:r w:rsidRPr="00FD7DCD">
        <w:t>Бельгийская фирма и ООО</w:t>
      </w:r>
      <w:r w:rsidR="00006087" w:rsidRPr="00FD7DCD">
        <w:t xml:space="preserve"> "</w:t>
      </w:r>
      <w:r w:rsidRPr="00FD7DCD">
        <w:t>Талеон</w:t>
      </w:r>
      <w:r w:rsidR="00006087" w:rsidRPr="00FD7DCD">
        <w:t xml:space="preserve">" </w:t>
      </w:r>
      <w:r w:rsidRPr="00FD7DCD">
        <w:t>подписали контракт по поставке, в котором в качестве предмета сделки перечислялись конкретные модификации ткацких станков</w:t>
      </w:r>
      <w:r w:rsidR="00006087" w:rsidRPr="00FD7DCD">
        <w:t>.</w:t>
      </w:r>
    </w:p>
    <w:p w:rsidR="00006087" w:rsidRPr="00FD7DCD" w:rsidRDefault="00A83FFD" w:rsidP="00006087">
      <w:pPr>
        <w:ind w:firstLine="709"/>
      </w:pPr>
      <w:r w:rsidRPr="00FD7DCD">
        <w:t>Впоследствии залогодатель по причине полной неплатежеспособности просрочил исполнение по основному обязательству</w:t>
      </w:r>
      <w:r w:rsidR="00006087" w:rsidRPr="00FD7DCD">
        <w:t xml:space="preserve">. </w:t>
      </w:r>
      <w:r w:rsidRPr="00FD7DCD">
        <w:t>Акционерный банк обратился в арбитражный суд с иском к ООО</w:t>
      </w:r>
      <w:r w:rsidR="00006087" w:rsidRPr="00FD7DCD">
        <w:t xml:space="preserve"> "</w:t>
      </w:r>
      <w:r w:rsidRPr="00FD7DCD">
        <w:t>Талеон</w:t>
      </w:r>
      <w:r w:rsidR="00006087" w:rsidRPr="00FD7DCD">
        <w:t xml:space="preserve">" </w:t>
      </w:r>
      <w:r w:rsidRPr="00FD7DCD">
        <w:t>о взыскании задолженности по кредитному договору с обращением взыскания на поставленное обществу оборудование</w:t>
      </w:r>
      <w:r w:rsidR="00006087" w:rsidRPr="00FD7DCD">
        <w:t xml:space="preserve">. </w:t>
      </w:r>
      <w:r w:rsidRPr="00FD7DCD">
        <w:t>В свою очередь ответчик предъявил иск о признании залоговой сделки недействительной</w:t>
      </w:r>
      <w:r w:rsidR="00006087" w:rsidRPr="00FD7DCD">
        <w:t xml:space="preserve">. </w:t>
      </w:r>
      <w:r w:rsidRPr="00FD7DCD">
        <w:t>Однако в ходе судебного заседания выяснилось, что отправленные иностранным импортером станки не были получены ООО</w:t>
      </w:r>
      <w:r w:rsidR="00006087" w:rsidRPr="00FD7DCD">
        <w:t xml:space="preserve"> "</w:t>
      </w:r>
      <w:r w:rsidRPr="00FD7DCD">
        <w:t>Талеон</w:t>
      </w:r>
      <w:r w:rsidR="00006087" w:rsidRPr="00FD7DCD">
        <w:t xml:space="preserve">", </w:t>
      </w:r>
      <w:r w:rsidRPr="00FD7DCD">
        <w:t xml:space="preserve">а задержаны таможней при перевозке через границу РФ и в данный момент находятся на таможенном складе в аэропорту </w:t>
      </w:r>
      <w:r w:rsidR="008977FD" w:rsidRPr="00FD7DCD">
        <w:t>Шереметьево до уплаты все</w:t>
      </w:r>
      <w:r w:rsidRPr="00FD7DCD">
        <w:t>х таможенных пошлин грузополучателем</w:t>
      </w:r>
      <w:r w:rsidR="00006087" w:rsidRPr="00FD7DCD">
        <w:t xml:space="preserve">. </w:t>
      </w:r>
      <w:r w:rsidRPr="00FD7DCD">
        <w:t>В связи с этим обстоятельством арбитражный суд приостановил производство по делу</w:t>
      </w:r>
      <w:r w:rsidR="00006087" w:rsidRPr="00FD7DCD">
        <w:t>.</w:t>
      </w:r>
    </w:p>
    <w:p w:rsidR="00006087" w:rsidRPr="00FD7DCD" w:rsidRDefault="00A83FFD" w:rsidP="00006087">
      <w:pPr>
        <w:ind w:firstLine="709"/>
      </w:pPr>
      <w:r w:rsidRPr="00FD7DCD">
        <w:t>Решение</w:t>
      </w:r>
      <w:r w:rsidR="00006087" w:rsidRPr="00FD7DCD">
        <w:t xml:space="preserve">: </w:t>
      </w:r>
      <w:r w:rsidR="008977FD" w:rsidRPr="00FD7DCD">
        <w:t>В данном случае товар, указанный в договоре залога</w:t>
      </w:r>
      <w:r w:rsidR="00006087" w:rsidRPr="00FD7DCD">
        <w:t xml:space="preserve"> (</w:t>
      </w:r>
      <w:r w:rsidR="008977FD" w:rsidRPr="00FD7DCD">
        <w:t>технологическая линия</w:t>
      </w:r>
      <w:r w:rsidR="00006087" w:rsidRPr="00FD7DCD">
        <w:t>),</w:t>
      </w:r>
      <w:r w:rsidR="008977FD" w:rsidRPr="00FD7DCD">
        <w:t xml:space="preserve"> становится предметом залога только с момента возникновения у залогодателя на него права собственности или хозяйственного ведения</w:t>
      </w:r>
      <w:r w:rsidR="00006087" w:rsidRPr="00FD7DCD">
        <w:t xml:space="preserve">. </w:t>
      </w:r>
      <w:r w:rsidR="008977FD" w:rsidRPr="00FD7DCD">
        <w:t>Арбитражный суд должен отказать в иске банку по этим основаниям</w:t>
      </w:r>
      <w:r w:rsidR="00006087" w:rsidRPr="00FD7DCD">
        <w:t>.</w:t>
      </w:r>
    </w:p>
    <w:p w:rsidR="008977FD" w:rsidRPr="00FD7DCD" w:rsidRDefault="008977FD" w:rsidP="00006087">
      <w:pPr>
        <w:ind w:firstLine="709"/>
      </w:pPr>
      <w:r w:rsidRPr="00FD7DCD">
        <w:t>ЗАДАЧА 3</w:t>
      </w:r>
      <w:r w:rsidR="0010186F">
        <w:t>.</w:t>
      </w:r>
    </w:p>
    <w:p w:rsidR="00006087" w:rsidRPr="00FD7DCD" w:rsidRDefault="0089273B" w:rsidP="00006087">
      <w:pPr>
        <w:ind w:firstLine="709"/>
      </w:pPr>
      <w:r w:rsidRPr="00FD7DCD">
        <w:t>ОАО</w:t>
      </w:r>
      <w:r w:rsidR="00006087" w:rsidRPr="00FD7DCD">
        <w:t xml:space="preserve"> "</w:t>
      </w:r>
      <w:r w:rsidRPr="00FD7DCD">
        <w:t>Квадро</w:t>
      </w:r>
      <w:r w:rsidR="00006087" w:rsidRPr="00FD7DCD">
        <w:t xml:space="preserve">" </w:t>
      </w:r>
      <w:r w:rsidRPr="00FD7DCD">
        <w:t>обратилось в арбитражный суд с иском об изменении договора аренды, заключенного с кооперативом</w:t>
      </w:r>
      <w:r w:rsidR="00006087" w:rsidRPr="00FD7DCD">
        <w:t xml:space="preserve"> "</w:t>
      </w:r>
      <w:r w:rsidRPr="00FD7DCD">
        <w:t>Швейное дело</w:t>
      </w:r>
      <w:r w:rsidR="00006087" w:rsidRPr="00FD7DCD">
        <w:t xml:space="preserve">", </w:t>
      </w:r>
      <w:r w:rsidRPr="00FD7DCD">
        <w:t>в части размера арендной платы</w:t>
      </w:r>
      <w:r w:rsidR="00006087" w:rsidRPr="00FD7DCD">
        <w:t xml:space="preserve">. </w:t>
      </w:r>
      <w:r w:rsidRPr="00FD7DCD">
        <w:t>Суд, руководствуясь ст</w:t>
      </w:r>
      <w:r w:rsidR="00006087" w:rsidRPr="00FD7DCD">
        <w:t>.4</w:t>
      </w:r>
      <w:r w:rsidRPr="00FD7DCD">
        <w:t>52 ГК РФ внес изменения в договор, обязав арендатора ежемесячно вносить арендную плату за 1 кв</w:t>
      </w:r>
      <w:r w:rsidR="00006087" w:rsidRPr="00FD7DCD">
        <w:t xml:space="preserve">. </w:t>
      </w:r>
      <w:r w:rsidRPr="00FD7DCD">
        <w:t>м, исчисленную по формуле, в основу которой была положена учетная ставка Центрального банка в зависимости от стоимости сданного в аренду имущества</w:t>
      </w:r>
      <w:r w:rsidR="00006087" w:rsidRPr="00FD7DCD">
        <w:t xml:space="preserve">. </w:t>
      </w:r>
      <w:r w:rsidRPr="00FD7DCD">
        <w:t>За арендодателем было закреплено право в одностороннем порядке изменять арендную плату в зависимости от показателей учетной ставки банковского процента</w:t>
      </w:r>
      <w:r w:rsidR="00006087" w:rsidRPr="00FD7DCD">
        <w:t xml:space="preserve">. </w:t>
      </w:r>
      <w:r w:rsidRPr="00FD7DCD">
        <w:t>Суд исходил из того, что договор определяет размер арендной платы в твердой сумме и порядок ее изменения не предусмотрен, а обстоятельства, из которых стороны исходили при заключении договора, существенно изменились</w:t>
      </w:r>
      <w:r w:rsidR="00006087" w:rsidRPr="00FD7DCD">
        <w:t>.</w:t>
      </w:r>
    </w:p>
    <w:p w:rsidR="00006087" w:rsidRPr="00FD7DCD" w:rsidRDefault="0089273B" w:rsidP="00006087">
      <w:pPr>
        <w:ind w:firstLine="709"/>
      </w:pPr>
      <w:r w:rsidRPr="00FD7DCD">
        <w:t>При этом суд признал, что п</w:t>
      </w:r>
      <w:r w:rsidR="00006087" w:rsidRPr="00FD7DCD">
        <w:t>.2.4</w:t>
      </w:r>
      <w:r w:rsidRPr="00FD7DCD">
        <w:t xml:space="preserve"> договора, устанавливая увеличение арендной платы в зависимости от повышения тарифов на энергоносители, имеет в виду лишь увеличение оплаты за энергоносители, а не арендной платы</w:t>
      </w:r>
      <w:r w:rsidR="00006087" w:rsidRPr="00FD7DCD">
        <w:t>.</w:t>
      </w:r>
    </w:p>
    <w:p w:rsidR="00006087" w:rsidRPr="00FD7DCD" w:rsidRDefault="0089273B" w:rsidP="00006087">
      <w:pPr>
        <w:ind w:firstLine="709"/>
      </w:pPr>
      <w:r w:rsidRPr="00FD7DCD">
        <w:t>Апелляционная инстанция нашла, что оснований для удовлетворения иска не было</w:t>
      </w:r>
      <w:r w:rsidR="00006087" w:rsidRPr="00FD7DCD">
        <w:t xml:space="preserve">. </w:t>
      </w:r>
      <w:r w:rsidRPr="00FD7DCD">
        <w:t>По ее мнению, в соответствии со ст</w:t>
      </w:r>
      <w:r w:rsidR="00006087" w:rsidRPr="00FD7DCD">
        <w:t>.4</w:t>
      </w:r>
      <w:r w:rsidRPr="00FD7DCD">
        <w:t xml:space="preserve">21 Г*К РФ при толковании договора судом принимается во внимание буквальное значение </w:t>
      </w:r>
      <w:r w:rsidR="00FC25A4" w:rsidRPr="00FD7DCD">
        <w:t>содержащихся в нем слов и выражений</w:t>
      </w:r>
      <w:r w:rsidR="00006087" w:rsidRPr="00FD7DCD">
        <w:t xml:space="preserve">. </w:t>
      </w:r>
      <w:r w:rsidR="00FC25A4" w:rsidRPr="00FD7DCD">
        <w:t>Раздел 2 договора называется</w:t>
      </w:r>
      <w:r w:rsidR="00006087" w:rsidRPr="00FD7DCD">
        <w:t xml:space="preserve"> "</w:t>
      </w:r>
      <w:r w:rsidR="00FC25A4" w:rsidRPr="00FD7DCD">
        <w:t>Размер арендной платы и порядок взаиморасчетов</w:t>
      </w:r>
      <w:r w:rsidR="00006087" w:rsidRPr="00FD7DCD">
        <w:t xml:space="preserve">". </w:t>
      </w:r>
      <w:r w:rsidR="00FC25A4" w:rsidRPr="00FD7DCD">
        <w:t>Значение содержащихся в этом названии слов позволяет сделать вывод о том, что положение п</w:t>
      </w:r>
      <w:r w:rsidR="00006087" w:rsidRPr="00FD7DCD">
        <w:t>.2.4</w:t>
      </w:r>
      <w:r w:rsidR="00FC25A4" w:rsidRPr="00FD7DCD">
        <w:t xml:space="preserve"> распространяются также</w:t>
      </w:r>
      <w:r w:rsidR="00006087" w:rsidRPr="00FD7DCD">
        <w:t xml:space="preserve"> </w:t>
      </w:r>
      <w:r w:rsidR="00FC25A4" w:rsidRPr="00FD7DCD">
        <w:t>и на арендную плату, а не только на плату энергоносителей</w:t>
      </w:r>
      <w:r w:rsidR="00006087" w:rsidRPr="00FD7DCD">
        <w:t xml:space="preserve">. </w:t>
      </w:r>
      <w:r w:rsidR="00FC25A4" w:rsidRPr="00FD7DCD">
        <w:t>Таким образом, в деле нет обстоятельств, дающих право применять ст</w:t>
      </w:r>
      <w:r w:rsidR="00006087" w:rsidRPr="00FD7DCD">
        <w:t>.4</w:t>
      </w:r>
      <w:r w:rsidR="00FC25A4" w:rsidRPr="00FD7DCD">
        <w:t>51 ГК РФ</w:t>
      </w:r>
      <w:r w:rsidR="00006087" w:rsidRPr="00FD7DCD">
        <w:t>.</w:t>
      </w:r>
    </w:p>
    <w:p w:rsidR="00006087" w:rsidRPr="00FD7DCD" w:rsidRDefault="00FC25A4" w:rsidP="00006087">
      <w:pPr>
        <w:ind w:firstLine="709"/>
      </w:pPr>
      <w:r w:rsidRPr="00FD7DCD">
        <w:t>Решение</w:t>
      </w:r>
      <w:r w:rsidR="00006087" w:rsidRPr="00FD7DCD">
        <w:t>:</w:t>
      </w:r>
    </w:p>
    <w:p w:rsidR="00006087" w:rsidRPr="00FD7DCD" w:rsidRDefault="00DB69B7" w:rsidP="00006087">
      <w:pPr>
        <w:ind w:firstLine="709"/>
      </w:pPr>
      <w:r w:rsidRPr="00FD7DCD">
        <w:t>В некоторых случаях в договорах аренды предусматривается денежная форма оплаты за пользование имуществом с применением индексации с учетом инфляции либо путем определения ставки арендной платы в сумме, эквивалентной сумме в иностранной валюте</w:t>
      </w:r>
      <w:r w:rsidR="00006087" w:rsidRPr="00FD7DCD">
        <w:t xml:space="preserve">. </w:t>
      </w:r>
      <w:r w:rsidRPr="00FD7DCD">
        <w:t>На рассмотрение арбитражных судов поступали иски арендаторов о признании соответствующих условий договора недействительными со ссылкой на то, что применение их приводит к изменению</w:t>
      </w:r>
      <w:r w:rsidR="00006087" w:rsidRPr="00FD7DCD">
        <w:t xml:space="preserve"> (</w:t>
      </w:r>
      <w:r w:rsidRPr="00FD7DCD">
        <w:t xml:space="preserve">при инфляции </w:t>
      </w:r>
      <w:r w:rsidR="00006087" w:rsidRPr="00FD7DCD">
        <w:t>-</w:t>
      </w:r>
      <w:r w:rsidRPr="00FD7DCD">
        <w:t xml:space="preserve"> к увеличению</w:t>
      </w:r>
      <w:r w:rsidR="00006087" w:rsidRPr="00FD7DCD">
        <w:t xml:space="preserve">) </w:t>
      </w:r>
      <w:r w:rsidRPr="00FD7DCD">
        <w:t>размера арендной платы в течение года, а это противоречит п</w:t>
      </w:r>
      <w:r w:rsidR="00006087" w:rsidRPr="00FD7DCD">
        <w:t>.3</w:t>
      </w:r>
      <w:r w:rsidRPr="00FD7DCD">
        <w:t xml:space="preserve"> ст</w:t>
      </w:r>
      <w:r w:rsidR="00006087" w:rsidRPr="00FD7DCD">
        <w:t>.6</w:t>
      </w:r>
      <w:r w:rsidRPr="00FD7DCD">
        <w:t>14 ГК РФ</w:t>
      </w:r>
      <w:r w:rsidR="00006087" w:rsidRPr="00FD7DCD">
        <w:t xml:space="preserve">. </w:t>
      </w:r>
      <w:r w:rsidRPr="00FD7DCD">
        <w:t>Президиум ВАС РФ признал подобные иски не подлежащими удовлетворению, отметив, что такой способ определения размера денежного обязательства допустим на основании п</w:t>
      </w:r>
      <w:r w:rsidR="00006087" w:rsidRPr="00FD7DCD">
        <w:t>.2</w:t>
      </w:r>
      <w:r w:rsidRPr="00FD7DCD">
        <w:t xml:space="preserve"> ст</w:t>
      </w:r>
      <w:r w:rsidR="00006087" w:rsidRPr="00FD7DCD">
        <w:t>.3</w:t>
      </w:r>
      <w:r w:rsidRPr="00FD7DCD">
        <w:t>17 ГК РФ и его следует рассматривать как механизм исчисления арендной платы с целью устранения неблагоприятных последствий инфляции</w:t>
      </w:r>
      <w:r w:rsidR="00006087" w:rsidRPr="00FD7DCD">
        <w:t xml:space="preserve">. </w:t>
      </w:r>
      <w:r w:rsidRPr="00FD7DCD">
        <w:t>Он не противоречит ст</w:t>
      </w:r>
      <w:r w:rsidR="00006087" w:rsidRPr="00FD7DCD">
        <w:t>.1</w:t>
      </w:r>
      <w:r w:rsidRPr="00FD7DCD">
        <w:t>40 ГК РФ</w:t>
      </w:r>
      <w:r w:rsidR="00006087" w:rsidRPr="00FD7DCD">
        <w:t xml:space="preserve">. </w:t>
      </w:r>
      <w:r w:rsidRPr="00FD7DCD">
        <w:t>В указанных случаях ограничение, касающееся изменения размера арендной платы, могло бы быть применено, если бы арендодатель в течение года потребовал изменить базовую ставку, исходя из которой производится расчет арендных платежей за конкретные периоды с использованием предусмотренного договором способа их исчисления</w:t>
      </w:r>
      <w:r w:rsidR="00006087" w:rsidRPr="00FD7DCD">
        <w:t xml:space="preserve">. </w:t>
      </w:r>
      <w:r w:rsidR="001C6811" w:rsidRPr="00FD7DCD">
        <w:t>Таким образом, в нашем случае, суд первой инстанции вынес решение правомерное, отмене в порядке надзора подлежит решение апелляционной инстанции</w:t>
      </w:r>
      <w:r w:rsidR="00006087" w:rsidRPr="00FD7DCD">
        <w:t>.</w:t>
      </w:r>
    </w:p>
    <w:p w:rsidR="00006087" w:rsidRPr="00FD7DCD" w:rsidRDefault="0010186F" w:rsidP="0010186F">
      <w:pPr>
        <w:pStyle w:val="2"/>
      </w:pPr>
      <w:r>
        <w:br w:type="page"/>
      </w:r>
      <w:bookmarkStart w:id="3" w:name="_Toc255295972"/>
      <w:r w:rsidRPr="00FD7DCD">
        <w:t>Библиография</w:t>
      </w:r>
      <w:bookmarkEnd w:id="3"/>
    </w:p>
    <w:p w:rsidR="0010186F" w:rsidRDefault="0010186F" w:rsidP="00006087">
      <w:pPr>
        <w:ind w:firstLine="709"/>
      </w:pPr>
    </w:p>
    <w:p w:rsidR="00006087" w:rsidRPr="00FD7DCD" w:rsidRDefault="009C5939" w:rsidP="0010186F">
      <w:pPr>
        <w:pStyle w:val="a0"/>
      </w:pPr>
      <w:r w:rsidRPr="00FD7DCD">
        <w:t>Данилов Е</w:t>
      </w:r>
      <w:r w:rsidR="00006087" w:rsidRPr="00FD7DCD">
        <w:t xml:space="preserve">.П. </w:t>
      </w:r>
      <w:r w:rsidRPr="00FD7DCD">
        <w:t>Справочник адвоката</w:t>
      </w:r>
      <w:r w:rsidR="00006087" w:rsidRPr="00FD7DCD">
        <w:t xml:space="preserve">: </w:t>
      </w:r>
      <w:r w:rsidRPr="00FD7DCD">
        <w:t>Консультации, защита в суде, образцы документов</w:t>
      </w:r>
      <w:r w:rsidR="00006087" w:rsidRPr="00FD7DCD">
        <w:t xml:space="preserve">. - </w:t>
      </w:r>
      <w:r w:rsidRPr="00FD7DCD">
        <w:t>3-е изд</w:t>
      </w:r>
      <w:r w:rsidR="00006087" w:rsidRPr="00FD7DCD">
        <w:t xml:space="preserve">. </w:t>
      </w:r>
      <w:r w:rsidRPr="00FD7DCD">
        <w:t>перераб</w:t>
      </w:r>
      <w:r w:rsidR="00006087" w:rsidRPr="00FD7DCD">
        <w:t xml:space="preserve">. </w:t>
      </w:r>
      <w:r w:rsidRPr="00FD7DCD">
        <w:t>и доп</w:t>
      </w:r>
      <w:r w:rsidR="00006087" w:rsidRPr="00FD7DCD">
        <w:t>. -</w:t>
      </w:r>
      <w:r w:rsidRPr="00FD7DCD">
        <w:t xml:space="preserve"> М</w:t>
      </w:r>
      <w:r w:rsidR="00006087" w:rsidRPr="00FD7DCD">
        <w:t xml:space="preserve">.: </w:t>
      </w:r>
      <w:r w:rsidRPr="00FD7DCD">
        <w:t>Юрайт-Изд, 2007</w:t>
      </w:r>
      <w:r w:rsidR="00006087" w:rsidRPr="00FD7DCD">
        <w:t xml:space="preserve">. - </w:t>
      </w:r>
      <w:r w:rsidRPr="00FD7DCD">
        <w:t>690с</w:t>
      </w:r>
      <w:r w:rsidR="00006087" w:rsidRPr="00FD7DCD">
        <w:t>. - (</w:t>
      </w:r>
      <w:r w:rsidRPr="00FD7DCD">
        <w:t>Профессиональная практика</w:t>
      </w:r>
      <w:r w:rsidR="00006087" w:rsidRPr="00FD7DCD">
        <w:t>).</w:t>
      </w:r>
    </w:p>
    <w:p w:rsidR="00006087" w:rsidRPr="00FD7DCD" w:rsidRDefault="009C5939" w:rsidP="0010186F">
      <w:pPr>
        <w:pStyle w:val="a0"/>
        <w:rPr>
          <w:rFonts w:eastAsia="MS Mincho"/>
        </w:rPr>
      </w:pPr>
      <w:r w:rsidRPr="00FD7DCD">
        <w:rPr>
          <w:rFonts w:eastAsia="MS Mincho"/>
        </w:rPr>
        <w:t>Закон РФ</w:t>
      </w:r>
      <w:r w:rsidR="00006087" w:rsidRPr="00FD7DCD">
        <w:rPr>
          <w:rFonts w:eastAsia="MS Mincho"/>
        </w:rPr>
        <w:t xml:space="preserve"> "</w:t>
      </w:r>
      <w:r w:rsidRPr="00FD7DCD">
        <w:rPr>
          <w:rFonts w:eastAsia="MS Mincho"/>
        </w:rPr>
        <w:t>О защите прав потребителей</w:t>
      </w:r>
      <w:r w:rsidR="00006087" w:rsidRPr="00FD7DCD">
        <w:rPr>
          <w:rFonts w:eastAsia="MS Mincho"/>
        </w:rPr>
        <w:t xml:space="preserve">" </w:t>
      </w:r>
      <w:r w:rsidRPr="00FD7DCD">
        <w:rPr>
          <w:rFonts w:eastAsia="MS Mincho"/>
        </w:rPr>
        <w:t>от 0</w:t>
      </w:r>
      <w:r w:rsidR="00006087" w:rsidRPr="00FD7DCD">
        <w:rPr>
          <w:rFonts w:eastAsia="MS Mincho"/>
        </w:rPr>
        <w:t>7.20.19</w:t>
      </w:r>
      <w:r w:rsidRPr="00FD7DCD">
        <w:rPr>
          <w:rFonts w:eastAsia="MS Mincho"/>
        </w:rPr>
        <w:t>92г</w:t>
      </w:r>
      <w:r w:rsidR="00006087" w:rsidRPr="00FD7DCD">
        <w:rPr>
          <w:rFonts w:eastAsia="MS Mincho"/>
        </w:rPr>
        <w:t xml:space="preserve">. </w:t>
      </w:r>
      <w:r w:rsidRPr="00FD7DCD">
        <w:rPr>
          <w:rFonts w:eastAsia="MS Mincho"/>
        </w:rPr>
        <w:t xml:space="preserve">№2300 </w:t>
      </w:r>
      <w:r w:rsidR="00006087" w:rsidRPr="00FD7DCD">
        <w:rPr>
          <w:rFonts w:eastAsia="MS Mincho"/>
        </w:rPr>
        <w:t>-</w:t>
      </w:r>
      <w:r w:rsidRPr="00FD7DCD">
        <w:rPr>
          <w:rFonts w:eastAsia="MS Mincho"/>
        </w:rPr>
        <w:t>1</w:t>
      </w:r>
      <w:r w:rsidR="00006087" w:rsidRPr="00FD7DCD">
        <w:rPr>
          <w:rFonts w:eastAsia="MS Mincho"/>
        </w:rPr>
        <w:t>;</w:t>
      </w:r>
    </w:p>
    <w:p w:rsidR="00006087" w:rsidRPr="00FD7DCD" w:rsidRDefault="009C5939" w:rsidP="0010186F">
      <w:pPr>
        <w:pStyle w:val="a0"/>
      </w:pPr>
      <w:r w:rsidRPr="00FD7DCD">
        <w:t>Комментарий к Гражданскому кодексу РФ части первой</w:t>
      </w:r>
      <w:r w:rsidR="00006087" w:rsidRPr="00FD7DCD">
        <w:t xml:space="preserve"> (</w:t>
      </w:r>
      <w:r w:rsidRPr="00FD7DCD">
        <w:t>постатейный</w:t>
      </w:r>
      <w:r w:rsidR="00006087" w:rsidRPr="00FD7DCD">
        <w:t>). -</w:t>
      </w:r>
      <w:r w:rsidRPr="00FD7DCD">
        <w:t xml:space="preserve"> Изд</w:t>
      </w:r>
      <w:r w:rsidR="00006087" w:rsidRPr="00FD7DCD">
        <w:t>.</w:t>
      </w:r>
      <w:r w:rsidR="00FE2790">
        <w:t xml:space="preserve"> </w:t>
      </w:r>
      <w:r w:rsidR="00006087" w:rsidRPr="00FD7DCD">
        <w:t>3</w:t>
      </w:r>
      <w:r w:rsidRPr="00FD7DCD">
        <w:t>-е, испр</w:t>
      </w:r>
      <w:r w:rsidR="00006087" w:rsidRPr="00FD7DCD">
        <w:t>.,</w:t>
      </w:r>
      <w:r w:rsidRPr="00FD7DCD">
        <w:t xml:space="preserve"> доп</w:t>
      </w:r>
      <w:r w:rsidR="00006087" w:rsidRPr="00FD7DCD">
        <w:t xml:space="preserve">. </w:t>
      </w:r>
      <w:r w:rsidRPr="00FD7DCD">
        <w:t>и перераб</w:t>
      </w:r>
      <w:r w:rsidR="00006087" w:rsidRPr="00FD7DCD">
        <w:t xml:space="preserve">. </w:t>
      </w:r>
      <w:r w:rsidRPr="00FD7DCD">
        <w:t>с использованием судебно-арбитражной практики/ Рук</w:t>
      </w:r>
      <w:r w:rsidR="00006087" w:rsidRPr="00FD7DCD">
        <w:t xml:space="preserve">. </w:t>
      </w:r>
      <w:r w:rsidRPr="00FD7DCD">
        <w:t>авт</w:t>
      </w:r>
      <w:r w:rsidR="00006087" w:rsidRPr="00FD7DCD">
        <w:t xml:space="preserve">. </w:t>
      </w:r>
      <w:r w:rsidRPr="00FD7DCD">
        <w:t>коллектива и отв</w:t>
      </w:r>
      <w:r w:rsidR="00006087" w:rsidRPr="00FD7DCD">
        <w:t xml:space="preserve">. </w:t>
      </w:r>
      <w:r w:rsidRPr="00FD7DCD">
        <w:t>ред</w:t>
      </w:r>
      <w:r w:rsidR="00006087" w:rsidRPr="00FD7DCD">
        <w:t xml:space="preserve">. </w:t>
      </w:r>
      <w:r w:rsidRPr="00FD7DCD">
        <w:t>д-р юрид</w:t>
      </w:r>
      <w:r w:rsidR="00006087" w:rsidRPr="00FD7DCD">
        <w:t xml:space="preserve">. </w:t>
      </w:r>
      <w:r w:rsidRPr="00FD7DCD">
        <w:t>наук, проф</w:t>
      </w:r>
      <w:r w:rsidR="00006087" w:rsidRPr="00FD7DCD">
        <w:t xml:space="preserve">.О.Н. </w:t>
      </w:r>
      <w:r w:rsidRPr="00FD7DCD">
        <w:t>Садиков</w:t>
      </w:r>
      <w:r w:rsidR="00006087" w:rsidRPr="00FD7DCD">
        <w:t xml:space="preserve">. - </w:t>
      </w:r>
      <w:r w:rsidRPr="00FD7DCD">
        <w:t>М</w:t>
      </w:r>
      <w:r w:rsidR="00006087" w:rsidRPr="00FD7DCD">
        <w:t xml:space="preserve">.: </w:t>
      </w:r>
      <w:r w:rsidRPr="00FD7DCD">
        <w:t>Юридическая фирма</w:t>
      </w:r>
      <w:r w:rsidR="00006087" w:rsidRPr="00FD7DCD">
        <w:t xml:space="preserve"> "</w:t>
      </w:r>
      <w:r w:rsidRPr="00FD7DCD">
        <w:t>КОНТРАКТ</w:t>
      </w:r>
      <w:r w:rsidR="00006087" w:rsidRPr="00FD7DCD">
        <w:t xml:space="preserve">": </w:t>
      </w:r>
      <w:r w:rsidRPr="00FD7DCD">
        <w:t>ИНФРА-М, 2005</w:t>
      </w:r>
      <w:r w:rsidR="00006087" w:rsidRPr="00FD7DCD">
        <w:t xml:space="preserve">. - </w:t>
      </w:r>
      <w:r w:rsidRPr="00FD7DCD">
        <w:t>ХХХ</w:t>
      </w:r>
      <w:r w:rsidRPr="00FD7DCD">
        <w:rPr>
          <w:lang w:val="en-US"/>
        </w:rPr>
        <w:t>VIII</w:t>
      </w:r>
      <w:r w:rsidRPr="00FD7DCD">
        <w:t>, 1062с</w:t>
      </w:r>
      <w:r w:rsidR="00006087" w:rsidRPr="00FD7DCD">
        <w:t>.</w:t>
      </w:r>
    </w:p>
    <w:p w:rsidR="00006087" w:rsidRPr="00FD7DCD" w:rsidRDefault="009C5939" w:rsidP="0010186F">
      <w:pPr>
        <w:pStyle w:val="a0"/>
      </w:pPr>
      <w:r w:rsidRPr="00FD7DCD">
        <w:t>Комментарий к Гражданскому кодексу РФ части второй</w:t>
      </w:r>
      <w:r w:rsidR="00006087" w:rsidRPr="00FD7DCD">
        <w:t xml:space="preserve"> (</w:t>
      </w:r>
      <w:r w:rsidRPr="00FD7DCD">
        <w:t>постатейный</w:t>
      </w:r>
      <w:r w:rsidR="00006087" w:rsidRPr="00FD7DCD">
        <w:t>). -</w:t>
      </w:r>
      <w:r w:rsidRPr="00FD7DCD">
        <w:t xml:space="preserve"> Изд</w:t>
      </w:r>
      <w:r w:rsidR="00006087" w:rsidRPr="00FD7DCD">
        <w:t>.5</w:t>
      </w:r>
      <w:r w:rsidRPr="00FD7DCD">
        <w:t>-е, испр</w:t>
      </w:r>
      <w:r w:rsidR="00006087" w:rsidRPr="00FD7DCD">
        <w:t>.,</w:t>
      </w:r>
      <w:r w:rsidRPr="00FD7DCD">
        <w:t xml:space="preserve"> доп</w:t>
      </w:r>
      <w:r w:rsidR="00006087" w:rsidRPr="00FD7DCD">
        <w:t xml:space="preserve">. </w:t>
      </w:r>
      <w:r w:rsidRPr="00FD7DCD">
        <w:t>с использованием судебно-арбитражной практики/ Рук</w:t>
      </w:r>
      <w:r w:rsidR="00006087" w:rsidRPr="00FD7DCD">
        <w:t xml:space="preserve">. </w:t>
      </w:r>
      <w:r w:rsidRPr="00FD7DCD">
        <w:t>авт</w:t>
      </w:r>
      <w:r w:rsidR="00006087" w:rsidRPr="00FD7DCD">
        <w:t xml:space="preserve">. </w:t>
      </w:r>
      <w:r w:rsidRPr="00FD7DCD">
        <w:t>коллектива и отв</w:t>
      </w:r>
      <w:r w:rsidR="00006087" w:rsidRPr="00FD7DCD">
        <w:t xml:space="preserve">. </w:t>
      </w:r>
      <w:r w:rsidRPr="00FD7DCD">
        <w:t>ред</w:t>
      </w:r>
      <w:r w:rsidR="00006087" w:rsidRPr="00FD7DCD">
        <w:t xml:space="preserve">. </w:t>
      </w:r>
      <w:r w:rsidRPr="00FD7DCD">
        <w:t>д-р юрид</w:t>
      </w:r>
      <w:r w:rsidR="00006087" w:rsidRPr="00FD7DCD">
        <w:t xml:space="preserve">. </w:t>
      </w:r>
      <w:r w:rsidRPr="00FD7DCD">
        <w:t>наук, проф</w:t>
      </w:r>
      <w:r w:rsidR="00006087" w:rsidRPr="00FD7DCD">
        <w:t xml:space="preserve">.О.Н. </w:t>
      </w:r>
      <w:r w:rsidRPr="00FD7DCD">
        <w:t>Садиков</w:t>
      </w:r>
      <w:r w:rsidR="00006087" w:rsidRPr="00FD7DCD">
        <w:t xml:space="preserve">. - </w:t>
      </w:r>
      <w:r w:rsidRPr="00FD7DCD">
        <w:t>М</w:t>
      </w:r>
      <w:r w:rsidR="00006087" w:rsidRPr="00FD7DCD">
        <w:t xml:space="preserve">.: </w:t>
      </w:r>
      <w:r w:rsidRPr="00FD7DCD">
        <w:t>Юридическая фирма</w:t>
      </w:r>
      <w:r w:rsidR="00006087" w:rsidRPr="00FD7DCD">
        <w:t xml:space="preserve"> "</w:t>
      </w:r>
      <w:r w:rsidRPr="00FD7DCD">
        <w:t>КОНТРАКТ</w:t>
      </w:r>
      <w:r w:rsidR="00006087" w:rsidRPr="00FD7DCD">
        <w:t xml:space="preserve">": </w:t>
      </w:r>
      <w:r w:rsidRPr="00FD7DCD">
        <w:t>ИНФРА-М, 2006</w:t>
      </w:r>
      <w:r w:rsidR="00006087" w:rsidRPr="00FD7DCD">
        <w:t xml:space="preserve">. - </w:t>
      </w:r>
      <w:r w:rsidRPr="00FD7DCD">
        <w:t>987с</w:t>
      </w:r>
      <w:r w:rsidR="00006087" w:rsidRPr="00FD7DCD">
        <w:t>.</w:t>
      </w:r>
    </w:p>
    <w:p w:rsidR="00006087" w:rsidRPr="00FD7DCD" w:rsidRDefault="00065FE8" w:rsidP="0010186F">
      <w:pPr>
        <w:pStyle w:val="a0"/>
        <w:rPr>
          <w:rFonts w:eastAsia="MS Mincho"/>
        </w:rPr>
      </w:pPr>
      <w:r w:rsidRPr="00FD7DCD">
        <w:rPr>
          <w:rFonts w:eastAsia="MS Mincho"/>
        </w:rPr>
        <w:t>Письмо Комитета РФ по торговле</w:t>
      </w:r>
      <w:r w:rsidR="00006087" w:rsidRPr="00FD7DCD">
        <w:rPr>
          <w:rFonts w:eastAsia="MS Mincho"/>
        </w:rPr>
        <w:t xml:space="preserve"> "</w:t>
      </w:r>
      <w:r w:rsidRPr="00FD7DCD">
        <w:rPr>
          <w:rFonts w:eastAsia="MS Mincho"/>
        </w:rPr>
        <w:t>О понятии мелкорозничной торговли</w:t>
      </w:r>
      <w:r w:rsidR="00006087" w:rsidRPr="00FD7DCD">
        <w:rPr>
          <w:rFonts w:eastAsia="MS Mincho"/>
        </w:rPr>
        <w:t xml:space="preserve">" </w:t>
      </w:r>
      <w:r w:rsidRPr="00FD7DCD">
        <w:rPr>
          <w:rFonts w:eastAsia="MS Mincho"/>
        </w:rPr>
        <w:t>от 28</w:t>
      </w:r>
      <w:r w:rsidR="00006087" w:rsidRPr="00FD7DCD">
        <w:rPr>
          <w:rFonts w:eastAsia="MS Mincho"/>
        </w:rPr>
        <w:t>.04.19</w:t>
      </w:r>
      <w:r w:rsidRPr="00FD7DCD">
        <w:rPr>
          <w:rFonts w:eastAsia="MS Mincho"/>
        </w:rPr>
        <w:t>94г</w:t>
      </w:r>
      <w:r w:rsidR="00006087" w:rsidRPr="00FD7DCD">
        <w:rPr>
          <w:rFonts w:eastAsia="MS Mincho"/>
        </w:rPr>
        <w:t xml:space="preserve">. </w:t>
      </w:r>
      <w:r w:rsidRPr="00FD7DCD">
        <w:rPr>
          <w:rFonts w:eastAsia="MS Mincho"/>
        </w:rPr>
        <w:t xml:space="preserve">№1 </w:t>
      </w:r>
      <w:r w:rsidR="00006087" w:rsidRPr="00FD7DCD">
        <w:rPr>
          <w:rFonts w:eastAsia="MS Mincho"/>
        </w:rPr>
        <w:t>-</w:t>
      </w:r>
      <w:r w:rsidRPr="00FD7DCD">
        <w:rPr>
          <w:rFonts w:eastAsia="MS Mincho"/>
        </w:rPr>
        <w:t xml:space="preserve"> 574/38-9</w:t>
      </w:r>
      <w:r w:rsidR="00006087" w:rsidRPr="00FD7DCD">
        <w:rPr>
          <w:rFonts w:eastAsia="MS Mincho"/>
        </w:rPr>
        <w:t>;</w:t>
      </w:r>
    </w:p>
    <w:p w:rsidR="00006087" w:rsidRPr="00FD7DCD" w:rsidRDefault="00065FE8" w:rsidP="0010186F">
      <w:pPr>
        <w:pStyle w:val="a0"/>
        <w:rPr>
          <w:rFonts w:eastAsia="MS Mincho"/>
        </w:rPr>
      </w:pPr>
      <w:r w:rsidRPr="00FD7DCD">
        <w:rPr>
          <w:rFonts w:eastAsia="MS Mincho"/>
        </w:rPr>
        <w:t>Полный сборник кодексов Российской Федерации</w:t>
      </w:r>
      <w:r w:rsidR="00006087" w:rsidRPr="00FD7DCD">
        <w:rPr>
          <w:rFonts w:eastAsia="MS Mincho"/>
        </w:rPr>
        <w:t xml:space="preserve">. </w:t>
      </w:r>
      <w:r w:rsidRPr="00FD7DCD">
        <w:rPr>
          <w:rFonts w:eastAsia="MS Mincho"/>
        </w:rPr>
        <w:t>С изменениями и дополнениями на 1 мая 1999 года</w:t>
      </w:r>
      <w:r w:rsidR="00006087" w:rsidRPr="00FD7DCD">
        <w:rPr>
          <w:rFonts w:eastAsia="MS Mincho"/>
        </w:rPr>
        <w:t>. -</w:t>
      </w:r>
      <w:r w:rsidRPr="00FD7DCD">
        <w:rPr>
          <w:rFonts w:eastAsia="MS Mincho"/>
        </w:rPr>
        <w:t xml:space="preserve"> М</w:t>
      </w:r>
      <w:r w:rsidR="00006087" w:rsidRPr="00FD7DCD">
        <w:rPr>
          <w:rFonts w:eastAsia="MS Mincho"/>
        </w:rPr>
        <w:t xml:space="preserve">.: </w:t>
      </w:r>
      <w:r w:rsidRPr="00FD7DCD">
        <w:rPr>
          <w:rFonts w:eastAsia="MS Mincho"/>
        </w:rPr>
        <w:t>ООО</w:t>
      </w:r>
      <w:r w:rsidR="00006087" w:rsidRPr="00FD7DCD">
        <w:rPr>
          <w:rFonts w:eastAsia="MS Mincho"/>
        </w:rPr>
        <w:t xml:space="preserve"> "</w:t>
      </w:r>
      <w:r w:rsidRPr="00FD7DCD">
        <w:rPr>
          <w:rFonts w:eastAsia="MS Mincho"/>
        </w:rPr>
        <w:t>Фирма</w:t>
      </w:r>
      <w:r w:rsidR="00006087" w:rsidRPr="00FD7DCD">
        <w:rPr>
          <w:rFonts w:eastAsia="MS Mincho"/>
        </w:rPr>
        <w:t xml:space="preserve"> "</w:t>
      </w:r>
      <w:r w:rsidRPr="00FD7DCD">
        <w:rPr>
          <w:rFonts w:eastAsia="MS Mincho"/>
        </w:rPr>
        <w:t>Издательство АСТ</w:t>
      </w:r>
      <w:r w:rsidR="00006087" w:rsidRPr="00FD7DCD">
        <w:rPr>
          <w:rFonts w:eastAsia="MS Mincho"/>
        </w:rPr>
        <w:t xml:space="preserve">", </w:t>
      </w:r>
      <w:r w:rsidRPr="00FD7DCD">
        <w:rPr>
          <w:rFonts w:eastAsia="MS Mincho"/>
        </w:rPr>
        <w:t>1999</w:t>
      </w:r>
      <w:r w:rsidR="00006087" w:rsidRPr="00FD7DCD">
        <w:rPr>
          <w:rFonts w:eastAsia="MS Mincho"/>
        </w:rPr>
        <w:t>;</w:t>
      </w:r>
    </w:p>
    <w:p w:rsidR="00006087" w:rsidRPr="00FD7DCD" w:rsidRDefault="00065FE8" w:rsidP="0010186F">
      <w:pPr>
        <w:pStyle w:val="a0"/>
        <w:rPr>
          <w:rFonts w:eastAsia="MS Mincho"/>
        </w:rPr>
      </w:pPr>
      <w:r w:rsidRPr="00FD7DCD">
        <w:rPr>
          <w:rFonts w:eastAsia="MS Mincho"/>
        </w:rPr>
        <w:t>Полный сборник законов Российской Федерации</w:t>
      </w:r>
      <w:r w:rsidR="00006087" w:rsidRPr="00FD7DCD">
        <w:rPr>
          <w:rFonts w:eastAsia="MS Mincho"/>
        </w:rPr>
        <w:t xml:space="preserve">. </w:t>
      </w:r>
      <w:r w:rsidRPr="00FD7DCD">
        <w:rPr>
          <w:rFonts w:eastAsia="MS Mincho"/>
        </w:rPr>
        <w:t>С изменениями и дополнениями на 1 августа 1999 года</w:t>
      </w:r>
      <w:r w:rsidR="00006087" w:rsidRPr="00FD7DCD">
        <w:rPr>
          <w:rFonts w:eastAsia="MS Mincho"/>
        </w:rPr>
        <w:t>. -</w:t>
      </w:r>
      <w:r w:rsidRPr="00FD7DCD">
        <w:rPr>
          <w:rFonts w:eastAsia="MS Mincho"/>
        </w:rPr>
        <w:t xml:space="preserve"> М</w:t>
      </w:r>
      <w:r w:rsidR="00006087" w:rsidRPr="00FD7DCD">
        <w:rPr>
          <w:rFonts w:eastAsia="MS Mincho"/>
        </w:rPr>
        <w:t xml:space="preserve">.: </w:t>
      </w:r>
      <w:r w:rsidRPr="00FD7DCD">
        <w:rPr>
          <w:rFonts w:eastAsia="MS Mincho"/>
        </w:rPr>
        <w:t>ООО</w:t>
      </w:r>
      <w:r w:rsidR="00006087" w:rsidRPr="00FD7DCD">
        <w:rPr>
          <w:rFonts w:eastAsia="MS Mincho"/>
        </w:rPr>
        <w:t xml:space="preserve"> "</w:t>
      </w:r>
      <w:r w:rsidRPr="00FD7DCD">
        <w:rPr>
          <w:rFonts w:eastAsia="MS Mincho"/>
        </w:rPr>
        <w:t>Фирма</w:t>
      </w:r>
      <w:r w:rsidR="00006087" w:rsidRPr="00FD7DCD">
        <w:rPr>
          <w:rFonts w:eastAsia="MS Mincho"/>
        </w:rPr>
        <w:t xml:space="preserve"> "</w:t>
      </w:r>
      <w:r w:rsidRPr="00FD7DCD">
        <w:rPr>
          <w:rFonts w:eastAsia="MS Mincho"/>
        </w:rPr>
        <w:t>Издательство АСТ</w:t>
      </w:r>
      <w:r w:rsidR="00006087" w:rsidRPr="00FD7DCD">
        <w:rPr>
          <w:rFonts w:eastAsia="MS Mincho"/>
        </w:rPr>
        <w:t xml:space="preserve">", </w:t>
      </w:r>
      <w:r w:rsidRPr="00FD7DCD">
        <w:rPr>
          <w:rFonts w:eastAsia="MS Mincho"/>
        </w:rPr>
        <w:t>1999</w:t>
      </w:r>
      <w:r w:rsidR="00006087" w:rsidRPr="00FD7DCD">
        <w:rPr>
          <w:rFonts w:eastAsia="MS Mincho"/>
        </w:rPr>
        <w:t>;</w:t>
      </w:r>
    </w:p>
    <w:p w:rsidR="00065FE8" w:rsidRPr="0010186F" w:rsidRDefault="00065FE8" w:rsidP="0010186F">
      <w:pPr>
        <w:pStyle w:val="a0"/>
        <w:rPr>
          <w:rFonts w:eastAsia="MS Mincho"/>
        </w:rPr>
      </w:pPr>
      <w:r w:rsidRPr="00FD7DCD">
        <w:rPr>
          <w:rFonts w:eastAsia="MS Mincho"/>
        </w:rPr>
        <w:t>Торговля</w:t>
      </w:r>
      <w:r w:rsidR="00006087" w:rsidRPr="00FD7DCD">
        <w:rPr>
          <w:rFonts w:eastAsia="MS Mincho"/>
        </w:rPr>
        <w:t xml:space="preserve">. </w:t>
      </w:r>
      <w:r w:rsidRPr="00FD7DCD">
        <w:rPr>
          <w:rFonts w:eastAsia="MS Mincho"/>
        </w:rPr>
        <w:t>Правила продажи</w:t>
      </w:r>
      <w:r w:rsidR="00006087" w:rsidRPr="00FD7DCD">
        <w:rPr>
          <w:rFonts w:eastAsia="MS Mincho"/>
        </w:rPr>
        <w:t xml:space="preserve">. </w:t>
      </w:r>
      <w:r w:rsidRPr="00FD7DCD">
        <w:rPr>
          <w:rFonts w:eastAsia="MS Mincho"/>
        </w:rPr>
        <w:t>Защита прав потребителей</w:t>
      </w:r>
      <w:r w:rsidR="00006087" w:rsidRPr="00FD7DCD">
        <w:rPr>
          <w:rFonts w:eastAsia="MS Mincho"/>
        </w:rPr>
        <w:t xml:space="preserve">. </w:t>
      </w:r>
      <w:r w:rsidRPr="00FD7DCD">
        <w:rPr>
          <w:rFonts w:eastAsia="MS Mincho"/>
        </w:rPr>
        <w:t>Ответственность продавцов</w:t>
      </w:r>
      <w:r w:rsidR="00006087" w:rsidRPr="00FD7DCD">
        <w:rPr>
          <w:rFonts w:eastAsia="MS Mincho"/>
        </w:rPr>
        <w:t>. -</w:t>
      </w:r>
      <w:r w:rsidRPr="00FD7DCD">
        <w:rPr>
          <w:rFonts w:eastAsia="MS Mincho"/>
        </w:rPr>
        <w:t xml:space="preserve"> 7 </w:t>
      </w:r>
      <w:r w:rsidR="00006087" w:rsidRPr="00FD7DCD">
        <w:rPr>
          <w:rFonts w:eastAsia="MS Mincho"/>
        </w:rPr>
        <w:t>-</w:t>
      </w:r>
      <w:r w:rsidRPr="00FD7DCD">
        <w:rPr>
          <w:rFonts w:eastAsia="MS Mincho"/>
        </w:rPr>
        <w:t xml:space="preserve"> е изд</w:t>
      </w:r>
      <w:r w:rsidR="00006087" w:rsidRPr="00FD7DCD">
        <w:rPr>
          <w:rFonts w:eastAsia="MS Mincho"/>
        </w:rPr>
        <w:t>.,</w:t>
      </w:r>
      <w:r w:rsidRPr="00FD7DCD">
        <w:rPr>
          <w:rFonts w:eastAsia="MS Mincho"/>
        </w:rPr>
        <w:t xml:space="preserve"> перераб</w:t>
      </w:r>
      <w:r w:rsidR="00006087" w:rsidRPr="00FD7DCD">
        <w:rPr>
          <w:rFonts w:eastAsia="MS Mincho"/>
        </w:rPr>
        <w:t xml:space="preserve">. </w:t>
      </w:r>
      <w:r w:rsidRPr="00FD7DCD">
        <w:rPr>
          <w:rFonts w:eastAsia="MS Mincho"/>
        </w:rPr>
        <w:t>и доп</w:t>
      </w:r>
      <w:r w:rsidR="00006087" w:rsidRPr="00FD7DCD">
        <w:rPr>
          <w:rFonts w:eastAsia="MS Mincho"/>
        </w:rPr>
        <w:t>. -</w:t>
      </w:r>
      <w:r w:rsidRPr="00FD7DCD">
        <w:rPr>
          <w:rFonts w:eastAsia="MS Mincho"/>
        </w:rPr>
        <w:t xml:space="preserve"> М</w:t>
      </w:r>
      <w:r w:rsidR="00006087" w:rsidRPr="00FD7DCD">
        <w:rPr>
          <w:rFonts w:eastAsia="MS Mincho"/>
        </w:rPr>
        <w:t xml:space="preserve">.: </w:t>
      </w:r>
      <w:r w:rsidRPr="00FD7DCD">
        <w:rPr>
          <w:rFonts w:eastAsia="MS Mincho"/>
        </w:rPr>
        <w:t>Издательство</w:t>
      </w:r>
      <w:r w:rsidR="00006087" w:rsidRPr="00FD7DCD">
        <w:rPr>
          <w:rFonts w:eastAsia="MS Mincho"/>
        </w:rPr>
        <w:t xml:space="preserve"> "</w:t>
      </w:r>
      <w:r w:rsidRPr="00FD7DCD">
        <w:rPr>
          <w:rFonts w:eastAsia="MS Mincho"/>
        </w:rPr>
        <w:t>Ось</w:t>
      </w:r>
      <w:r w:rsidR="00006087" w:rsidRPr="00FD7DCD">
        <w:rPr>
          <w:rFonts w:eastAsia="MS Mincho"/>
        </w:rPr>
        <w:t xml:space="preserve"> - </w:t>
      </w:r>
      <w:r w:rsidRPr="00FD7DCD">
        <w:rPr>
          <w:rFonts w:eastAsia="MS Mincho"/>
        </w:rPr>
        <w:t>89</w:t>
      </w:r>
      <w:r w:rsidR="00006087" w:rsidRPr="00FD7DCD">
        <w:rPr>
          <w:rFonts w:eastAsia="MS Mincho"/>
        </w:rPr>
        <w:t xml:space="preserve">", </w:t>
      </w:r>
      <w:r w:rsidRPr="00FD7DCD">
        <w:rPr>
          <w:rFonts w:eastAsia="MS Mincho"/>
        </w:rPr>
        <w:t>2000</w:t>
      </w:r>
      <w:r w:rsidR="00006087" w:rsidRPr="00FD7DCD">
        <w:rPr>
          <w:rFonts w:eastAsia="MS Mincho"/>
        </w:rPr>
        <w:t>.</w:t>
      </w:r>
      <w:bookmarkStart w:id="4" w:name="_GoBack"/>
      <w:bookmarkEnd w:id="4"/>
    </w:p>
    <w:sectPr w:rsidR="00065FE8" w:rsidRPr="0010186F" w:rsidSect="0000608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2B6" w:rsidRDefault="006312B6">
      <w:pPr>
        <w:ind w:firstLine="709"/>
      </w:pPr>
      <w:r>
        <w:separator/>
      </w:r>
    </w:p>
  </w:endnote>
  <w:endnote w:type="continuationSeparator" w:id="0">
    <w:p w:rsidR="006312B6" w:rsidRDefault="006312B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87" w:rsidRDefault="0000608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87" w:rsidRDefault="0000608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2B6" w:rsidRDefault="006312B6">
      <w:pPr>
        <w:ind w:firstLine="709"/>
      </w:pPr>
      <w:r>
        <w:separator/>
      </w:r>
    </w:p>
  </w:footnote>
  <w:footnote w:type="continuationSeparator" w:id="0">
    <w:p w:rsidR="006312B6" w:rsidRDefault="006312B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87" w:rsidRDefault="00E14B43" w:rsidP="00AB0B5B">
    <w:pPr>
      <w:pStyle w:val="ad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006087" w:rsidRDefault="00006087" w:rsidP="00AB0B5B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87" w:rsidRDefault="0000608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B77CB0"/>
    <w:multiLevelType w:val="multilevel"/>
    <w:tmpl w:val="87E261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C11E7"/>
    <w:multiLevelType w:val="hybridMultilevel"/>
    <w:tmpl w:val="5686B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C1041"/>
    <w:multiLevelType w:val="multilevel"/>
    <w:tmpl w:val="5DBE9E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325D60"/>
    <w:multiLevelType w:val="singleLevel"/>
    <w:tmpl w:val="8376B7E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Peterburg" w:hAnsi="Peterburg" w:cs="Peterburg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3BA86591"/>
    <w:multiLevelType w:val="multilevel"/>
    <w:tmpl w:val="68CA97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BF26BF2"/>
    <w:multiLevelType w:val="hybridMultilevel"/>
    <w:tmpl w:val="85964EAE"/>
    <w:lvl w:ilvl="0" w:tplc="0D34C45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>
    <w:nsid w:val="4D823FE9"/>
    <w:multiLevelType w:val="singleLevel"/>
    <w:tmpl w:val="5B30BD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Peterburg" w:hAnsi="Peterburg" w:cs="Peterburg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0">
    <w:nsid w:val="5B591E01"/>
    <w:multiLevelType w:val="multilevel"/>
    <w:tmpl w:val="533E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7AB421AF"/>
    <w:multiLevelType w:val="multilevel"/>
    <w:tmpl w:val="DB5011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3">
    <w:nsid w:val="7F122847"/>
    <w:multiLevelType w:val="singleLevel"/>
    <w:tmpl w:val="D2B4EA9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Peterburg" w:hAnsi="Peterburg" w:cs="Peterburg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6">
    <w:abstractNumId w:val="9"/>
  </w:num>
  <w:num w:numId="7">
    <w:abstractNumId w:val="13"/>
  </w:num>
  <w:num w:numId="8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Peterburg" w:hAnsi="Peterburg" w:cs="Peterburg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9">
    <w:abstractNumId w:val="6"/>
  </w:num>
  <w:num w:numId="10">
    <w:abstractNumId w:val="7"/>
  </w:num>
  <w:num w:numId="11">
    <w:abstractNumId w:val="2"/>
  </w:num>
  <w:num w:numId="12">
    <w:abstractNumId w:val="3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758"/>
    <w:rsid w:val="00006087"/>
    <w:rsid w:val="00065FE8"/>
    <w:rsid w:val="000C69AE"/>
    <w:rsid w:val="000E2C1A"/>
    <w:rsid w:val="000F0C89"/>
    <w:rsid w:val="0010186F"/>
    <w:rsid w:val="001C6811"/>
    <w:rsid w:val="002116AE"/>
    <w:rsid w:val="00382F14"/>
    <w:rsid w:val="00437545"/>
    <w:rsid w:val="0044171E"/>
    <w:rsid w:val="004C2311"/>
    <w:rsid w:val="005526D9"/>
    <w:rsid w:val="00613758"/>
    <w:rsid w:val="006312B6"/>
    <w:rsid w:val="006C337B"/>
    <w:rsid w:val="0075241E"/>
    <w:rsid w:val="00796A40"/>
    <w:rsid w:val="007D2C70"/>
    <w:rsid w:val="008812B9"/>
    <w:rsid w:val="0089273B"/>
    <w:rsid w:val="008977FD"/>
    <w:rsid w:val="008A0432"/>
    <w:rsid w:val="009C5939"/>
    <w:rsid w:val="00A532AB"/>
    <w:rsid w:val="00A83FFD"/>
    <w:rsid w:val="00AB0B5B"/>
    <w:rsid w:val="00B76277"/>
    <w:rsid w:val="00C06C96"/>
    <w:rsid w:val="00C245D9"/>
    <w:rsid w:val="00C46A80"/>
    <w:rsid w:val="00C723A8"/>
    <w:rsid w:val="00C87C4D"/>
    <w:rsid w:val="00C91B19"/>
    <w:rsid w:val="00CB55A5"/>
    <w:rsid w:val="00DA61EA"/>
    <w:rsid w:val="00DB69B7"/>
    <w:rsid w:val="00E14B43"/>
    <w:rsid w:val="00E3473D"/>
    <w:rsid w:val="00E6108B"/>
    <w:rsid w:val="00F1190A"/>
    <w:rsid w:val="00F70D61"/>
    <w:rsid w:val="00FC25A4"/>
    <w:rsid w:val="00FD7DCD"/>
    <w:rsid w:val="00F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4574B8-27D6-485A-B1DD-0C0A9794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0608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0608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0608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00608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0608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0608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0608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0608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0608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006087"/>
    <w:pPr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rsid w:val="00006087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aa">
    <w:name w:val="Plain Text"/>
    <w:basedOn w:val="a2"/>
    <w:link w:val="ab"/>
    <w:uiPriority w:val="99"/>
    <w:rsid w:val="0000608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Нижний колонтитул Знак1"/>
    <w:link w:val="ac"/>
    <w:uiPriority w:val="99"/>
    <w:semiHidden/>
    <w:locked/>
    <w:rsid w:val="00006087"/>
    <w:rPr>
      <w:sz w:val="28"/>
      <w:szCs w:val="28"/>
      <w:lang w:val="ru-RU" w:eastAsia="ru-RU"/>
    </w:rPr>
  </w:style>
  <w:style w:type="paragraph" w:styleId="ad">
    <w:name w:val="header"/>
    <w:basedOn w:val="a2"/>
    <w:next w:val="a6"/>
    <w:link w:val="ae"/>
    <w:uiPriority w:val="99"/>
    <w:rsid w:val="0000608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006087"/>
    <w:rPr>
      <w:vertAlign w:val="superscript"/>
    </w:rPr>
  </w:style>
  <w:style w:type="character" w:styleId="af0">
    <w:name w:val="page number"/>
    <w:uiPriority w:val="99"/>
    <w:rsid w:val="00006087"/>
  </w:style>
  <w:style w:type="table" w:styleId="-1">
    <w:name w:val="Table Web 1"/>
    <w:basedOn w:val="a4"/>
    <w:uiPriority w:val="99"/>
    <w:rsid w:val="0000608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выделение"/>
    <w:uiPriority w:val="99"/>
    <w:rsid w:val="0000608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006087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8"/>
    <w:uiPriority w:val="99"/>
    <w:rsid w:val="0000608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b">
    <w:name w:val="Текст Знак"/>
    <w:link w:val="aa"/>
    <w:uiPriority w:val="99"/>
    <w:locked/>
    <w:rsid w:val="0000608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c">
    <w:name w:val="footer"/>
    <w:basedOn w:val="a2"/>
    <w:link w:val="11"/>
    <w:uiPriority w:val="99"/>
    <w:semiHidden/>
    <w:rsid w:val="00006087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semiHidden/>
    <w:locked/>
    <w:rsid w:val="00006087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00608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06087"/>
    <w:pPr>
      <w:numPr>
        <w:numId w:val="13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006087"/>
    <w:rPr>
      <w:sz w:val="28"/>
      <w:szCs w:val="28"/>
    </w:rPr>
  </w:style>
  <w:style w:type="paragraph" w:styleId="af6">
    <w:name w:val="Normal (Web)"/>
    <w:basedOn w:val="a2"/>
    <w:uiPriority w:val="99"/>
    <w:rsid w:val="0000608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006087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00608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0608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0608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0608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0608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00608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0608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00608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00608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06087"/>
    <w:pPr>
      <w:numPr>
        <w:numId w:val="1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06087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0608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0608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0608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06087"/>
    <w:rPr>
      <w:i/>
      <w:iCs/>
    </w:rPr>
  </w:style>
  <w:style w:type="paragraph" w:customStyle="1" w:styleId="afa">
    <w:name w:val="ТАБЛИЦА"/>
    <w:next w:val="a2"/>
    <w:autoRedefine/>
    <w:uiPriority w:val="99"/>
    <w:rsid w:val="00006087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006087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006087"/>
  </w:style>
  <w:style w:type="table" w:customStyle="1" w:styleId="14">
    <w:name w:val="Стиль таблицы1"/>
    <w:uiPriority w:val="99"/>
    <w:rsid w:val="0000608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006087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006087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006087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006087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00608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2944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Дом</Company>
  <LinksUpToDate>false</LinksUpToDate>
  <CharactersWithSpaces>19690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Aleksandra Dorofeeva</dc:creator>
  <cp:keywords/>
  <dc:description/>
  <cp:lastModifiedBy>admin</cp:lastModifiedBy>
  <cp:revision>2</cp:revision>
  <dcterms:created xsi:type="dcterms:W3CDTF">2014-03-07T10:32:00Z</dcterms:created>
  <dcterms:modified xsi:type="dcterms:W3CDTF">2014-03-07T10:32:00Z</dcterms:modified>
</cp:coreProperties>
</file>