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ED" w:rsidRPr="00DC6D6C" w:rsidRDefault="00BC5CED" w:rsidP="00101FA2">
      <w:pPr>
        <w:pStyle w:val="af9"/>
      </w:pPr>
      <w:r w:rsidRPr="00DC6D6C">
        <w:t>Федеральное агентство по образованию ГОУ ВПО</w:t>
      </w:r>
    </w:p>
    <w:p w:rsidR="00BC5CED" w:rsidRPr="00DC6D6C" w:rsidRDefault="00BC5CED" w:rsidP="00101FA2">
      <w:pPr>
        <w:pStyle w:val="af9"/>
      </w:pPr>
      <w:r w:rsidRPr="00DC6D6C">
        <w:t>«Уральский государственный горный университет»</w:t>
      </w:r>
    </w:p>
    <w:p w:rsidR="00DC6D6C" w:rsidRDefault="00BC5CED" w:rsidP="00101FA2">
      <w:pPr>
        <w:pStyle w:val="af9"/>
      </w:pPr>
      <w:r w:rsidRPr="00DC6D6C">
        <w:t>Институт сокращенной подготовки</w:t>
      </w: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BC5CED" w:rsidRPr="00DC6D6C" w:rsidRDefault="00BC5CED" w:rsidP="00101FA2">
      <w:pPr>
        <w:pStyle w:val="af9"/>
      </w:pPr>
      <w:r w:rsidRPr="00DC6D6C">
        <w:t>Контрольная работа</w:t>
      </w:r>
    </w:p>
    <w:p w:rsidR="00BC5CED" w:rsidRPr="00DC6D6C" w:rsidRDefault="00BC5CED" w:rsidP="00101FA2">
      <w:pPr>
        <w:pStyle w:val="af9"/>
      </w:pPr>
      <w:r w:rsidRPr="00DC6D6C">
        <w:t>По дисциплине «Налогообложение»</w:t>
      </w:r>
    </w:p>
    <w:p w:rsidR="00BC5CED" w:rsidRPr="00DC6D6C" w:rsidRDefault="00BC5CED" w:rsidP="00101FA2">
      <w:pPr>
        <w:pStyle w:val="af9"/>
      </w:pPr>
      <w:r w:rsidRPr="00DC6D6C">
        <w:t>На тему</w:t>
      </w:r>
      <w:r w:rsidR="00DC6D6C" w:rsidRPr="00DC6D6C">
        <w:t xml:space="preserve">: </w:t>
      </w:r>
    </w:p>
    <w:p w:rsidR="00DC6D6C" w:rsidRDefault="00BC5CED" w:rsidP="00101FA2">
      <w:pPr>
        <w:pStyle w:val="af9"/>
      </w:pPr>
      <w:r w:rsidRPr="00DC6D6C">
        <w:t>«Транспортный налог</w:t>
      </w:r>
      <w:r w:rsidR="00DC6D6C" w:rsidRPr="00DC6D6C">
        <w:t xml:space="preserve">. </w:t>
      </w:r>
      <w:r w:rsidRPr="00DC6D6C">
        <w:t>Налог на игорный бизнес»</w:t>
      </w: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BC5CED" w:rsidRPr="00DC6D6C" w:rsidRDefault="00BC5CED" w:rsidP="00101FA2">
      <w:pPr>
        <w:pStyle w:val="af9"/>
        <w:jc w:val="left"/>
      </w:pPr>
      <w:r w:rsidRPr="00DC6D6C">
        <w:t>Руководитель</w:t>
      </w:r>
      <w:r w:rsidR="00DC6D6C" w:rsidRPr="00DC6D6C">
        <w:t xml:space="preserve">: </w:t>
      </w:r>
      <w:r w:rsidRPr="00DC6D6C">
        <w:t>Г</w:t>
      </w:r>
      <w:r w:rsidR="00DC6D6C">
        <w:t xml:space="preserve">.А. </w:t>
      </w:r>
      <w:r w:rsidRPr="00DC6D6C">
        <w:t>Самсонов</w:t>
      </w:r>
    </w:p>
    <w:p w:rsidR="00BC5CED" w:rsidRPr="00DC6D6C" w:rsidRDefault="00BC5CED" w:rsidP="00101FA2">
      <w:pPr>
        <w:pStyle w:val="af9"/>
        <w:jc w:val="left"/>
      </w:pPr>
      <w:r w:rsidRPr="00DC6D6C">
        <w:t>Студент гр</w:t>
      </w:r>
      <w:r w:rsidR="00DC6D6C" w:rsidRPr="00DC6D6C">
        <w:t xml:space="preserve">. </w:t>
      </w:r>
      <w:r w:rsidRPr="00DC6D6C">
        <w:t>ЦЭМП-05-3</w:t>
      </w:r>
    </w:p>
    <w:p w:rsidR="00DC6D6C" w:rsidRDefault="00BC5CED" w:rsidP="00101FA2">
      <w:pPr>
        <w:pStyle w:val="af9"/>
        <w:jc w:val="left"/>
      </w:pPr>
      <w:r w:rsidRPr="00DC6D6C">
        <w:t>Быкова Елена Анатольевна</w:t>
      </w: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101FA2" w:rsidRDefault="00101FA2" w:rsidP="00101FA2">
      <w:pPr>
        <w:pStyle w:val="af9"/>
      </w:pPr>
    </w:p>
    <w:p w:rsidR="00BC5CED" w:rsidRPr="00DC6D6C" w:rsidRDefault="00BC5CED" w:rsidP="00101FA2">
      <w:pPr>
        <w:pStyle w:val="af9"/>
      </w:pPr>
      <w:r w:rsidRPr="00DC6D6C">
        <w:t>Первоуральск</w:t>
      </w:r>
    </w:p>
    <w:p w:rsidR="00101FA2" w:rsidRDefault="00BC5CED" w:rsidP="00101FA2">
      <w:pPr>
        <w:pStyle w:val="af9"/>
      </w:pPr>
      <w:r w:rsidRPr="00DC6D6C">
        <w:t>2007</w:t>
      </w:r>
    </w:p>
    <w:p w:rsidR="00BC5CED" w:rsidRPr="00DC6D6C" w:rsidRDefault="00101FA2" w:rsidP="00AE2F8A">
      <w:pPr>
        <w:pStyle w:val="2"/>
      </w:pPr>
      <w:r>
        <w:br w:type="page"/>
      </w:r>
      <w:r w:rsidR="00BC5CED" w:rsidRPr="00DC6D6C">
        <w:t>СОДЕРЖАНИЕ</w:t>
      </w:r>
    </w:p>
    <w:p w:rsidR="00DC6D6C" w:rsidRDefault="00DC6D6C" w:rsidP="00DC6D6C">
      <w:pPr>
        <w:widowControl w:val="0"/>
        <w:autoSpaceDE w:val="0"/>
        <w:autoSpaceDN w:val="0"/>
        <w:adjustRightInd w:val="0"/>
        <w:ind w:firstLine="709"/>
      </w:pPr>
    </w:p>
    <w:p w:rsidR="00AE2F8A" w:rsidRDefault="00AE2F8A" w:rsidP="00AE2F8A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660B4A">
        <w:rPr>
          <w:rStyle w:val="ae"/>
          <w:noProof/>
        </w:rPr>
        <w:t>1. Транспортный налог</w:t>
      </w:r>
      <w:r>
        <w:rPr>
          <w:noProof/>
          <w:webHidden/>
        </w:rPr>
        <w:tab/>
        <w:t>3</w:t>
      </w:r>
    </w:p>
    <w:p w:rsidR="00AE2F8A" w:rsidRDefault="00AE2F8A" w:rsidP="00AE2F8A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660B4A">
        <w:rPr>
          <w:rStyle w:val="ae"/>
          <w:noProof/>
        </w:rPr>
        <w:t>2. Налог на игорный бизнес</w:t>
      </w:r>
      <w:r>
        <w:rPr>
          <w:noProof/>
          <w:webHidden/>
        </w:rPr>
        <w:tab/>
        <w:t>10</w:t>
      </w:r>
    </w:p>
    <w:p w:rsidR="00AE2F8A" w:rsidRDefault="00AE2F8A" w:rsidP="00AE2F8A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660B4A">
        <w:rPr>
          <w:rStyle w:val="ae"/>
          <w:noProof/>
        </w:rPr>
        <w:t>объекты налогообложения</w:t>
      </w:r>
      <w:r>
        <w:rPr>
          <w:noProof/>
          <w:webHidden/>
        </w:rPr>
        <w:tab/>
        <w:t>13</w:t>
      </w:r>
    </w:p>
    <w:p w:rsidR="00AE2F8A" w:rsidRDefault="00AE2F8A" w:rsidP="00AE2F8A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660B4A">
        <w:rPr>
          <w:rStyle w:val="ae"/>
          <w:noProof/>
        </w:rPr>
        <w:t>список используемой литературы</w:t>
      </w:r>
      <w:r>
        <w:rPr>
          <w:noProof/>
          <w:webHidden/>
        </w:rPr>
        <w:tab/>
        <w:t>18</w:t>
      </w:r>
    </w:p>
    <w:p w:rsidR="00E86CE9" w:rsidRPr="00DC6D6C" w:rsidRDefault="00E86CE9" w:rsidP="00AE2F8A">
      <w:pPr>
        <w:widowControl w:val="0"/>
        <w:autoSpaceDE w:val="0"/>
        <w:autoSpaceDN w:val="0"/>
        <w:adjustRightInd w:val="0"/>
        <w:ind w:firstLine="709"/>
      </w:pPr>
    </w:p>
    <w:p w:rsidR="00BC5CED" w:rsidRPr="00DC6D6C" w:rsidRDefault="00101FA2" w:rsidP="00101FA2">
      <w:pPr>
        <w:pStyle w:val="2"/>
      </w:pPr>
      <w:r>
        <w:br w:type="page"/>
      </w:r>
      <w:bookmarkStart w:id="0" w:name="_Toc225402543"/>
      <w:r w:rsidR="00AE2F8A">
        <w:t xml:space="preserve">1. </w:t>
      </w:r>
      <w:r w:rsidR="00BC5CED" w:rsidRPr="00DC6D6C">
        <w:t>ТРАНСПОРТНЫЙ НАЛОГ</w:t>
      </w:r>
      <w:bookmarkEnd w:id="0"/>
    </w:p>
    <w:p w:rsidR="00101FA2" w:rsidRDefault="00101FA2" w:rsidP="00DC6D6C">
      <w:pPr>
        <w:widowControl w:val="0"/>
        <w:autoSpaceDE w:val="0"/>
        <w:autoSpaceDN w:val="0"/>
        <w:adjustRightInd w:val="0"/>
        <w:ind w:firstLine="709"/>
      </w:pPr>
    </w:p>
    <w:p w:rsidR="00CC715F" w:rsidRPr="00DC6D6C" w:rsidRDefault="00CC715F" w:rsidP="00DC6D6C">
      <w:pPr>
        <w:widowControl w:val="0"/>
        <w:autoSpaceDE w:val="0"/>
        <w:autoSpaceDN w:val="0"/>
        <w:adjustRightInd w:val="0"/>
        <w:ind w:firstLine="709"/>
      </w:pPr>
      <w:r w:rsidRPr="00DC6D6C">
        <w:t>Транспортный налог введен Федеральным Законом от 24</w:t>
      </w:r>
      <w:r w:rsidR="00DC6D6C">
        <w:t>.0</w:t>
      </w:r>
      <w:r w:rsidRPr="00DC6D6C">
        <w:t>7</w:t>
      </w:r>
      <w:r w:rsidR="00DC6D6C">
        <w:t>. 20</w:t>
      </w:r>
      <w:r w:rsidRPr="00DC6D6C">
        <w:t>02г</w:t>
      </w:r>
      <w:r w:rsidR="00DC6D6C" w:rsidRPr="00DC6D6C">
        <w:t xml:space="preserve">. </w:t>
      </w:r>
      <w:r w:rsidRPr="00DC6D6C">
        <w:t>№110-ФЗ</w:t>
      </w:r>
      <w:r w:rsidR="00DC6D6C" w:rsidRPr="00DC6D6C">
        <w:t xml:space="preserve">. </w:t>
      </w:r>
    </w:p>
    <w:p w:rsidR="00E86CE9" w:rsidRPr="00DC6D6C" w:rsidRDefault="002213C8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Транспортный налог </w:t>
      </w:r>
      <w:r w:rsidR="00E86CE9" w:rsidRPr="00DC6D6C">
        <w:t>служит источником образования дорожных фондов и является налогом субъектов Российской Федерации</w:t>
      </w:r>
      <w:r w:rsidR="00DC6D6C" w:rsidRPr="00DC6D6C">
        <w:t xml:space="preserve">. </w:t>
      </w:r>
      <w:r w:rsidR="00E86CE9" w:rsidRPr="00DC6D6C">
        <w:t>Дорожные фонды созданы для поддержания автодорог России, для строительства новых дорог и сооружений</w:t>
      </w:r>
      <w:r w:rsidR="00DC6D6C" w:rsidRPr="00DC6D6C">
        <w:t xml:space="preserve">. </w:t>
      </w:r>
      <w:r w:rsidR="00E86CE9" w:rsidRPr="00DC6D6C">
        <w:t>Сумма налога напрямую зависит от грузоподъемности автотранспортного средства</w:t>
      </w:r>
      <w:r w:rsidR="00DC6D6C" w:rsidRPr="00DC6D6C">
        <w:t xml:space="preserve">. </w:t>
      </w:r>
    </w:p>
    <w:p w:rsidR="002213C8" w:rsidRPr="00DC6D6C" w:rsidRDefault="00E86CE9" w:rsidP="00DC6D6C">
      <w:pPr>
        <w:widowControl w:val="0"/>
        <w:autoSpaceDE w:val="0"/>
        <w:autoSpaceDN w:val="0"/>
        <w:adjustRightInd w:val="0"/>
        <w:ind w:firstLine="709"/>
      </w:pPr>
      <w:r w:rsidRPr="00DC6D6C">
        <w:t>Законодательная база</w:t>
      </w:r>
      <w:r w:rsidR="00DC6D6C" w:rsidRPr="00DC6D6C">
        <w:t xml:space="preserve">. </w:t>
      </w:r>
      <w:r w:rsidRPr="00DC6D6C">
        <w:t>У</w:t>
      </w:r>
      <w:r w:rsidR="002213C8" w:rsidRPr="00DC6D6C">
        <w:t xml:space="preserve">станавливается </w:t>
      </w:r>
      <w:r w:rsidR="00907236" w:rsidRPr="00DC6D6C">
        <w:t>Налоговым</w:t>
      </w:r>
      <w:r w:rsidR="002213C8" w:rsidRPr="00DC6D6C">
        <w:t xml:space="preserve"> </w:t>
      </w:r>
      <w:r w:rsidR="00907236" w:rsidRPr="00DC6D6C">
        <w:t>к</w:t>
      </w:r>
      <w:r w:rsidR="002213C8" w:rsidRPr="00DC6D6C">
        <w:t xml:space="preserve">одексом и законами субъектов Российской Федерации о </w:t>
      </w:r>
      <w:r w:rsidR="00907236" w:rsidRPr="00DC6D6C">
        <w:t xml:space="preserve">транспортном </w:t>
      </w:r>
      <w:r w:rsidR="002213C8" w:rsidRPr="00DC6D6C">
        <w:t xml:space="preserve">налоге, вводится в действие в соответствии с </w:t>
      </w:r>
      <w:r w:rsidR="00907236" w:rsidRPr="00DC6D6C">
        <w:t>Налоговым</w:t>
      </w:r>
      <w:r w:rsidR="002213C8" w:rsidRPr="00DC6D6C">
        <w:t xml:space="preserve"> </w:t>
      </w:r>
      <w:r w:rsidR="00907236" w:rsidRPr="00DC6D6C">
        <w:t>к</w:t>
      </w:r>
      <w:r w:rsidR="002213C8" w:rsidRPr="00DC6D6C">
        <w:t>одексом</w:t>
      </w:r>
      <w:r w:rsidR="00907236" w:rsidRPr="00DC6D6C">
        <w:t>,</w:t>
      </w:r>
      <w:r w:rsidR="002213C8" w:rsidRPr="00DC6D6C">
        <w:t xml:space="preserve"> законами субъектов Российской Федерации о </w:t>
      </w:r>
      <w:r w:rsidR="00907236" w:rsidRPr="00DC6D6C">
        <w:t xml:space="preserve">транспортном </w:t>
      </w:r>
      <w:r w:rsidR="002213C8" w:rsidRPr="00DC6D6C">
        <w:t>налоге и обязателен к уплате на территории соответствующего субъекта Российской Федерации</w:t>
      </w:r>
      <w:r w:rsidR="00DC6D6C" w:rsidRPr="00DC6D6C">
        <w:t xml:space="preserve">. </w:t>
      </w:r>
    </w:p>
    <w:p w:rsidR="002213C8" w:rsidRPr="00DC6D6C" w:rsidRDefault="002213C8" w:rsidP="00DC6D6C">
      <w:pPr>
        <w:widowControl w:val="0"/>
        <w:autoSpaceDE w:val="0"/>
        <w:autoSpaceDN w:val="0"/>
        <w:adjustRightInd w:val="0"/>
        <w:ind w:firstLine="709"/>
      </w:pPr>
      <w:r w:rsidRPr="00DC6D6C">
        <w:t>Вводя налог, законодательные (представительные</w:t>
      </w:r>
      <w:r w:rsidR="00DC6D6C" w:rsidRPr="00DC6D6C">
        <w:t xml:space="preserve">) </w:t>
      </w:r>
      <w:r w:rsidRPr="00DC6D6C">
        <w:t xml:space="preserve">органы субъекта Российской Федерации определяют ставку налога в пределах, установленных </w:t>
      </w:r>
      <w:r w:rsidR="00907236" w:rsidRPr="00DC6D6C">
        <w:t>Налоговым</w:t>
      </w:r>
      <w:r w:rsidRPr="00DC6D6C">
        <w:t xml:space="preserve"> </w:t>
      </w:r>
      <w:r w:rsidR="00907236" w:rsidRPr="00DC6D6C">
        <w:t>к</w:t>
      </w:r>
      <w:r w:rsidRPr="00DC6D6C">
        <w:t>одексом, порядок и сроки его уплаты</w:t>
      </w:r>
      <w:r w:rsidR="00DC6D6C" w:rsidRPr="00DC6D6C">
        <w:t xml:space="preserve">. </w:t>
      </w:r>
    </w:p>
    <w:p w:rsidR="00BC5CED" w:rsidRPr="00DC6D6C" w:rsidRDefault="002213C8" w:rsidP="00DC6D6C">
      <w:pPr>
        <w:widowControl w:val="0"/>
        <w:autoSpaceDE w:val="0"/>
        <w:autoSpaceDN w:val="0"/>
        <w:adjustRightInd w:val="0"/>
        <w:ind w:firstLine="709"/>
      </w:pPr>
      <w:r w:rsidRPr="00DC6D6C">
        <w:t>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Налогоплательщиками налога</w:t>
      </w:r>
      <w:r w:rsidR="00907236" w:rsidRPr="00DC6D6C">
        <w:t xml:space="preserve"> (далее</w:t>
      </w:r>
      <w:r w:rsidR="00DC6D6C" w:rsidRPr="00DC6D6C">
        <w:t xml:space="preserve"> - </w:t>
      </w:r>
      <w:r w:rsidRPr="00DC6D6C">
        <w:t>налогоплательщики</w:t>
      </w:r>
      <w:r w:rsidR="00DC6D6C" w:rsidRPr="00DC6D6C">
        <w:t xml:space="preserve">) </w:t>
      </w:r>
      <w:r w:rsidRPr="00DC6D6C">
        <w:t>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</w:t>
      </w:r>
      <w:r w:rsidR="00DC6D6C">
        <w:t>.3</w:t>
      </w:r>
      <w:r w:rsidRPr="00DC6D6C">
        <w:t xml:space="preserve">58 </w:t>
      </w:r>
      <w:r w:rsidR="00907236" w:rsidRPr="00DC6D6C">
        <w:t>Налогового</w:t>
      </w:r>
      <w:r w:rsidRPr="00DC6D6C">
        <w:t xml:space="preserve"> </w:t>
      </w:r>
      <w:r w:rsidR="00907236" w:rsidRPr="00DC6D6C">
        <w:t>к</w:t>
      </w:r>
      <w:r w:rsidRPr="00DC6D6C">
        <w:t>одекса, если иное не предусмотрено настоящей статьей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По транспортным средствам, зарегистрированным на физических лиц, приобретенным и переданным ими на основании доверенности на право владения и распоряжения транспортным средством, налогоплательщиком является лицо, указанное в такой доверенности</w:t>
      </w:r>
      <w:r w:rsidR="00DC6D6C" w:rsidRPr="00DC6D6C">
        <w:t xml:space="preserve">. </w:t>
      </w:r>
      <w:r w:rsidRPr="00DC6D6C">
        <w:t>При этом лица, на которых зарегистрированы указанные транспортные средства, уведомляют налоговый орган по месту своего жительства о передаче на основании доверенности указанных транспортных средств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</w:t>
      </w:r>
      <w:r w:rsidR="00DC6D6C" w:rsidRPr="00DC6D6C">
        <w:t xml:space="preserve">) </w:t>
      </w:r>
      <w:r w:rsidRPr="00DC6D6C">
        <w:t>и другие водные и воздушные транспортные средства (далее</w:t>
      </w:r>
      <w:r w:rsidR="00DC6D6C" w:rsidRPr="00DC6D6C">
        <w:t xml:space="preserve"> - </w:t>
      </w:r>
      <w:r w:rsidRPr="00DC6D6C">
        <w:t>транспортные средства</w:t>
      </w:r>
      <w:r w:rsidR="00DC6D6C" w:rsidRPr="00DC6D6C">
        <w:t>),</w:t>
      </w:r>
      <w:r w:rsidRPr="00DC6D6C">
        <w:t xml:space="preserve"> зарегистрированные в установленном порядке в соответствии с законодательством Российской Федерации</w:t>
      </w:r>
      <w:r w:rsidR="00DC6D6C" w:rsidRPr="00DC6D6C">
        <w:t xml:space="preserve">. </w:t>
      </w:r>
    </w:p>
    <w:p w:rsidR="008D73B6" w:rsidRPr="00DC6D6C" w:rsidRDefault="003910A3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Налоговая льгота</w:t>
      </w:r>
      <w:r w:rsidR="00DC6D6C" w:rsidRPr="00DC6D6C">
        <w:t xml:space="preserve">. </w:t>
      </w:r>
      <w:r w:rsidRPr="00DC6D6C">
        <w:t>От уплаты налога полностью освобождаются лица, владеющие следующими транспортными средствами</w:t>
      </w:r>
      <w:r w:rsidR="00DC6D6C" w:rsidRPr="00DC6D6C">
        <w:t xml:space="preserve">: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1</w:t>
      </w:r>
      <w:r w:rsidR="00DC6D6C" w:rsidRPr="00DC6D6C">
        <w:t xml:space="preserve">) </w:t>
      </w:r>
      <w:r w:rsidRPr="00DC6D6C">
        <w:t>весельные лодки, а также моторные лодки с двигателем мощностью не свыше 5 лошадиных сил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2</w:t>
      </w:r>
      <w:r w:rsidR="00DC6D6C" w:rsidRPr="00DC6D6C">
        <w:t xml:space="preserve">) </w:t>
      </w:r>
      <w:r w:rsidRPr="00DC6D6C">
        <w:t>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</w:t>
      </w:r>
      <w:r w:rsidR="00DC6D6C" w:rsidRPr="00DC6D6C">
        <w:t>),</w:t>
      </w:r>
      <w:r w:rsidRPr="00DC6D6C">
        <w:t xml:space="preserve"> полученные (приобретенные</w:t>
      </w:r>
      <w:r w:rsidR="00DC6D6C" w:rsidRPr="00DC6D6C">
        <w:t xml:space="preserve">) </w:t>
      </w:r>
      <w:r w:rsidRPr="00DC6D6C">
        <w:t>через органы социальной защиты населения в установленном законом порядке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3</w:t>
      </w:r>
      <w:r w:rsidR="00DC6D6C" w:rsidRPr="00DC6D6C">
        <w:t xml:space="preserve">) </w:t>
      </w:r>
      <w:r w:rsidRPr="00DC6D6C">
        <w:t>промысловые морские и речные суда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4</w:t>
      </w:r>
      <w:r w:rsidR="00DC6D6C" w:rsidRPr="00DC6D6C">
        <w:t xml:space="preserve">) </w:t>
      </w:r>
      <w:r w:rsidRPr="00DC6D6C">
        <w:t>пассажирские и грузовые морские, речные и воздушные суда, находящиеся в собственности (на праве хозяйственного ведения или оперативного управления</w:t>
      </w:r>
      <w:r w:rsidR="00DC6D6C" w:rsidRPr="00DC6D6C">
        <w:t xml:space="preserve">) </w:t>
      </w:r>
      <w:r w:rsidRPr="00DC6D6C">
        <w:t>организаций, основным видом деятельности которых является осуществление пассажирских и (или</w:t>
      </w:r>
      <w:r w:rsidR="00DC6D6C" w:rsidRPr="00DC6D6C">
        <w:t xml:space="preserve">) </w:t>
      </w:r>
      <w:r w:rsidRPr="00DC6D6C">
        <w:t>грузовых перевозок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5</w:t>
      </w:r>
      <w:r w:rsidR="00DC6D6C" w:rsidRPr="00DC6D6C">
        <w:t xml:space="preserve">) </w:t>
      </w:r>
      <w:r w:rsidRPr="00DC6D6C">
        <w:t>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</w:t>
      </w:r>
      <w:r w:rsidR="00DC6D6C" w:rsidRPr="00DC6D6C">
        <w:t>),</w:t>
      </w:r>
      <w:r w:rsidRPr="00DC6D6C">
        <w:t xml:space="preserve">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6</w:t>
      </w:r>
      <w:r w:rsidR="00DC6D6C" w:rsidRPr="00DC6D6C">
        <w:t xml:space="preserve">) </w:t>
      </w:r>
      <w:r w:rsidRPr="00DC6D6C">
        <w:t>транспортные средства, принадлежащие на праве хозяйственного ведения или оперативного управления федеральным органам исполнительной власти, где законодательно предусмотрена военная и (или</w:t>
      </w:r>
      <w:r w:rsidR="00DC6D6C" w:rsidRPr="00DC6D6C">
        <w:t xml:space="preserve">) </w:t>
      </w:r>
      <w:r w:rsidRPr="00DC6D6C">
        <w:t>приравненная к ней служба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7</w:t>
      </w:r>
      <w:r w:rsidR="00DC6D6C" w:rsidRPr="00DC6D6C">
        <w:t xml:space="preserve">) </w:t>
      </w:r>
      <w:r w:rsidRPr="00DC6D6C">
        <w:t>транспортные средства, находящиеся в розыске, при условии подтверждения факта их угона (кражи</w:t>
      </w:r>
      <w:r w:rsidR="00DC6D6C" w:rsidRPr="00DC6D6C">
        <w:t xml:space="preserve">) </w:t>
      </w:r>
      <w:r w:rsidRPr="00DC6D6C">
        <w:t>документом, выдаваемым уполномоченным органом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8</w:t>
      </w:r>
      <w:r w:rsidR="00DC6D6C" w:rsidRPr="00DC6D6C">
        <w:t xml:space="preserve">) </w:t>
      </w:r>
      <w:r w:rsidRPr="00DC6D6C">
        <w:t>самолеты и вертолеты санитарной авиации и медицинской службы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9</w:t>
      </w:r>
      <w:r w:rsidR="00DC6D6C" w:rsidRPr="00DC6D6C">
        <w:t xml:space="preserve">) </w:t>
      </w:r>
      <w:r w:rsidRPr="00DC6D6C">
        <w:t>суда, зарегистрированные в Российском международном реестре судов</w:t>
      </w:r>
      <w:r w:rsidR="00DC6D6C" w:rsidRPr="00DC6D6C">
        <w:t xml:space="preserve">. </w:t>
      </w:r>
    </w:p>
    <w:p w:rsidR="00CD7DC7" w:rsidRPr="00DC6D6C" w:rsidRDefault="00CD7DC7" w:rsidP="00DC6D6C">
      <w:pPr>
        <w:widowControl w:val="0"/>
        <w:autoSpaceDE w:val="0"/>
        <w:autoSpaceDN w:val="0"/>
        <w:adjustRightInd w:val="0"/>
        <w:ind w:firstLine="709"/>
      </w:pPr>
      <w:r w:rsidRPr="00DC6D6C">
        <w:t>Региональными законами субъектов Российской Федерации могут быть установлены иные льготы, в частности, учитывающие срок полезности использования транспортных средств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Налоговая база определяется</w:t>
      </w:r>
      <w:r w:rsidR="00DC6D6C" w:rsidRPr="00DC6D6C">
        <w:t xml:space="preserve">: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1</w:t>
      </w:r>
      <w:r w:rsidR="00DC6D6C" w:rsidRPr="00DC6D6C">
        <w:t xml:space="preserve">) </w:t>
      </w:r>
      <w:r w:rsidRPr="00DC6D6C">
        <w:t>в отношении транспортных средств, имеющих двигатели</w:t>
      </w:r>
      <w:r w:rsidR="00DC6D6C" w:rsidRPr="00DC6D6C">
        <w:t xml:space="preserve"> - </w:t>
      </w:r>
      <w:r w:rsidRPr="00DC6D6C">
        <w:t>как мощность двигателя транспортного средства в лошадиных силах</w:t>
      </w:r>
      <w:r w:rsidR="00DC6D6C" w:rsidRPr="00DC6D6C">
        <w:t xml:space="preserve">. </w:t>
      </w:r>
      <w:r w:rsidR="00CD7DC7" w:rsidRPr="00DC6D6C">
        <w:t>Исключение из данного пункта</w:t>
      </w:r>
      <w:r w:rsidR="00DC6D6C" w:rsidRPr="00DC6D6C">
        <w:t xml:space="preserve">: </w:t>
      </w:r>
      <w:r w:rsidRPr="00DC6D6C">
        <w:t>в отношении воздушных транспортных средств, для которых определяется тяга реактивного двигателя,</w:t>
      </w:r>
      <w:r w:rsidR="00DC6D6C" w:rsidRPr="00DC6D6C">
        <w:t xml:space="preserve"> - </w:t>
      </w:r>
      <w:r w:rsidRPr="00DC6D6C">
        <w:t>как паспортная статическая тяга реактивного двигателя (суммарная паспортная статическая тяга всех реактивных двигателей</w:t>
      </w:r>
      <w:r w:rsidR="00DC6D6C" w:rsidRPr="00DC6D6C">
        <w:t xml:space="preserve">) </w:t>
      </w:r>
      <w:r w:rsidRPr="00DC6D6C">
        <w:t>воздушного транспортного средства на взлетном режиме в земных условиях в килограммах силы</w:t>
      </w:r>
      <w:r w:rsidR="00DC6D6C" w:rsidRPr="00DC6D6C">
        <w:t xml:space="preserve">. </w:t>
      </w:r>
      <w:r w:rsidR="00CD7DC7" w:rsidRPr="00DC6D6C">
        <w:t>Налоговая база определяется отдельно по каждому транспортному средству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2</w:t>
      </w:r>
      <w:r w:rsidR="00DC6D6C" w:rsidRPr="00DC6D6C">
        <w:t xml:space="preserve">) </w:t>
      </w:r>
      <w:r w:rsidRPr="00DC6D6C">
        <w:t>в отношении водных несамоходных (буксируемых</w:t>
      </w:r>
      <w:r w:rsidR="00DC6D6C" w:rsidRPr="00DC6D6C">
        <w:t xml:space="preserve">) </w:t>
      </w:r>
      <w:r w:rsidRPr="00DC6D6C">
        <w:t>транспортных средств, для которых определяется валовая вместимость,</w:t>
      </w:r>
      <w:r w:rsidR="00DC6D6C" w:rsidRPr="00DC6D6C">
        <w:t xml:space="preserve"> - </w:t>
      </w:r>
      <w:r w:rsidRPr="00DC6D6C">
        <w:t>как валовая вместимость в регистровых тоннах</w:t>
      </w:r>
      <w:r w:rsidR="00DC6D6C" w:rsidRPr="00DC6D6C">
        <w:t xml:space="preserve">. </w:t>
      </w:r>
      <w:r w:rsidR="00CD7DC7" w:rsidRPr="00DC6D6C">
        <w:t>Налоговая база определяется отдельно по каждому транспортному средству</w:t>
      </w:r>
      <w:r w:rsidR="00DC6D6C" w:rsidRPr="00DC6D6C">
        <w:t xml:space="preserve">;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3</w:t>
      </w:r>
      <w:r w:rsidR="00DC6D6C" w:rsidRPr="00DC6D6C">
        <w:t xml:space="preserve">) </w:t>
      </w:r>
      <w:r w:rsidRPr="00DC6D6C">
        <w:t>в отношении водных и воздушных транспортных средств, не указанных в пунктах 1, 2,</w:t>
      </w:r>
      <w:r w:rsidR="00DC6D6C" w:rsidRPr="00DC6D6C">
        <w:t xml:space="preserve"> - </w:t>
      </w:r>
      <w:r w:rsidRPr="00DC6D6C">
        <w:t>как единица транспортного средства</w:t>
      </w:r>
      <w:r w:rsidR="00DC6D6C" w:rsidRPr="00DC6D6C">
        <w:t xml:space="preserve">. </w:t>
      </w:r>
      <w:r w:rsidR="00CD7DC7" w:rsidRPr="00DC6D6C">
        <w:t>Налоговая база определяется отдельно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Налоговы</w:t>
      </w:r>
      <w:r w:rsidR="00CD7DC7" w:rsidRPr="00DC6D6C">
        <w:t>й</w:t>
      </w:r>
      <w:r w:rsidRPr="00DC6D6C">
        <w:t xml:space="preserve"> период</w:t>
      </w:r>
      <w:r w:rsidR="00DC6D6C" w:rsidRPr="00DC6D6C">
        <w:t xml:space="preserve">. </w:t>
      </w:r>
      <w:r w:rsidR="00CD7DC7" w:rsidRPr="00DC6D6C">
        <w:t>Налоговым периодом по данному налогу</w:t>
      </w:r>
      <w:r w:rsidR="00DC6D6C" w:rsidRPr="00DC6D6C">
        <w:t xml:space="preserve"> </w:t>
      </w:r>
      <w:r w:rsidRPr="00DC6D6C">
        <w:t>признается календарный год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Отчетными периодами для налогоплательщиков, являющихся организациями, признаются первый квартал, второй квартал, третий квартал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При установлении </w:t>
      </w:r>
      <w:r w:rsidR="00800739" w:rsidRPr="00DC6D6C">
        <w:t xml:space="preserve">транспортного </w:t>
      </w:r>
      <w:r w:rsidRPr="00DC6D6C">
        <w:t>налога законодательные (представительные</w:t>
      </w:r>
      <w:r w:rsidR="00DC6D6C" w:rsidRPr="00DC6D6C">
        <w:t xml:space="preserve">) </w:t>
      </w:r>
      <w:r w:rsidRPr="00DC6D6C">
        <w:t>органы субъектов Российской Федерации вправе не устанавливать отчетные периоды</w:t>
      </w:r>
      <w:r w:rsidR="00DC6D6C" w:rsidRPr="00DC6D6C">
        <w:t xml:space="preserve">. </w:t>
      </w:r>
    </w:p>
    <w:p w:rsidR="008D73B6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Налоговые ставки устанавливаются законами субъектов Российской Федерации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</w:t>
      </w:r>
      <w:r w:rsidR="00CD7DC7" w:rsidRPr="00DC6D6C">
        <w:t>,</w:t>
      </w:r>
      <w:r w:rsidRPr="00DC6D6C">
        <w:t xml:space="preserve"> </w:t>
      </w:r>
      <w:r w:rsidR="003910A3" w:rsidRPr="00DC6D6C">
        <w:t>в соответствии с Налоговым ко</w:t>
      </w:r>
      <w:r w:rsidR="00CD7DC7" w:rsidRPr="00DC6D6C">
        <w:t>д</w:t>
      </w:r>
      <w:r w:rsidR="003910A3" w:rsidRPr="00DC6D6C">
        <w:t>ексом</w:t>
      </w:r>
      <w:r w:rsidR="00CD7DC7" w:rsidRPr="00DC6D6C">
        <w:t>,</w:t>
      </w:r>
      <w:r w:rsidR="003910A3" w:rsidRPr="00DC6D6C">
        <w:t xml:space="preserve"> </w:t>
      </w:r>
      <w:r w:rsidRPr="00DC6D6C">
        <w:t>в следующих размерах</w:t>
      </w:r>
      <w:r w:rsidR="00DC6D6C" w:rsidRPr="00DC6D6C">
        <w:t xml:space="preserve">: </w:t>
      </w:r>
    </w:p>
    <w:p w:rsidR="00101FA2" w:rsidRPr="00DC6D6C" w:rsidRDefault="00101FA2" w:rsidP="00DC6D6C">
      <w:pPr>
        <w:widowControl w:val="0"/>
        <w:autoSpaceDE w:val="0"/>
        <w:autoSpaceDN w:val="0"/>
        <w:adjustRightInd w:val="0"/>
        <w:ind w:firstLine="709"/>
      </w:pPr>
    </w:p>
    <w:tbl>
      <w:tblPr>
        <w:tblW w:w="468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779"/>
      </w:tblGrid>
      <w:tr w:rsidR="008D73B6" w:rsidRPr="00DC6D6C" w:rsidTr="00F931D4">
        <w:tc>
          <w:tcPr>
            <w:tcW w:w="4007" w:type="pct"/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Наименование объекта налогообложения</w:t>
            </w:r>
          </w:p>
        </w:tc>
        <w:tc>
          <w:tcPr>
            <w:tcW w:w="993" w:type="pct"/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Налоговая ставка (в рублях</w:t>
            </w:r>
            <w:r w:rsidR="00DC6D6C" w:rsidRPr="00DC6D6C">
              <w:t xml:space="preserve">) </w:t>
            </w:r>
          </w:p>
        </w:tc>
      </w:tr>
      <w:tr w:rsidR="008D73B6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Автомобили легковые с мощностью двигателя (с каждой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лошадиной 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8D73B6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73,55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5</w:t>
            </w:r>
          </w:p>
        </w:tc>
      </w:tr>
      <w:tr w:rsidR="008D73B6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DC6D6C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до 150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73,55 кВт до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110,33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7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8D73B6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DC6D6C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150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до 200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110,33 кВт до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147,1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10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8D73B6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DC6D6C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200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до 250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147,1 кВт до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183,9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15</w:t>
            </w:r>
          </w:p>
        </w:tc>
      </w:tr>
      <w:tr w:rsidR="008D73B6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250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183,9 кВт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30</w:t>
            </w:r>
          </w:p>
        </w:tc>
      </w:tr>
      <w:tr w:rsidR="008D73B6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Мотоциклы и мотороллеры с мощностью двигателя (с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каждой лошадиной 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8D73B6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20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14,7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</w:t>
            </w:r>
          </w:p>
        </w:tc>
      </w:tr>
      <w:tr w:rsidR="008D73B6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DC6D6C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20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до 35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14,7 кВт до</w:t>
            </w:r>
          </w:p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25,74 кВт</w:t>
            </w:r>
            <w:r w:rsidR="00DC6D6C" w:rsidRPr="00DC6D6C">
              <w:t xml:space="preserve">) </w:t>
            </w:r>
            <w:r w:rsidRPr="00DC6D6C">
              <w:t>включительно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4</w:t>
            </w:r>
          </w:p>
        </w:tc>
      </w:tr>
      <w:tr w:rsidR="008D73B6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35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25,74 кВт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8D73B6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10</w:t>
            </w:r>
          </w:p>
        </w:tc>
      </w:tr>
      <w:tr w:rsidR="008D73B6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Автобусы с мощностью двигателя (с каждой лошадиной</w:t>
            </w:r>
          </w:p>
          <w:p w:rsidR="008D73B6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8D73B6" w:rsidRPr="00DC6D6C" w:rsidRDefault="008D73B6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8D73B6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200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147,1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8D73B6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10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200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147,1 кВт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20</w:t>
            </w:r>
          </w:p>
        </w:tc>
      </w:tr>
      <w:tr w:rsidR="0004475C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Грузовые автомобили с мощностью двигателя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(с каждой лошадиной 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73,55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5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до 150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73,55 кВт до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110,33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8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150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до 200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110,33 кВт до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147,1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10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200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до 250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147,1 кВт до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183,9 кВт</w:t>
            </w:r>
            <w:r w:rsidR="00DC6D6C" w:rsidRPr="00DC6D6C">
              <w:t xml:space="preserve">) </w:t>
            </w:r>
            <w:r w:rsidRPr="00DC6D6C">
              <w:t>включительно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13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250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183,9 кВт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17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Другие самоходные транспортные средства, машины и</w:t>
            </w:r>
          </w:p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механизмы на пневматическом и гусеничном ходу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(с каждой лошадиной силы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5</w:t>
            </w:r>
          </w:p>
        </w:tc>
      </w:tr>
      <w:tr w:rsidR="0004475C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Снегоходы, мотосани с мощностью двигателя (с каждой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лошадиной 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36,77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5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50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36,77 кВт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10</w:t>
            </w:r>
          </w:p>
        </w:tc>
      </w:tr>
      <w:tr w:rsidR="0004475C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Катера, моторные лодки и другие водные транспортные</w:t>
            </w:r>
          </w:p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средства с мощностью двигателя (с каждой лошадиной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73,55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10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73,55 кВт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20</w:t>
            </w:r>
          </w:p>
        </w:tc>
      </w:tr>
      <w:tr w:rsidR="0004475C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Яхты и другие парусно-моторные суда с мощностью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двигателя (с каждой лошадиной 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73,55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20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свыше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(свыше 73,55 кВт</w:t>
            </w:r>
            <w:r w:rsidR="00DC6D6C"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40</w:t>
            </w:r>
          </w:p>
        </w:tc>
      </w:tr>
      <w:tr w:rsidR="0004475C" w:rsidRPr="00DC6D6C" w:rsidTr="00F931D4">
        <w:tc>
          <w:tcPr>
            <w:tcW w:w="4007" w:type="pct"/>
            <w:tcBorders>
              <w:bottom w:val="nil"/>
            </w:tcBorders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Гидроциклы с мощностью двигателя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(с каждой лошадиной силы</w:t>
            </w:r>
            <w:r w:rsidR="00DC6D6C" w:rsidRPr="00DC6D6C">
              <w:t xml:space="preserve">): 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4475C" w:rsidRPr="00DC6D6C" w:rsidTr="00F931D4">
        <w:tc>
          <w:tcPr>
            <w:tcW w:w="4007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до 100 л</w:t>
            </w:r>
            <w:r w:rsidR="00DC6D6C" w:rsidRPr="00DC6D6C">
              <w:t xml:space="preserve">. </w:t>
            </w:r>
            <w:r w:rsidRPr="00DC6D6C">
              <w:t>с</w:t>
            </w:r>
            <w:r w:rsidR="00DC6D6C" w:rsidRPr="00DC6D6C">
              <w:t xml:space="preserve">. </w:t>
            </w:r>
            <w:r w:rsidRPr="00DC6D6C">
              <w:t>(до 73,55 кВт</w:t>
            </w:r>
            <w:r w:rsidR="00DC6D6C" w:rsidRPr="00DC6D6C">
              <w:t xml:space="preserve">) </w:t>
            </w:r>
            <w:r w:rsidRPr="00DC6D6C">
              <w:t>включительно</w:t>
            </w:r>
            <w:r w:rsidR="00DC6D6C" w:rsidRPr="00DC6D6C">
              <w:t xml:space="preserve"> 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25</w:t>
            </w:r>
          </w:p>
        </w:tc>
      </w:tr>
      <w:tr w:rsidR="0004475C" w:rsidRPr="00DC6D6C" w:rsidTr="00F931D4">
        <w:tc>
          <w:tcPr>
            <w:tcW w:w="4007" w:type="pct"/>
            <w:tcBorders>
              <w:top w:val="nil"/>
            </w:tcBorders>
            <w:shd w:val="clear" w:color="auto" w:fill="auto"/>
          </w:tcPr>
          <w:p w:rsidR="0004475C" w:rsidRPr="00DC6D6C" w:rsidRDefault="00DC6D6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 xml:space="preserve"> </w:t>
            </w:r>
            <w:r w:rsidR="0004475C" w:rsidRPr="00DC6D6C">
              <w:t>свыше 100 л</w:t>
            </w:r>
            <w:r w:rsidRPr="00DC6D6C">
              <w:t xml:space="preserve">. </w:t>
            </w:r>
            <w:r w:rsidR="0004475C" w:rsidRPr="00DC6D6C">
              <w:t>с</w:t>
            </w:r>
            <w:r w:rsidRPr="00DC6D6C">
              <w:t xml:space="preserve">. </w:t>
            </w:r>
            <w:r w:rsidR="0004475C" w:rsidRPr="00DC6D6C">
              <w:t>(свыше 73,55 кВт</w:t>
            </w:r>
            <w:r w:rsidRPr="00DC6D6C">
              <w:t xml:space="preserve">) 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50</w:t>
            </w:r>
          </w:p>
        </w:tc>
      </w:tr>
      <w:tr w:rsidR="0004475C" w:rsidRPr="00DC6D6C" w:rsidTr="00F931D4">
        <w:tc>
          <w:tcPr>
            <w:tcW w:w="4007" w:type="pct"/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Несамоходные (буксируемые</w:t>
            </w:r>
            <w:r w:rsidR="00DC6D6C" w:rsidRPr="00DC6D6C">
              <w:t xml:space="preserve">) </w:t>
            </w:r>
            <w:r w:rsidRPr="00DC6D6C">
              <w:t>суда, для которых</w:t>
            </w:r>
          </w:p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определяется валовая вместимость (с каждой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регистровой тонны валовой вместимости</w:t>
            </w:r>
            <w:r w:rsidR="00DC6D6C" w:rsidRPr="00DC6D6C">
              <w:t xml:space="preserve">) </w:t>
            </w:r>
          </w:p>
        </w:tc>
        <w:tc>
          <w:tcPr>
            <w:tcW w:w="993" w:type="pct"/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20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4475C" w:rsidRPr="00DC6D6C" w:rsidTr="00F931D4">
        <w:tc>
          <w:tcPr>
            <w:tcW w:w="4007" w:type="pct"/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Самолеты, вертолеты и иные воздушные суда, имеющие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двигатели (с каждой лошадиной силы</w:t>
            </w:r>
            <w:r w:rsidR="00DC6D6C" w:rsidRPr="00DC6D6C">
              <w:t xml:space="preserve">) </w:t>
            </w:r>
          </w:p>
        </w:tc>
        <w:tc>
          <w:tcPr>
            <w:tcW w:w="993" w:type="pct"/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25</w:t>
            </w:r>
          </w:p>
        </w:tc>
      </w:tr>
      <w:tr w:rsidR="0004475C" w:rsidRPr="00DC6D6C" w:rsidTr="00F931D4">
        <w:tc>
          <w:tcPr>
            <w:tcW w:w="4007" w:type="pct"/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Самолеты, имеющие реактивные двигатели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(с каждого килограмма силы тяги</w:t>
            </w:r>
            <w:r w:rsidR="00DC6D6C" w:rsidRPr="00DC6D6C">
              <w:t xml:space="preserve">) </w:t>
            </w:r>
          </w:p>
        </w:tc>
        <w:tc>
          <w:tcPr>
            <w:tcW w:w="993" w:type="pct"/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20</w:t>
            </w:r>
          </w:p>
        </w:tc>
      </w:tr>
      <w:tr w:rsidR="0004475C" w:rsidRPr="00DC6D6C" w:rsidTr="00F931D4">
        <w:tc>
          <w:tcPr>
            <w:tcW w:w="4007" w:type="pct"/>
            <w:shd w:val="clear" w:color="auto" w:fill="auto"/>
          </w:tcPr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Другие водные и воздушные транспортные средства,</w:t>
            </w:r>
          </w:p>
          <w:p w:rsidR="00DC6D6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не имеющие двигателей (с единицы транспортного</w:t>
            </w:r>
            <w:r w:rsidR="00DC6D6C" w:rsidRPr="00DC6D6C">
              <w:t xml:space="preserve"> </w:t>
            </w:r>
          </w:p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средства</w:t>
            </w:r>
            <w:r w:rsidR="00DC6D6C" w:rsidRPr="00DC6D6C">
              <w:t xml:space="preserve">) </w:t>
            </w:r>
          </w:p>
        </w:tc>
        <w:tc>
          <w:tcPr>
            <w:tcW w:w="993" w:type="pct"/>
            <w:shd w:val="clear" w:color="auto" w:fill="auto"/>
          </w:tcPr>
          <w:p w:rsidR="0004475C" w:rsidRPr="00DC6D6C" w:rsidRDefault="0004475C" w:rsidP="00F931D4">
            <w:pPr>
              <w:pStyle w:val="af6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6D6C">
              <w:t>200</w:t>
            </w:r>
          </w:p>
        </w:tc>
      </w:tr>
    </w:tbl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</w:p>
    <w:p w:rsidR="008D73B6" w:rsidRPr="00DC6D6C" w:rsidRDefault="00800739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Налоговые ставки </w:t>
      </w:r>
      <w:r w:rsidR="008D73B6" w:rsidRPr="00DC6D6C">
        <w:t>могут быть увеличены (уменьшены</w:t>
      </w:r>
      <w:r w:rsidR="00DC6D6C" w:rsidRPr="00DC6D6C">
        <w:t xml:space="preserve">) </w:t>
      </w:r>
      <w:r w:rsidR="008D73B6" w:rsidRPr="00DC6D6C">
        <w:t>законами субъектов Российской Федерации, но не более чем в пять раз</w:t>
      </w:r>
      <w:r w:rsidR="00DC6D6C" w:rsidRPr="00DC6D6C">
        <w:t xml:space="preserve">. </w:t>
      </w:r>
    </w:p>
    <w:p w:rsidR="00DC6D6C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Допускается установление дифференцированных налоговых ставок в отношении каждой категории транспортных средств, а также с учетом срока полезного использования транспортных средств</w:t>
      </w:r>
      <w:r w:rsidR="00DC6D6C" w:rsidRPr="00DC6D6C">
        <w:t xml:space="preserve">. </w:t>
      </w:r>
    </w:p>
    <w:p w:rsidR="008D73B6" w:rsidRPr="00DC6D6C" w:rsidRDefault="00CD7DC7" w:rsidP="00DC6D6C">
      <w:pPr>
        <w:widowControl w:val="0"/>
        <w:autoSpaceDE w:val="0"/>
        <w:autoSpaceDN w:val="0"/>
        <w:adjustRightInd w:val="0"/>
        <w:ind w:firstLine="709"/>
      </w:pPr>
      <w:r w:rsidRPr="00DC6D6C">
        <w:t>Технология расчета</w:t>
      </w:r>
      <w:r w:rsidR="00DC6D6C" w:rsidRPr="00DC6D6C">
        <w:t xml:space="preserve">. </w:t>
      </w:r>
      <w:r w:rsidR="008D73B6" w:rsidRPr="00DC6D6C">
        <w:t>Налогоплательщики, являющиеся организациями, исчисляют сумму налога и сумму авансового платежа по налогу самостоятельно</w:t>
      </w:r>
      <w:r w:rsidR="00DC6D6C" w:rsidRPr="00DC6D6C">
        <w:t xml:space="preserve">. </w:t>
      </w:r>
      <w:r w:rsidR="008D73B6" w:rsidRPr="00DC6D6C">
        <w:t>Сумма налога, подлежащая уплате налогоплательщиками, являющимися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ставки, если иное не предусмотрено </w:t>
      </w:r>
      <w:r w:rsidR="002E59C2" w:rsidRPr="00DC6D6C">
        <w:t>Налоговым кодексом</w:t>
      </w:r>
      <w:r w:rsidR="00DC6D6C" w:rsidRPr="00DC6D6C">
        <w:t xml:space="preserve">. </w:t>
      </w:r>
    </w:p>
    <w:p w:rsidR="00DC6D6C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Сумма налога, подлежащая уплате в бюджет налогоплательщиками, являющимися организациями, определяется как разница между исчисленной суммой налога и суммами авансовых платежей по налогу, подлежащих уплате в течение налогового периода</w:t>
      </w:r>
      <w:r w:rsidR="00DC6D6C" w:rsidRPr="00DC6D6C">
        <w:t xml:space="preserve">. </w:t>
      </w:r>
    </w:p>
    <w:p w:rsidR="00DC6D6C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Налогоплательщики, являющиеся организациями,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В случае регистрации транспортного средства и (или</w:t>
      </w:r>
      <w:r w:rsidR="00DC6D6C" w:rsidRPr="00DC6D6C">
        <w:t xml:space="preserve">) </w:t>
      </w:r>
      <w:r w:rsidRPr="00DC6D6C">
        <w:t xml:space="preserve">снятия транспортного средства с регистрации (снятия с учета, исключения из государственного судового реестра и </w:t>
      </w:r>
      <w:r w:rsidR="00DC6D6C" w:rsidRPr="00DC6D6C">
        <w:t xml:space="preserve">т.д.) </w:t>
      </w:r>
      <w:r w:rsidRPr="00DC6D6C">
        <w:t>в течение налогового (отчетного</w:t>
      </w:r>
      <w:r w:rsidR="00DC6D6C" w:rsidRPr="00DC6D6C">
        <w:t xml:space="preserve">) </w:t>
      </w:r>
      <w:r w:rsidRPr="00DC6D6C">
        <w:t>периода исчисление суммы налога (суммы авансового платежа по налогу</w:t>
      </w:r>
      <w:r w:rsidR="00DC6D6C" w:rsidRPr="00DC6D6C">
        <w:t xml:space="preserve">) </w:t>
      </w:r>
      <w:r w:rsidRPr="00DC6D6C">
        <w:t>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налогоплательщика, к числу календарных месяцев в налоговом (отчетном</w:t>
      </w:r>
      <w:r w:rsidR="00DC6D6C" w:rsidRPr="00DC6D6C">
        <w:t xml:space="preserve">) </w:t>
      </w:r>
      <w:r w:rsidRPr="00DC6D6C">
        <w:t>периоде</w:t>
      </w:r>
      <w:r w:rsidR="00DC6D6C" w:rsidRPr="00DC6D6C">
        <w:t xml:space="preserve">. </w:t>
      </w:r>
      <w:r w:rsidRPr="00DC6D6C">
        <w:t>При этом месяц регистрации транспортного средства, а также месяц снятия транспортного средства с регистрации принимается за полный месяц</w:t>
      </w:r>
      <w:r w:rsidR="00DC6D6C" w:rsidRPr="00DC6D6C">
        <w:t xml:space="preserve">. </w:t>
      </w:r>
      <w:r w:rsidRPr="00DC6D6C">
        <w:t>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</w:t>
      </w:r>
      <w:r w:rsidR="00DC6D6C" w:rsidRPr="00DC6D6C">
        <w:t xml:space="preserve">. </w:t>
      </w:r>
    </w:p>
    <w:p w:rsidR="002E59C2" w:rsidRPr="00DC6D6C" w:rsidRDefault="002E59C2" w:rsidP="00DC6D6C">
      <w:pPr>
        <w:widowControl w:val="0"/>
        <w:autoSpaceDE w:val="0"/>
        <w:autoSpaceDN w:val="0"/>
        <w:adjustRightInd w:val="0"/>
        <w:ind w:firstLine="709"/>
      </w:pPr>
      <w:r w:rsidRPr="00DC6D6C">
        <w:t>Законодательный (представительный</w:t>
      </w:r>
      <w:r w:rsidR="00DC6D6C" w:rsidRPr="00DC6D6C">
        <w:t xml:space="preserve">) </w:t>
      </w:r>
      <w:r w:rsidRPr="00DC6D6C">
        <w:t>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</w:t>
      </w:r>
      <w:r w:rsidR="00DC6D6C" w:rsidRPr="00DC6D6C">
        <w:t xml:space="preserve">. </w:t>
      </w:r>
    </w:p>
    <w:p w:rsidR="002E59C2" w:rsidRPr="00DC6D6C" w:rsidRDefault="002E59C2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Пример расчета </w:t>
      </w:r>
      <w:r w:rsidR="00051BCC" w:rsidRPr="00DC6D6C">
        <w:t xml:space="preserve">рассмотрен </w:t>
      </w:r>
      <w:r w:rsidRPr="00DC6D6C">
        <w:t>в Приложении №1</w:t>
      </w:r>
      <w:r w:rsidR="00DC6D6C" w:rsidRPr="00DC6D6C">
        <w:t xml:space="preserve">. </w:t>
      </w:r>
    </w:p>
    <w:p w:rsidR="008D73B6" w:rsidRPr="00DC6D6C" w:rsidRDefault="002E59C2" w:rsidP="00DC6D6C">
      <w:pPr>
        <w:widowControl w:val="0"/>
        <w:autoSpaceDE w:val="0"/>
        <w:autoSpaceDN w:val="0"/>
        <w:adjustRightInd w:val="0"/>
        <w:ind w:firstLine="709"/>
      </w:pPr>
      <w:r w:rsidRPr="00DC6D6C">
        <w:t>Контроль и надзор</w:t>
      </w:r>
      <w:r w:rsidR="00DC6D6C" w:rsidRPr="00DC6D6C">
        <w:t xml:space="preserve">. </w:t>
      </w:r>
      <w:r w:rsidR="008D73B6" w:rsidRPr="00DC6D6C">
        <w:t>Органы, осуществляющие государственную регистрацию транспортных средств, обязаны сообщать в налоговые органы по месту своего нахождения о транспортных средствах, зарегистрированных или снятых с регистрации в этих органах, а также о лицах, на которых зарегистрированы транспортные средства, в течение 10 дней после их регистрации или снятия с регистрации</w:t>
      </w:r>
      <w:r w:rsidR="00DC6D6C" w:rsidRPr="00DC6D6C">
        <w:t xml:space="preserve">. </w:t>
      </w:r>
    </w:p>
    <w:p w:rsidR="008D73B6" w:rsidRPr="00DC6D6C" w:rsidRDefault="00800739" w:rsidP="00DC6D6C">
      <w:pPr>
        <w:widowControl w:val="0"/>
        <w:autoSpaceDE w:val="0"/>
        <w:autoSpaceDN w:val="0"/>
        <w:adjustRightInd w:val="0"/>
        <w:ind w:firstLine="709"/>
      </w:pPr>
      <w:r w:rsidRPr="00DC6D6C">
        <w:t>Ор</w:t>
      </w:r>
      <w:r w:rsidR="008D73B6" w:rsidRPr="00DC6D6C">
        <w:t>ганы, осуществляющие государственную регистрацию транспортных средств, обязаны сообщать в налоговые органы по месту своего нахождения сведения о транспортных средствах, а также о лицах, на которых зарегистрированы транспортные средства, по состоянию на 31 декабря истекшего календарного года до 1 февраля текущего календарного года, а также обо всех связанных с ними изменениях, произошедших за предыдущий календарный год</w:t>
      </w:r>
      <w:r w:rsidR="00DC6D6C" w:rsidRPr="00DC6D6C">
        <w:t xml:space="preserve">. </w:t>
      </w:r>
    </w:p>
    <w:p w:rsidR="00DC6D6C" w:rsidRPr="00DC6D6C" w:rsidRDefault="002E59C2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Сведения </w:t>
      </w:r>
      <w:r w:rsidR="008D73B6" w:rsidRPr="00DC6D6C">
        <w:t>представляются органами, осуществляющими государственную регистрацию транспортных средств, по формам, утверждаемым федеральным органом исполнительной власти, уполномоченным по контролю и надзору в области налогов и сборов</w:t>
      </w:r>
      <w:r w:rsidR="00DC6D6C" w:rsidRPr="00DC6D6C">
        <w:t xml:space="preserve">. </w:t>
      </w:r>
    </w:p>
    <w:p w:rsidR="008D73B6" w:rsidRPr="00DC6D6C" w:rsidRDefault="002E59C2" w:rsidP="00DC6D6C">
      <w:pPr>
        <w:widowControl w:val="0"/>
        <w:autoSpaceDE w:val="0"/>
        <w:autoSpaceDN w:val="0"/>
        <w:adjustRightInd w:val="0"/>
        <w:ind w:firstLine="709"/>
      </w:pPr>
      <w:r w:rsidRPr="00DC6D6C">
        <w:t>Порядок уплаты</w:t>
      </w:r>
      <w:r w:rsidR="00DC6D6C" w:rsidRPr="00DC6D6C">
        <w:t xml:space="preserve">. </w:t>
      </w:r>
      <w:r w:rsidR="008D73B6" w:rsidRPr="00DC6D6C">
        <w:t>Уплата налога и авансовых платежей по налогу производится налогоплательщиками по месту нахождения транспортных средств в порядке и сроки, которые установлены законами субъектов Российской Федерации</w:t>
      </w:r>
      <w:r w:rsidR="00DC6D6C" w:rsidRPr="00DC6D6C">
        <w:t xml:space="preserve">. </w:t>
      </w:r>
    </w:p>
    <w:p w:rsidR="00C65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В течение налогового периода налогоплательщики, являющиеся организациями, уплачивают авансовые платежи по налогу, если законами субъектов Российской Федерации не предусмотрено иное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Налогоплательщики, являющиеся физическими лицами, уплачивают транспортный налог на основании налогового уведомления, направляемого налоговым органом</w:t>
      </w:r>
      <w:r w:rsidR="00DC6D6C" w:rsidRPr="00DC6D6C">
        <w:t xml:space="preserve">. </w:t>
      </w:r>
    </w:p>
    <w:p w:rsidR="008D73B6" w:rsidRPr="00DC6D6C" w:rsidRDefault="00C65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Предоставление отчетности</w:t>
      </w:r>
      <w:r w:rsidR="00DC6D6C" w:rsidRPr="00DC6D6C">
        <w:t xml:space="preserve">. </w:t>
      </w:r>
      <w:r w:rsidR="008D73B6" w:rsidRPr="00DC6D6C">
        <w:t>Налогоплательщики, являющиеся организациями, по истечении налогового периода представляют в налоговый орган по месту нахождения транспортных средств налоговую декларацию по налогу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Форма налогового расчета по авансовым платежам по налогу утверждается Министерством финансов Российской Федерации</w:t>
      </w:r>
      <w:r w:rsidR="00DC6D6C" w:rsidRPr="00DC6D6C">
        <w:t xml:space="preserve">. </w:t>
      </w:r>
    </w:p>
    <w:p w:rsidR="008D73B6" w:rsidRP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Налоговые декларации по налогу представляются налогоплательщиками не позднее 1 февраля года, следующего за истекшим налоговым периодом</w:t>
      </w:r>
      <w:r w:rsidR="00DC6D6C" w:rsidRPr="00DC6D6C">
        <w:t xml:space="preserve">. </w:t>
      </w:r>
    </w:p>
    <w:p w:rsidR="00DC6D6C" w:rsidRDefault="008D73B6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Налоговые расчеты по авансовым платежам по налогу представляются налогоплательщиками в течение налогового периода не позднее последнего числа месяца, следующего за истекшим отчетным периодом</w:t>
      </w:r>
      <w:r w:rsidR="00DC6D6C" w:rsidRPr="00DC6D6C">
        <w:t xml:space="preserve">. </w:t>
      </w:r>
    </w:p>
    <w:p w:rsidR="00DC6D6C" w:rsidRDefault="00DC6D6C" w:rsidP="00DC6D6C">
      <w:pPr>
        <w:widowControl w:val="0"/>
        <w:autoSpaceDE w:val="0"/>
        <w:autoSpaceDN w:val="0"/>
        <w:adjustRightInd w:val="0"/>
        <w:ind w:firstLine="709"/>
      </w:pPr>
    </w:p>
    <w:p w:rsidR="00C653B6" w:rsidRPr="00DC6D6C" w:rsidRDefault="00101FA2" w:rsidP="00101FA2">
      <w:pPr>
        <w:pStyle w:val="2"/>
      </w:pPr>
      <w:bookmarkStart w:id="1" w:name="_Toc225402544"/>
      <w:r>
        <w:t xml:space="preserve">2. </w:t>
      </w:r>
      <w:r w:rsidR="00C653B6" w:rsidRPr="00DC6D6C">
        <w:t>НАЛОГ НА ИГОРНЫЙ БИЗНЕС</w:t>
      </w:r>
      <w:bookmarkEnd w:id="1"/>
    </w:p>
    <w:p w:rsidR="00101FA2" w:rsidRDefault="00101FA2" w:rsidP="00DC6D6C">
      <w:pPr>
        <w:widowControl w:val="0"/>
        <w:autoSpaceDE w:val="0"/>
        <w:autoSpaceDN w:val="0"/>
        <w:adjustRightInd w:val="0"/>
        <w:ind w:firstLine="709"/>
      </w:pPr>
    </w:p>
    <w:p w:rsidR="00CC715F" w:rsidRPr="00DC6D6C" w:rsidRDefault="00CC715F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Налог на игорный бизнес введен </w:t>
      </w:r>
      <w:r w:rsidR="000D490D" w:rsidRPr="00DC6D6C">
        <w:t xml:space="preserve">в Налоговый кодекс </w:t>
      </w:r>
      <w:r w:rsidRPr="00DC6D6C">
        <w:t>Федеральным законом от 27</w:t>
      </w:r>
      <w:r w:rsidR="00DC6D6C">
        <w:t>.12. 20</w:t>
      </w:r>
      <w:r w:rsidRPr="00DC6D6C">
        <w:t>02 N 182-ФЗ</w:t>
      </w:r>
      <w:r w:rsidR="000D490D" w:rsidRPr="00DC6D6C">
        <w:t xml:space="preserve"> «О внесении изменений и дополнений в часть вторую Налогового кодекса РФ и некоторые другие акты законодательства РФ о налогах и сборах»,</w:t>
      </w:r>
      <w:r w:rsidR="005852AD" w:rsidRPr="00DC6D6C">
        <w:t xml:space="preserve"> который вступил в силу с 1 января 2004 года</w:t>
      </w:r>
      <w:r w:rsidR="00DC6D6C" w:rsidRPr="00DC6D6C">
        <w:t xml:space="preserve">. </w:t>
      </w:r>
    </w:p>
    <w:p w:rsidR="005852AD" w:rsidRPr="00DC6D6C" w:rsidRDefault="005852AD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 на игорный бизнес до 1 января 2004 года являлся федеральным налогом (подп</w:t>
      </w:r>
      <w:r w:rsidR="00DC6D6C" w:rsidRPr="00DC6D6C">
        <w:t xml:space="preserve">. </w:t>
      </w:r>
      <w:r w:rsidRPr="00DC6D6C">
        <w:t>«т» п</w:t>
      </w:r>
      <w:r w:rsidR="00DC6D6C">
        <w:t>.1</w:t>
      </w:r>
      <w:r w:rsidRPr="00DC6D6C">
        <w:t xml:space="preserve"> ст</w:t>
      </w:r>
      <w:r w:rsidR="00DC6D6C">
        <w:t>. 19</w:t>
      </w:r>
      <w:r w:rsidRPr="00DC6D6C">
        <w:t xml:space="preserve"> Закона РФ от 27 декабря 1991 года №2118-</w:t>
      </w:r>
      <w:r w:rsidRPr="00DC6D6C">
        <w:rPr>
          <w:lang w:val="en-US"/>
        </w:rPr>
        <w:t>I</w:t>
      </w:r>
      <w:r w:rsidRPr="00DC6D6C">
        <w:t xml:space="preserve"> «Об основах налоговой системы в Российской Федерации»</w:t>
      </w:r>
      <w:r w:rsidR="00DC6D6C" w:rsidRPr="00DC6D6C">
        <w:t xml:space="preserve">). </w:t>
      </w:r>
      <w:r w:rsidRPr="00DC6D6C">
        <w:t>Налогоплательщики и объекты налогообложения по налогу на игорный бизнес были установлены Федеральным законом от 31 июля 1998 г</w:t>
      </w:r>
      <w:r w:rsidR="00DC6D6C" w:rsidRPr="00DC6D6C">
        <w:t xml:space="preserve">. </w:t>
      </w:r>
      <w:r w:rsidRPr="00DC6D6C">
        <w:t>№142-ФЗ «О налоге на игорный бизнес»</w:t>
      </w:r>
      <w:r w:rsidR="00DC6D6C" w:rsidRPr="00DC6D6C">
        <w:t xml:space="preserve">. </w:t>
      </w:r>
    </w:p>
    <w:p w:rsidR="005852AD" w:rsidRPr="00DC6D6C" w:rsidRDefault="005852AD" w:rsidP="00DC6D6C">
      <w:pPr>
        <w:widowControl w:val="0"/>
        <w:autoSpaceDE w:val="0"/>
        <w:autoSpaceDN w:val="0"/>
        <w:adjustRightInd w:val="0"/>
        <w:ind w:firstLine="709"/>
      </w:pPr>
      <w:r w:rsidRPr="00DC6D6C">
        <w:t>С 1 января 2004 года налог на игорный бизнес относится к региональным налогам</w:t>
      </w:r>
      <w:r w:rsidR="00DC6D6C" w:rsidRPr="00DC6D6C">
        <w:t xml:space="preserve">. </w:t>
      </w:r>
    </w:p>
    <w:p w:rsidR="005852AD" w:rsidRPr="00DC6D6C" w:rsidRDefault="005852AD" w:rsidP="00DC6D6C">
      <w:pPr>
        <w:widowControl w:val="0"/>
        <w:autoSpaceDE w:val="0"/>
        <w:autoSpaceDN w:val="0"/>
        <w:adjustRightInd w:val="0"/>
        <w:ind w:firstLine="709"/>
      </w:pPr>
      <w:r w:rsidRPr="00DC6D6C">
        <w:t>По своей правовой природе налог на игорный бизнес является разновидностью вмененного налога на отдельные виды деятельности</w:t>
      </w:r>
      <w:r w:rsidR="00DC6D6C" w:rsidRPr="00DC6D6C">
        <w:t xml:space="preserve">. </w:t>
      </w:r>
    </w:p>
    <w:p w:rsidR="004B5FF8" w:rsidRPr="00DC6D6C" w:rsidRDefault="004B5FF8" w:rsidP="00DC6D6C">
      <w:pPr>
        <w:widowControl w:val="0"/>
        <w:autoSpaceDE w:val="0"/>
        <w:autoSpaceDN w:val="0"/>
        <w:adjustRightInd w:val="0"/>
        <w:ind w:firstLine="709"/>
      </w:pPr>
      <w:r w:rsidRPr="00DC6D6C">
        <w:t>В рамках специальных налоговых режимов допускается установление особого порядка определения элементов налогообложения, а также освобождение от обязанностей по уплате отдельных налогов и сборов</w:t>
      </w:r>
      <w:r w:rsidR="00DC6D6C" w:rsidRPr="00DC6D6C">
        <w:t xml:space="preserve">. </w:t>
      </w:r>
    </w:p>
    <w:p w:rsidR="004B5FF8" w:rsidRPr="00DC6D6C" w:rsidRDefault="004B5FF8" w:rsidP="00DC6D6C">
      <w:pPr>
        <w:widowControl w:val="0"/>
        <w:autoSpaceDE w:val="0"/>
        <w:autoSpaceDN w:val="0"/>
        <w:adjustRightInd w:val="0"/>
        <w:ind w:firstLine="709"/>
      </w:pPr>
      <w:r w:rsidRPr="00DC6D6C">
        <w:t>Поскольку налогообложение игорного бизнеса, фактически представляет собой специальный режим налогообложения, игорная деятельность освобождается от уплаты федеральных налогов</w:t>
      </w:r>
      <w:r w:rsidR="00DC6D6C" w:rsidRPr="00DC6D6C">
        <w:t xml:space="preserve">. </w:t>
      </w:r>
    </w:p>
    <w:p w:rsidR="004B5FF8" w:rsidRPr="00DC6D6C" w:rsidRDefault="004B5FF8" w:rsidP="00DC6D6C">
      <w:pPr>
        <w:widowControl w:val="0"/>
        <w:autoSpaceDE w:val="0"/>
        <w:autoSpaceDN w:val="0"/>
        <w:adjustRightInd w:val="0"/>
        <w:ind w:firstLine="709"/>
      </w:pPr>
      <w:r w:rsidRPr="00DC6D6C">
        <w:t>Освобождается от обложения налогом на добавленную стоимость на территории РФ организация тотализаторов и других основанных на риске игр (в том числе с использованием игровых автоматов</w:t>
      </w:r>
      <w:r w:rsidR="00DC6D6C" w:rsidRPr="00DC6D6C">
        <w:t xml:space="preserve">). </w:t>
      </w:r>
      <w:r w:rsidR="00790DB0" w:rsidRPr="00DC6D6C">
        <w:t>Однако, освобождается от уплаты НДС только при наличии соответствующей лицензии</w:t>
      </w:r>
      <w:r w:rsidR="00DC6D6C" w:rsidRPr="00DC6D6C">
        <w:t xml:space="preserve">.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Для целей характеристики налога на игорный бизнес в Налоговом кодексе</w:t>
      </w:r>
      <w:r w:rsidR="00DC6D6C" w:rsidRPr="00DC6D6C">
        <w:t xml:space="preserve"> </w:t>
      </w:r>
      <w:r w:rsidRPr="00DC6D6C">
        <w:t>используются следующие понятия</w:t>
      </w:r>
      <w:r w:rsidR="00DC6D6C" w:rsidRPr="00DC6D6C">
        <w:t xml:space="preserve">: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игорный бизнес</w:t>
      </w:r>
      <w:r w:rsidR="00DC6D6C" w:rsidRPr="00DC6D6C">
        <w:t xml:space="preserve"> - </w:t>
      </w:r>
      <w:r w:rsidRPr="00DC6D6C">
        <w:t>предпринимательская деятельность, связанная с извлечением организациями или индивидуальными предпринимателями доходов в виде выигрыша и (или</w:t>
      </w:r>
      <w:r w:rsidR="00DC6D6C" w:rsidRPr="00DC6D6C">
        <w:t xml:space="preserve">) </w:t>
      </w:r>
      <w:r w:rsidRPr="00DC6D6C">
        <w:t>платы за проведение азартных игр и (или</w:t>
      </w:r>
      <w:r w:rsidR="00DC6D6C" w:rsidRPr="00DC6D6C">
        <w:t xml:space="preserve">) </w:t>
      </w:r>
      <w:r w:rsidRPr="00DC6D6C">
        <w:t>пари, не являющаяся реализацией товаров (имущественных прав</w:t>
      </w:r>
      <w:r w:rsidR="00DC6D6C" w:rsidRPr="00DC6D6C">
        <w:t>),</w:t>
      </w:r>
      <w:r w:rsidRPr="00DC6D6C">
        <w:t xml:space="preserve"> работ или услуг</w:t>
      </w:r>
      <w:r w:rsidR="00DC6D6C" w:rsidRPr="00DC6D6C">
        <w:t xml:space="preserve">;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организатор игорного заведения, в том числе букмекерской конторы (далее в настоящей главе</w:t>
      </w:r>
      <w:r w:rsidR="00DC6D6C" w:rsidRPr="00DC6D6C">
        <w:t xml:space="preserve"> - </w:t>
      </w:r>
      <w:r w:rsidRPr="00DC6D6C">
        <w:t>организатор игорного заведения</w:t>
      </w:r>
      <w:r w:rsidR="00DC6D6C" w:rsidRPr="00DC6D6C">
        <w:t xml:space="preserve">), - </w:t>
      </w:r>
      <w:r w:rsidRPr="00DC6D6C">
        <w:t>организация или индивидуальный предприниматель, которые осуществляют в сфере игорного бизнеса деятельность по организации азартных игр, за исключением азартных игр на тотализаторе</w:t>
      </w:r>
      <w:r w:rsidR="00DC6D6C" w:rsidRPr="00DC6D6C">
        <w:t xml:space="preserve">;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организатор тотализатора</w:t>
      </w:r>
      <w:r w:rsidR="00DC6D6C" w:rsidRPr="00DC6D6C">
        <w:t xml:space="preserve"> - </w:t>
      </w:r>
      <w:r w:rsidRPr="00DC6D6C">
        <w:t>организация или индивидуальный предприниматель, которые осуществляют в сфере игорного бизнеса посредническую деятельность по организации азартных игр по приему ставок от участников взаимных пари и (или</w:t>
      </w:r>
      <w:r w:rsidR="00DC6D6C" w:rsidRPr="00DC6D6C">
        <w:t xml:space="preserve">) </w:t>
      </w:r>
      <w:r w:rsidRPr="00DC6D6C">
        <w:t>выплате выигрыша</w:t>
      </w:r>
      <w:r w:rsidR="00DC6D6C" w:rsidRPr="00DC6D6C">
        <w:t xml:space="preserve">;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участник</w:t>
      </w:r>
      <w:r w:rsidR="00DC6D6C" w:rsidRPr="00DC6D6C">
        <w:t xml:space="preserve"> - </w:t>
      </w:r>
      <w:r w:rsidRPr="00DC6D6C">
        <w:t>физическое лицо, принимающее участие в азартных играх и (или</w:t>
      </w:r>
      <w:r w:rsidR="00DC6D6C" w:rsidRPr="00DC6D6C">
        <w:t xml:space="preserve">) </w:t>
      </w:r>
      <w:r w:rsidRPr="00DC6D6C">
        <w:t>пари, проводимых организатором игорного заведения (организатором тотализатора</w:t>
      </w:r>
      <w:r w:rsidR="00DC6D6C" w:rsidRPr="00DC6D6C">
        <w:t xml:space="preserve">);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азартная игра</w:t>
      </w:r>
      <w:r w:rsidR="00DC6D6C" w:rsidRPr="00DC6D6C">
        <w:t xml:space="preserve"> - </w:t>
      </w:r>
      <w:r w:rsidRPr="00DC6D6C">
        <w:t>основанное на риске соглашение о выигрыше, заключенное двумя или несколькими участниками между собой либо с организатором игорного заведения (организатором тотализатора</w:t>
      </w:r>
      <w:r w:rsidR="00DC6D6C" w:rsidRPr="00DC6D6C">
        <w:t xml:space="preserve">) </w:t>
      </w:r>
      <w:r w:rsidRPr="00DC6D6C">
        <w:t>по правилам, установленным организатором игорного заведения (организатором тотализатора</w:t>
      </w:r>
      <w:r w:rsidR="00DC6D6C" w:rsidRPr="00DC6D6C">
        <w:t xml:space="preserve">);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пари</w:t>
      </w:r>
      <w:r w:rsidR="00DC6D6C" w:rsidRPr="00DC6D6C">
        <w:t xml:space="preserve"> - </w:t>
      </w:r>
      <w:r w:rsidRPr="00DC6D6C">
        <w:t>основанное на риске соглашение о выигрыше, заключенное двумя или несколькими участниками между собой либо с организатором игорного заведения (организатором тотализатора</w:t>
      </w:r>
      <w:r w:rsidR="00DC6D6C" w:rsidRPr="00DC6D6C">
        <w:t>),</w:t>
      </w:r>
      <w:r w:rsidRPr="00DC6D6C">
        <w:t xml:space="preserve"> исход которого зависит от события, относительно которого неизвестно, наступит оно или нет</w:t>
      </w:r>
      <w:r w:rsidR="00DC6D6C" w:rsidRPr="00DC6D6C">
        <w:t xml:space="preserve">;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игровое поле</w:t>
      </w:r>
      <w:r w:rsidR="00DC6D6C" w:rsidRPr="00DC6D6C">
        <w:t xml:space="preserve"> - </w:t>
      </w:r>
      <w:r w:rsidRPr="00DC6D6C">
        <w:t>специальное место на игровом столе, оборудованное в соответствии с правилами азартной игры, где проводится азартная игра с любым количеством участников и только с одним представителем организатора игорного заведения, участвующим в указанной игре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Налогоплательщики</w:t>
      </w:r>
      <w:r w:rsidR="00DC6D6C" w:rsidRPr="00DC6D6C">
        <w:t xml:space="preserve">. </w:t>
      </w:r>
      <w:r w:rsidRPr="00DC6D6C">
        <w:t>Налогоплательщиками налога на игорный бизнес признаются организации или индивидуальные предприниматели, осуществляющие предпринимательскую деятельность в сфере игорного бизнеса</w:t>
      </w:r>
      <w:r w:rsidR="00DC6D6C" w:rsidRPr="00DC6D6C">
        <w:t xml:space="preserve">. </w:t>
      </w:r>
    </w:p>
    <w:p w:rsidR="00101FA2" w:rsidRDefault="00101FA2" w:rsidP="00DC6D6C">
      <w:pPr>
        <w:widowControl w:val="0"/>
        <w:autoSpaceDE w:val="0"/>
        <w:autoSpaceDN w:val="0"/>
        <w:adjustRightInd w:val="0"/>
        <w:ind w:firstLine="709"/>
      </w:pPr>
    </w:p>
    <w:p w:rsidR="00790DB0" w:rsidRDefault="00101FA2" w:rsidP="00101FA2">
      <w:pPr>
        <w:pStyle w:val="2"/>
      </w:pPr>
      <w:r>
        <w:br w:type="page"/>
      </w:r>
      <w:bookmarkStart w:id="2" w:name="_Toc225402545"/>
      <w:r w:rsidR="00790DB0" w:rsidRPr="00DC6D6C">
        <w:t>Объекты налогообложения</w:t>
      </w:r>
      <w:bookmarkEnd w:id="2"/>
    </w:p>
    <w:p w:rsidR="00101FA2" w:rsidRPr="00101FA2" w:rsidRDefault="00101FA2" w:rsidP="00101FA2">
      <w:pPr>
        <w:widowControl w:val="0"/>
        <w:autoSpaceDE w:val="0"/>
        <w:autoSpaceDN w:val="0"/>
        <w:adjustRightInd w:val="0"/>
        <w:ind w:firstLine="709"/>
      </w:pP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Объектами налогообложения признаются</w:t>
      </w:r>
      <w:r w:rsidR="00DC6D6C" w:rsidRPr="00DC6D6C">
        <w:t xml:space="preserve">: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1</w:t>
      </w:r>
      <w:r w:rsidR="00DC6D6C" w:rsidRPr="00DC6D6C">
        <w:t xml:space="preserve">) </w:t>
      </w:r>
      <w:r w:rsidRPr="00DC6D6C">
        <w:t>игровой стол</w:t>
      </w:r>
      <w:r w:rsidR="00DC6D6C" w:rsidRPr="00DC6D6C">
        <w:t xml:space="preserve"> - </w:t>
      </w:r>
      <w:r w:rsidRPr="00DC6D6C">
        <w:t>специально оборудованное у организатора игорного заведения место с одним или несколькими игровыми полями, предназначенное для проведения азартных игр с любым видом выигрыша, в которых организатор игорного заведения через своих представителей участвует к</w:t>
      </w:r>
      <w:r w:rsidR="00051BCC" w:rsidRPr="00DC6D6C">
        <w:t>ак сторона или как организатор</w:t>
      </w:r>
      <w:r w:rsidR="00DC6D6C" w:rsidRPr="00DC6D6C">
        <w:t xml:space="preserve">;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2</w:t>
      </w:r>
      <w:r w:rsidR="00DC6D6C" w:rsidRPr="00DC6D6C">
        <w:t xml:space="preserve">) </w:t>
      </w:r>
      <w:r w:rsidRPr="00DC6D6C">
        <w:t>игровой автомат</w:t>
      </w:r>
      <w:r w:rsidR="00DC6D6C" w:rsidRPr="00DC6D6C">
        <w:t xml:space="preserve"> - </w:t>
      </w:r>
      <w:r w:rsidRPr="00DC6D6C">
        <w:t>специальное оборудование (механическое, электрическое, электронное или иное техническое оборудование</w:t>
      </w:r>
      <w:r w:rsidR="00DC6D6C" w:rsidRPr="00DC6D6C">
        <w:t>),</w:t>
      </w:r>
      <w:r w:rsidRPr="00DC6D6C">
        <w:t xml:space="preserve">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</w:t>
      </w:r>
      <w:r w:rsidR="00DC6D6C" w:rsidRPr="00DC6D6C">
        <w:t xml:space="preserve">;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3</w:t>
      </w:r>
      <w:r w:rsidR="00DC6D6C" w:rsidRPr="00DC6D6C">
        <w:t xml:space="preserve">) </w:t>
      </w:r>
      <w:r w:rsidRPr="00DC6D6C">
        <w:t>касса тотализатора или букмекерской конторы</w:t>
      </w:r>
      <w:r w:rsidR="00DC6D6C" w:rsidRPr="00DC6D6C">
        <w:t xml:space="preserve"> - </w:t>
      </w:r>
      <w:r w:rsidRPr="00DC6D6C">
        <w:t>специально оборудованное место у организатора игорного заведения (организатора тотализатора</w:t>
      </w:r>
      <w:r w:rsidR="00DC6D6C" w:rsidRPr="00DC6D6C">
        <w:t>),</w:t>
      </w:r>
      <w:r w:rsidRPr="00DC6D6C">
        <w:t xml:space="preserve"> где учитывается общая сумма ставок и определяется сумма выигрыша, подлежащая выплате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Все объекты налогообложения подлежит регистрации в налоговом органе по месту установки этого объекта налогообложения не позднее чем за два дня до даты установки каждого объекта налогообложения</w:t>
      </w:r>
      <w:r w:rsidR="00DC6D6C" w:rsidRPr="00DC6D6C">
        <w:t xml:space="preserve">. </w:t>
      </w:r>
      <w:r w:rsidRPr="00DC6D6C">
        <w:t>Регистрация производится налоговым органом на основании заявления налогоплательщика о регистрации объекта (объектов</w:t>
      </w:r>
      <w:r w:rsidR="00DC6D6C" w:rsidRPr="00DC6D6C">
        <w:t xml:space="preserve">) </w:t>
      </w:r>
      <w:r w:rsidRPr="00DC6D6C">
        <w:t>налогообложения с обязательной выдачей свидетельства о регистрации объекта (объектов</w:t>
      </w:r>
      <w:r w:rsidR="00DC6D6C" w:rsidRPr="00DC6D6C">
        <w:t xml:space="preserve">) </w:t>
      </w:r>
      <w:r w:rsidRPr="00DC6D6C">
        <w:t>налогообложения</w:t>
      </w:r>
      <w:r w:rsidR="00DC6D6C" w:rsidRPr="00DC6D6C">
        <w:t xml:space="preserve">. </w:t>
      </w:r>
      <w:r w:rsidRPr="00DC6D6C">
        <w:t>Форма указанного заявления и форма указанного свидетельства утверждаются Министерством финансов Российской Федерации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Налогоплательщики, не состоящие на учете в налоговых органах на территории того субъекта Российской Федерации, где устанавливается (устанавливаются</w:t>
      </w:r>
      <w:r w:rsidR="00DC6D6C" w:rsidRPr="00DC6D6C">
        <w:t xml:space="preserve">) </w:t>
      </w:r>
      <w:r w:rsidRPr="00DC6D6C">
        <w:t>об</w:t>
      </w:r>
      <w:r w:rsidR="00C960F2" w:rsidRPr="00DC6D6C">
        <w:t>ъект (объекты</w:t>
      </w:r>
      <w:r w:rsidR="00DC6D6C" w:rsidRPr="00DC6D6C">
        <w:t xml:space="preserve">) </w:t>
      </w:r>
      <w:r w:rsidR="00C960F2" w:rsidRPr="00DC6D6C">
        <w:t xml:space="preserve">налогообложения </w:t>
      </w:r>
      <w:r w:rsidRPr="00DC6D6C">
        <w:t>обязаны встать на учет в налоговых органах по месту установки такого объекта (таких объектов</w:t>
      </w:r>
      <w:r w:rsidR="00DC6D6C" w:rsidRPr="00DC6D6C">
        <w:t xml:space="preserve">) </w:t>
      </w:r>
      <w:r w:rsidRPr="00DC6D6C">
        <w:t>налогообложения в срок не позднее</w:t>
      </w:r>
      <w:r w:rsidR="00C960F2" w:rsidRPr="00DC6D6C">
        <w:t>,</w:t>
      </w:r>
      <w:r w:rsidRPr="00DC6D6C">
        <w:t xml:space="preserve"> чем за два дня до даты установки каждого объекта налогообложения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Налогоплательщик также обязан зарегистрировать в налоговых органах по месту регистрации объектов налогообложения любое изменение количества объектов налогообложения не позднее</w:t>
      </w:r>
      <w:r w:rsidR="00C960F2" w:rsidRPr="00DC6D6C">
        <w:t>,</w:t>
      </w:r>
      <w:r w:rsidRPr="00DC6D6C">
        <w:t xml:space="preserve"> чем за два дня до даты установки или выбытия каждого объекта налогообложения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Объект налогообложения считается зарегистрированным с даты представления налогоплательщиком в налоговый орган заявления о регистрации объекта (объектов</w:t>
      </w:r>
      <w:r w:rsidR="00DC6D6C" w:rsidRPr="00DC6D6C">
        <w:t xml:space="preserve">) </w:t>
      </w:r>
      <w:r w:rsidRPr="00DC6D6C">
        <w:t>налогообложения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Объект налогообложения считается выбывшим с даты представления налогоплательщиком в налоговый орган заявления о регистрации изменений (уменьшений</w:t>
      </w:r>
      <w:r w:rsidR="00DC6D6C" w:rsidRPr="00DC6D6C">
        <w:t xml:space="preserve">) </w:t>
      </w:r>
      <w:r w:rsidRPr="00DC6D6C">
        <w:t>количества объектов налогообложения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Заявление о регистрации объекта (объектов</w:t>
      </w:r>
      <w:r w:rsidR="00DC6D6C" w:rsidRPr="00DC6D6C">
        <w:t xml:space="preserve">) </w:t>
      </w:r>
      <w:r w:rsidRPr="00DC6D6C">
        <w:t>налогообложения представляется налогоплательщиком в налоговый орган лично или через его представителя либо направляется в виде почтового отправления с описью вложения</w:t>
      </w:r>
      <w:r w:rsidR="00DC6D6C" w:rsidRPr="00DC6D6C">
        <w:t xml:space="preserve">. </w:t>
      </w:r>
    </w:p>
    <w:p w:rsidR="00790DB0" w:rsidRPr="00DC6D6C" w:rsidRDefault="00790DB0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Налоговые органы обязаны в течение пяти дней с даты получения заявления от налогоплательщика о регистрации объекта (объектов</w:t>
      </w:r>
      <w:r w:rsidR="00DC6D6C" w:rsidRPr="00DC6D6C">
        <w:t xml:space="preserve">) </w:t>
      </w:r>
      <w:r w:rsidRPr="00DC6D6C">
        <w:t>налогообложения (об изменении количества объектов налогообложения</w:t>
      </w:r>
      <w:r w:rsidR="00DC6D6C" w:rsidRPr="00DC6D6C">
        <w:t xml:space="preserve">) </w:t>
      </w:r>
      <w:r w:rsidRPr="00DC6D6C">
        <w:t>выдать свидетельство о регистрации или внести изменения, связанные с изменением количества объектов налогообложения, в ранее выданное свидетельство</w:t>
      </w:r>
      <w:r w:rsidR="00DC6D6C" w:rsidRPr="00DC6D6C">
        <w:t xml:space="preserve">. </w:t>
      </w:r>
    </w:p>
    <w:p w:rsidR="00C960F2" w:rsidRPr="00DC6D6C" w:rsidRDefault="00C960F2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Налоговая база</w:t>
      </w:r>
      <w:r w:rsidR="00DC6D6C" w:rsidRPr="00DC6D6C">
        <w:t xml:space="preserve">. </w:t>
      </w:r>
      <w:r w:rsidRPr="00DC6D6C">
        <w:t>По каждому из объектов налогообложения налоговая база определяется отдельно как общее количество соответствующих объектов налогообложения</w:t>
      </w:r>
      <w:r w:rsidR="00DC6D6C" w:rsidRPr="00DC6D6C">
        <w:t xml:space="preserve">. </w:t>
      </w:r>
    </w:p>
    <w:p w:rsidR="00C960F2" w:rsidRPr="00DC6D6C" w:rsidRDefault="00C960F2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Налоговым периодом признается календарный месяц</w:t>
      </w:r>
      <w:r w:rsidR="00DC6D6C" w:rsidRPr="00DC6D6C">
        <w:t xml:space="preserve">. </w:t>
      </w:r>
      <w:r w:rsidRPr="00DC6D6C">
        <w:t>Отчетных периодов по налогу не предусмотрено</w:t>
      </w:r>
      <w:r w:rsidR="00DC6D6C" w:rsidRPr="00DC6D6C">
        <w:t xml:space="preserve">. </w:t>
      </w:r>
    </w:p>
    <w:p w:rsidR="00C960F2" w:rsidRPr="00DC6D6C" w:rsidRDefault="00C960F2" w:rsidP="00DC6D6C">
      <w:pPr>
        <w:widowControl w:val="0"/>
        <w:autoSpaceDE w:val="0"/>
        <w:autoSpaceDN w:val="0"/>
        <w:adjustRightInd w:val="0"/>
        <w:ind w:firstLine="709"/>
      </w:pPr>
      <w:r w:rsidRPr="00DC6D6C">
        <w:t>Так к</w:t>
      </w:r>
      <w:r w:rsidR="00051BCC" w:rsidRPr="00DC6D6C">
        <w:t>ак</w:t>
      </w:r>
      <w:r w:rsidRPr="00DC6D6C">
        <w:t xml:space="preserve"> данный налог является региональным налогом, федеральное законодательство предусматривает пределы ставок, конкретная же ставка определяется законом субъекта РФ</w:t>
      </w:r>
      <w:r w:rsidR="00DC6D6C" w:rsidRPr="00DC6D6C">
        <w:t xml:space="preserve">. </w:t>
      </w:r>
    </w:p>
    <w:p w:rsidR="00C960F2" w:rsidRPr="00DC6D6C" w:rsidRDefault="00C960F2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Налоговые ставки устанавливаются законами субъектов Российской Федерации в следующих пределах</w:t>
      </w:r>
      <w:r w:rsidR="00DC6D6C" w:rsidRPr="00DC6D6C">
        <w:t xml:space="preserve">: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1</w:t>
      </w:r>
      <w:r w:rsidR="00DC6D6C" w:rsidRPr="00DC6D6C">
        <w:t xml:space="preserve">) </w:t>
      </w:r>
      <w:r w:rsidRPr="00DC6D6C">
        <w:t>за один игровой стол</w:t>
      </w:r>
      <w:r w:rsidR="00DC6D6C" w:rsidRPr="00DC6D6C">
        <w:t xml:space="preserve"> - </w:t>
      </w:r>
      <w:r w:rsidRPr="00DC6D6C">
        <w:t>от 25000 до 125000 рублей</w:t>
      </w:r>
      <w:r w:rsidR="00DC6D6C" w:rsidRPr="00DC6D6C">
        <w:t xml:space="preserve">;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2</w:t>
      </w:r>
      <w:r w:rsidR="00DC6D6C" w:rsidRPr="00DC6D6C">
        <w:t xml:space="preserve">) </w:t>
      </w:r>
      <w:r w:rsidRPr="00DC6D6C">
        <w:t>за один игровой автомат</w:t>
      </w:r>
      <w:r w:rsidR="00DC6D6C" w:rsidRPr="00DC6D6C">
        <w:t xml:space="preserve"> - </w:t>
      </w:r>
      <w:r w:rsidRPr="00DC6D6C">
        <w:t>от 1500 до 7500 рублей</w:t>
      </w:r>
      <w:r w:rsidR="00DC6D6C" w:rsidRPr="00DC6D6C">
        <w:t xml:space="preserve">;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3</w:t>
      </w:r>
      <w:r w:rsidR="00DC6D6C" w:rsidRPr="00DC6D6C">
        <w:t xml:space="preserve">) </w:t>
      </w:r>
      <w:r w:rsidRPr="00DC6D6C">
        <w:t>за одну кассу тотализатора или одну кассу букмекерской конторы</w:t>
      </w:r>
      <w:r w:rsidR="00DC6D6C" w:rsidRPr="00DC6D6C">
        <w:t xml:space="preserve"> - </w:t>
      </w:r>
      <w:r w:rsidRPr="00DC6D6C">
        <w:t>от 25000 до 125000 рублей</w:t>
      </w:r>
      <w:r w:rsidR="00DC6D6C" w:rsidRPr="00DC6D6C">
        <w:t xml:space="preserve">.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В случае, если ставки налогов не установлены законами субъектов Российской Федерации, ставки налогов устанавливаются в следующих размерах</w:t>
      </w:r>
      <w:r w:rsidR="00DC6D6C" w:rsidRPr="00DC6D6C">
        <w:t xml:space="preserve">: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1</w:t>
      </w:r>
      <w:r w:rsidR="00DC6D6C" w:rsidRPr="00DC6D6C">
        <w:t xml:space="preserve">) </w:t>
      </w:r>
      <w:r w:rsidRPr="00DC6D6C">
        <w:t>за один игровой стол</w:t>
      </w:r>
      <w:r w:rsidR="00DC6D6C" w:rsidRPr="00DC6D6C">
        <w:t xml:space="preserve"> - </w:t>
      </w:r>
      <w:r w:rsidRPr="00DC6D6C">
        <w:t>25000 рублей</w:t>
      </w:r>
      <w:r w:rsidR="00DC6D6C" w:rsidRPr="00DC6D6C">
        <w:t xml:space="preserve">;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2</w:t>
      </w:r>
      <w:r w:rsidR="00DC6D6C" w:rsidRPr="00DC6D6C">
        <w:t xml:space="preserve">) </w:t>
      </w:r>
      <w:r w:rsidRPr="00DC6D6C">
        <w:t>за один игровой автомат</w:t>
      </w:r>
      <w:r w:rsidR="00DC6D6C" w:rsidRPr="00DC6D6C">
        <w:t xml:space="preserve"> - </w:t>
      </w:r>
      <w:r w:rsidRPr="00DC6D6C">
        <w:t>1500 рублей</w:t>
      </w:r>
      <w:r w:rsidR="00DC6D6C" w:rsidRPr="00DC6D6C">
        <w:t xml:space="preserve">;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3</w:t>
      </w:r>
      <w:r w:rsidR="00DC6D6C" w:rsidRPr="00DC6D6C">
        <w:t xml:space="preserve">) </w:t>
      </w:r>
      <w:r w:rsidRPr="00DC6D6C">
        <w:t>за одну кассу тотализатора или одну кассу букмекерской конторы</w:t>
      </w:r>
      <w:r w:rsidR="00DC6D6C" w:rsidRPr="00DC6D6C">
        <w:t xml:space="preserve"> - </w:t>
      </w:r>
      <w:r w:rsidRPr="00DC6D6C">
        <w:t>25000 рублей</w:t>
      </w:r>
      <w:r w:rsidR="00DC6D6C" w:rsidRPr="00DC6D6C">
        <w:t xml:space="preserve">. </w:t>
      </w:r>
    </w:p>
    <w:p w:rsidR="00A46200" w:rsidRPr="00DC6D6C" w:rsidRDefault="00A46200" w:rsidP="00DC6D6C">
      <w:pPr>
        <w:widowControl w:val="0"/>
        <w:autoSpaceDE w:val="0"/>
        <w:autoSpaceDN w:val="0"/>
        <w:adjustRightInd w:val="0"/>
        <w:ind w:firstLine="709"/>
      </w:pPr>
      <w:r w:rsidRPr="00DC6D6C">
        <w:t>Порядок исчисления налога</w:t>
      </w:r>
      <w:r w:rsidR="00DC6D6C" w:rsidRPr="00DC6D6C">
        <w:t xml:space="preserve">. </w:t>
      </w:r>
      <w:r w:rsidRPr="00DC6D6C">
        <w:t>Сумма налога исчисляется налогоплательщиком самостоятельно как произведение налоговой базы, установленной по каждому объекту налогообложения, и ставки налога, установленной для каждого объекта налогообложения</w:t>
      </w:r>
      <w:r w:rsidR="00DC6D6C" w:rsidRPr="00DC6D6C">
        <w:t xml:space="preserve">. </w:t>
      </w:r>
    </w:p>
    <w:p w:rsidR="00A46200" w:rsidRPr="00DC6D6C" w:rsidRDefault="00A46200" w:rsidP="00DC6D6C">
      <w:pPr>
        <w:widowControl w:val="0"/>
        <w:autoSpaceDE w:val="0"/>
        <w:autoSpaceDN w:val="0"/>
        <w:adjustRightInd w:val="0"/>
        <w:ind w:firstLine="709"/>
      </w:pPr>
      <w:r w:rsidRPr="00DC6D6C">
        <w:t>В случае, если один игровой стол имеет более одного игрового поля, ставка налога по указанному игровому столу увеличивается кратно количеству игровых полей</w:t>
      </w:r>
      <w:r w:rsidR="00DC6D6C" w:rsidRPr="00DC6D6C">
        <w:t xml:space="preserve">.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При установлении нового объекта сумма налога будет зависеть от того, когда он установлен</w:t>
      </w:r>
      <w:r w:rsidR="00DC6D6C" w:rsidRPr="00DC6D6C">
        <w:t xml:space="preserve">.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Если новый объект (новые объекты</w:t>
      </w:r>
      <w:r w:rsidR="00DC6D6C" w:rsidRPr="00DC6D6C">
        <w:t xml:space="preserve">) </w:t>
      </w:r>
      <w:r w:rsidRPr="00DC6D6C">
        <w:t>налогообложения установлен до 15-го числа текущего налогового периода сумма налога исчисляется</w:t>
      </w:r>
      <w:r w:rsidR="00051BCC" w:rsidRPr="00DC6D6C">
        <w:t>,</w:t>
      </w:r>
      <w:r w:rsidRPr="00DC6D6C">
        <w:t xml:space="preserve"> как произведение общего количества соответствующих объектов налогообложения (включая установленный новый объект налогообложения</w:t>
      </w:r>
      <w:r w:rsidR="00DC6D6C" w:rsidRPr="00DC6D6C">
        <w:t xml:space="preserve">) </w:t>
      </w:r>
      <w:r w:rsidRPr="00DC6D6C">
        <w:t>и ставки налога, установленной для этих объектов налогообложения</w:t>
      </w:r>
      <w:r w:rsidR="00DC6D6C" w:rsidRPr="00DC6D6C">
        <w:t xml:space="preserve">. </w:t>
      </w:r>
    </w:p>
    <w:p w:rsidR="005A3387" w:rsidRPr="00DC6D6C" w:rsidRDefault="005A3387" w:rsidP="00DC6D6C">
      <w:pPr>
        <w:widowControl w:val="0"/>
        <w:autoSpaceDE w:val="0"/>
        <w:autoSpaceDN w:val="0"/>
        <w:adjustRightInd w:val="0"/>
        <w:ind w:firstLine="709"/>
      </w:pPr>
      <w:r w:rsidRPr="00DC6D6C">
        <w:t>Если новый объект (новые объекты</w:t>
      </w:r>
      <w:r w:rsidR="00DC6D6C" w:rsidRPr="00DC6D6C">
        <w:t xml:space="preserve">) </w:t>
      </w:r>
      <w:r w:rsidRPr="00DC6D6C">
        <w:t>налогообложения установлен</w:t>
      </w:r>
      <w:r w:rsidR="00DC6D6C" w:rsidRPr="00DC6D6C">
        <w:t xml:space="preserve"> </w:t>
      </w:r>
      <w:r w:rsidRPr="00DC6D6C">
        <w:t>после 15-го числа текущего налогового периода сумма налога по этому объекту (этим объектам</w:t>
      </w:r>
      <w:r w:rsidR="00DC6D6C" w:rsidRPr="00DC6D6C">
        <w:t xml:space="preserve">) </w:t>
      </w:r>
      <w:r w:rsidRPr="00DC6D6C">
        <w:t>за этот налоговый период исчисляется как произведение количества данных объектов налогообложения и одной второй ставки налога, установленной для этих объектов налогообложения</w:t>
      </w:r>
      <w:r w:rsidR="00DC6D6C" w:rsidRPr="00DC6D6C">
        <w:t xml:space="preserve">. </w:t>
      </w:r>
    </w:p>
    <w:p w:rsidR="00A46200" w:rsidRPr="00DC6D6C" w:rsidRDefault="00A46200" w:rsidP="00DC6D6C">
      <w:pPr>
        <w:widowControl w:val="0"/>
        <w:autoSpaceDE w:val="0"/>
        <w:autoSpaceDN w:val="0"/>
        <w:adjustRightInd w:val="0"/>
        <w:ind w:firstLine="709"/>
      </w:pPr>
      <w:r w:rsidRPr="00DC6D6C">
        <w:t>Как при установлении новых объектов, так и при выбытии объектов сумма налога зависит от периода, в котором происходит выбытие объектов налогообложения</w:t>
      </w:r>
      <w:r w:rsidR="00DC6D6C" w:rsidRPr="00DC6D6C">
        <w:t xml:space="preserve">. </w:t>
      </w:r>
      <w:r w:rsidRPr="00DC6D6C">
        <w:t>Выбывшим объект считается с даты представления налогоплательщиком заявления об изменении количества объектов</w:t>
      </w:r>
      <w:r w:rsidR="00DC6D6C" w:rsidRPr="00DC6D6C">
        <w:t xml:space="preserve">. </w:t>
      </w:r>
    </w:p>
    <w:p w:rsidR="00A46200" w:rsidRPr="00DC6D6C" w:rsidRDefault="00A46200" w:rsidP="00DC6D6C">
      <w:pPr>
        <w:widowControl w:val="0"/>
        <w:autoSpaceDE w:val="0"/>
        <w:autoSpaceDN w:val="0"/>
        <w:adjustRightInd w:val="0"/>
        <w:ind w:firstLine="709"/>
      </w:pPr>
      <w:r w:rsidRPr="00DC6D6C">
        <w:t>При выбытии объекта (объектов</w:t>
      </w:r>
      <w:r w:rsidR="00DC6D6C" w:rsidRPr="00DC6D6C">
        <w:t xml:space="preserve">) </w:t>
      </w:r>
      <w:r w:rsidRPr="00DC6D6C">
        <w:t>налогообложения до 15-го числа (включительно</w:t>
      </w:r>
      <w:r w:rsidR="00DC6D6C" w:rsidRPr="00DC6D6C">
        <w:t xml:space="preserve">) </w:t>
      </w:r>
      <w:r w:rsidRPr="00DC6D6C">
        <w:t>текущего налогового периода сумма налога по этому объекту (этим объектам</w:t>
      </w:r>
      <w:r w:rsidR="00DC6D6C" w:rsidRPr="00DC6D6C">
        <w:t xml:space="preserve">) </w:t>
      </w:r>
      <w:r w:rsidRPr="00DC6D6C">
        <w:t>за этот налоговый период исчисляется как произведение количества данных объектов налогообложения и одной второй ставки налога, установленной для этих объектов налогообложения</w:t>
      </w:r>
      <w:r w:rsidR="00DC6D6C" w:rsidRPr="00DC6D6C">
        <w:t xml:space="preserve">. </w:t>
      </w:r>
    </w:p>
    <w:p w:rsidR="005A3387" w:rsidRPr="00DC6D6C" w:rsidRDefault="00A46200" w:rsidP="00DC6D6C">
      <w:pPr>
        <w:widowControl w:val="0"/>
        <w:autoSpaceDE w:val="0"/>
        <w:autoSpaceDN w:val="0"/>
        <w:adjustRightInd w:val="0"/>
        <w:ind w:firstLine="709"/>
      </w:pPr>
      <w:r w:rsidRPr="00DC6D6C">
        <w:t>При выбытии объекта (объектов</w:t>
      </w:r>
      <w:r w:rsidR="00DC6D6C" w:rsidRPr="00DC6D6C">
        <w:t xml:space="preserve">) </w:t>
      </w:r>
      <w:r w:rsidRPr="00DC6D6C">
        <w:t>налогообложения после 15-го числа текущего налогового периода сумма налога исчисляется как произведение общего количества соответствующих объектов налогообложения (включая выбывший объект (объекты</w:t>
      </w:r>
      <w:r w:rsidR="00DC6D6C" w:rsidRPr="00DC6D6C">
        <w:t xml:space="preserve">) </w:t>
      </w:r>
      <w:r w:rsidRPr="00DC6D6C">
        <w:t>налогообложения</w:t>
      </w:r>
      <w:r w:rsidR="00DC6D6C" w:rsidRPr="00DC6D6C">
        <w:t xml:space="preserve">) </w:t>
      </w:r>
      <w:r w:rsidRPr="00DC6D6C">
        <w:t>и ставки налога, установленной для этих объектов налогообложения</w:t>
      </w:r>
      <w:r w:rsidR="00DC6D6C" w:rsidRPr="00DC6D6C">
        <w:t xml:space="preserve">. </w:t>
      </w:r>
    </w:p>
    <w:p w:rsidR="005A3387" w:rsidRPr="00DC6D6C" w:rsidRDefault="00A46200" w:rsidP="00DC6D6C">
      <w:pPr>
        <w:widowControl w:val="0"/>
        <w:autoSpaceDE w:val="0"/>
        <w:autoSpaceDN w:val="0"/>
        <w:adjustRightInd w:val="0"/>
        <w:ind w:firstLine="709"/>
      </w:pPr>
      <w:r w:rsidRPr="00DC6D6C">
        <w:t>Порядок уплаты налога и отчетность</w:t>
      </w:r>
      <w:r w:rsidR="00DC6D6C" w:rsidRPr="00DC6D6C">
        <w:t xml:space="preserve">. </w:t>
      </w:r>
      <w:r w:rsidR="005A3387" w:rsidRPr="00DC6D6C">
        <w:t>Налог, подлежащий уплате по итогам налогового периода, уплачивается налогоплательщиком по месту регистрации в налоговом органе объектов налогообложения</w:t>
      </w:r>
      <w:r w:rsidRPr="00DC6D6C">
        <w:t xml:space="preserve"> </w:t>
      </w:r>
      <w:r w:rsidR="005A3387" w:rsidRPr="00DC6D6C">
        <w:t>не позднее срока, установленного для подачи налоговой декларации за соответствующий налоговый период</w:t>
      </w:r>
      <w:r w:rsidR="00DC6D6C" w:rsidRPr="00DC6D6C">
        <w:t xml:space="preserve">. </w:t>
      </w:r>
    </w:p>
    <w:p w:rsidR="00A46200" w:rsidRPr="00DC6D6C" w:rsidRDefault="00A46200" w:rsidP="00DC6D6C">
      <w:pPr>
        <w:widowControl w:val="0"/>
        <w:autoSpaceDE w:val="0"/>
        <w:autoSpaceDN w:val="0"/>
        <w:adjustRightInd w:val="0"/>
        <w:ind w:firstLine="709"/>
      </w:pPr>
      <w:r w:rsidRPr="00DC6D6C">
        <w:t>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не позднее 20-го числа месяца, следующего за истекшим налоговым периодом</w:t>
      </w:r>
      <w:r w:rsidR="00DC6D6C" w:rsidRPr="00DC6D6C">
        <w:t xml:space="preserve">. </w:t>
      </w:r>
      <w:r w:rsidRPr="00DC6D6C">
        <w:t>Форма налоговой декларации утверждается Министерством финансов Российской Федерации</w:t>
      </w:r>
      <w:r w:rsidR="00DC6D6C" w:rsidRPr="00DC6D6C">
        <w:t xml:space="preserve">. </w:t>
      </w:r>
      <w:r w:rsidRPr="00DC6D6C">
        <w:t>Налоговая декларация заполняется налогоплательщиком с учетом изменения количества объектов налогообложения за истекший налоговый период</w:t>
      </w:r>
      <w:r w:rsidR="00DC6D6C" w:rsidRPr="00DC6D6C">
        <w:t xml:space="preserve">. </w:t>
      </w:r>
    </w:p>
    <w:p w:rsidR="00051BCC" w:rsidRP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 xml:space="preserve">Налоговая декларация заполняется налогоплательщиком за каждый налоговый период, </w:t>
      </w:r>
      <w:r w:rsidR="00DC6D6C" w:rsidRPr="00DC6D6C">
        <w:t xml:space="preserve">т.е. </w:t>
      </w:r>
      <w:r w:rsidRPr="00DC6D6C">
        <w:t>с учетом изменения количества объектов налогообложения за истекший налоговый период</w:t>
      </w:r>
      <w:r w:rsidR="00DC6D6C" w:rsidRPr="00DC6D6C">
        <w:t xml:space="preserve">. </w:t>
      </w:r>
    </w:p>
    <w:p w:rsidR="00DC6D6C" w:rsidRDefault="00051BCC" w:rsidP="00DC6D6C">
      <w:pPr>
        <w:widowControl w:val="0"/>
        <w:autoSpaceDE w:val="0"/>
        <w:autoSpaceDN w:val="0"/>
        <w:adjustRightInd w:val="0"/>
        <w:ind w:firstLine="709"/>
      </w:pPr>
      <w:r w:rsidRPr="00DC6D6C">
        <w:t>Пример расчета рассмотрен</w:t>
      </w:r>
      <w:r w:rsidR="00DC6D6C" w:rsidRPr="00DC6D6C">
        <w:t xml:space="preserve"> </w:t>
      </w:r>
      <w:r w:rsidRPr="00DC6D6C">
        <w:t>в Приложении №2</w:t>
      </w:r>
      <w:r w:rsidR="00DC6D6C" w:rsidRPr="00DC6D6C">
        <w:t xml:space="preserve">. </w:t>
      </w:r>
    </w:p>
    <w:p w:rsidR="00DC6D6C" w:rsidRDefault="00DC6D6C" w:rsidP="00DC6D6C">
      <w:pPr>
        <w:widowControl w:val="0"/>
        <w:autoSpaceDE w:val="0"/>
        <w:autoSpaceDN w:val="0"/>
        <w:adjustRightInd w:val="0"/>
        <w:ind w:firstLine="709"/>
      </w:pPr>
    </w:p>
    <w:p w:rsidR="0047529E" w:rsidRPr="00DC6D6C" w:rsidRDefault="00AE2F8A" w:rsidP="00AE2F8A">
      <w:pPr>
        <w:pStyle w:val="2"/>
      </w:pPr>
      <w:r>
        <w:br w:type="page"/>
      </w:r>
      <w:bookmarkStart w:id="3" w:name="_Toc225402546"/>
      <w:r w:rsidR="0047529E" w:rsidRPr="00DC6D6C">
        <w:t>СПИСОК ИСПОЛЬЗУЕМОЙ ЛИТЕРАТУРЫ</w:t>
      </w:r>
      <w:bookmarkEnd w:id="3"/>
    </w:p>
    <w:p w:rsidR="00AE2F8A" w:rsidRDefault="00AE2F8A" w:rsidP="00DC6D6C">
      <w:pPr>
        <w:widowControl w:val="0"/>
        <w:autoSpaceDE w:val="0"/>
        <w:autoSpaceDN w:val="0"/>
        <w:adjustRightInd w:val="0"/>
        <w:ind w:firstLine="709"/>
      </w:pPr>
    </w:p>
    <w:p w:rsidR="0047529E" w:rsidRPr="00DC6D6C" w:rsidRDefault="0047529E" w:rsidP="00AE2F8A">
      <w:pPr>
        <w:pStyle w:val="a1"/>
        <w:tabs>
          <w:tab w:val="left" w:pos="560"/>
        </w:tabs>
        <w:ind w:firstLine="0"/>
      </w:pPr>
      <w:r w:rsidRPr="00DC6D6C">
        <w:t xml:space="preserve">Налоговый кодекс Российской Федерации </w:t>
      </w:r>
    </w:p>
    <w:p w:rsidR="0047529E" w:rsidRPr="00DC6D6C" w:rsidRDefault="0047529E" w:rsidP="00AE2F8A">
      <w:pPr>
        <w:pStyle w:val="a1"/>
        <w:tabs>
          <w:tab w:val="left" w:pos="560"/>
        </w:tabs>
        <w:ind w:firstLine="0"/>
      </w:pPr>
      <w:r w:rsidRPr="00DC6D6C">
        <w:t>Налоги, налогообложение и налоговое</w:t>
      </w:r>
      <w:r w:rsidR="00DC6D6C" w:rsidRPr="00DC6D6C">
        <w:t xml:space="preserve"> </w:t>
      </w:r>
      <w:r w:rsidRPr="00DC6D6C">
        <w:t>законодательство</w:t>
      </w:r>
      <w:r w:rsidR="00DC6D6C" w:rsidRPr="00DC6D6C">
        <w:t xml:space="preserve"> </w:t>
      </w:r>
      <w:r w:rsidRPr="00DC6D6C">
        <w:t>/ Под ред</w:t>
      </w:r>
      <w:r w:rsidR="00DC6D6C" w:rsidRPr="00DC6D6C">
        <w:t xml:space="preserve">. </w:t>
      </w:r>
      <w:r w:rsidRPr="00DC6D6C">
        <w:t>Евстигнеева Е</w:t>
      </w:r>
      <w:r w:rsidR="00DC6D6C">
        <w:t xml:space="preserve">.Н. </w:t>
      </w:r>
      <w:r w:rsidRPr="00DC6D6C">
        <w:t>– СПб</w:t>
      </w:r>
      <w:r w:rsidR="00DC6D6C" w:rsidRPr="00DC6D6C">
        <w:t xml:space="preserve">: </w:t>
      </w:r>
      <w:r w:rsidRPr="00DC6D6C">
        <w:t>Питер, 2000</w:t>
      </w:r>
      <w:r w:rsidR="00DC6D6C" w:rsidRPr="00DC6D6C">
        <w:t xml:space="preserve">. </w:t>
      </w:r>
    </w:p>
    <w:p w:rsidR="0047529E" w:rsidRPr="00DC6D6C" w:rsidRDefault="0047529E" w:rsidP="00AE2F8A">
      <w:pPr>
        <w:pStyle w:val="a1"/>
        <w:tabs>
          <w:tab w:val="left" w:pos="560"/>
        </w:tabs>
        <w:ind w:firstLine="0"/>
      </w:pPr>
      <w:r w:rsidRPr="00DC6D6C">
        <w:t>Приказ МНС от 09</w:t>
      </w:r>
      <w:r w:rsidR="00DC6D6C">
        <w:t>.04. 20</w:t>
      </w:r>
      <w:r w:rsidRPr="00DC6D6C">
        <w:t>03 №БГ-3-21/177 «Методические рекомендации по применению главы 28 Налогового кодекса»</w:t>
      </w:r>
    </w:p>
    <w:p w:rsidR="0047529E" w:rsidRPr="00DC6D6C" w:rsidRDefault="0047529E" w:rsidP="00AE2F8A">
      <w:pPr>
        <w:pStyle w:val="a1"/>
        <w:tabs>
          <w:tab w:val="left" w:pos="560"/>
        </w:tabs>
        <w:ind w:firstLine="0"/>
      </w:pPr>
      <w:r w:rsidRPr="00DC6D6C">
        <w:t>Приказ Министерства финансов РФ от 13 апреля 2006 г</w:t>
      </w:r>
      <w:r w:rsidR="00DC6D6C" w:rsidRPr="00DC6D6C">
        <w:t xml:space="preserve">. </w:t>
      </w:r>
      <w:r w:rsidRPr="00DC6D6C">
        <w:t>№ 65 н</w:t>
      </w:r>
      <w:r w:rsidR="00D30AFF" w:rsidRPr="00DC6D6C">
        <w:t xml:space="preserve"> (в ред</w:t>
      </w:r>
      <w:r w:rsidR="00DC6D6C" w:rsidRPr="00DC6D6C">
        <w:t xml:space="preserve">. </w:t>
      </w:r>
      <w:r w:rsidR="00D30AFF" w:rsidRPr="00DC6D6C">
        <w:t>от 19</w:t>
      </w:r>
      <w:r w:rsidR="00DC6D6C">
        <w:t>.12. 20</w:t>
      </w:r>
      <w:r w:rsidR="00D30AFF" w:rsidRPr="00DC6D6C">
        <w:t>06 N 180н</w:t>
      </w:r>
      <w:r w:rsidR="00DC6D6C">
        <w:t>)"</w:t>
      </w:r>
      <w:r w:rsidRPr="00DC6D6C">
        <w:t>Об утверждении формы налоговой декларации</w:t>
      </w:r>
      <w:r w:rsidR="00D30AFF" w:rsidRPr="00DC6D6C">
        <w:t xml:space="preserve"> по транспортному налогу и порядок ее заполнения»</w:t>
      </w:r>
    </w:p>
    <w:p w:rsidR="00DC6D6C" w:rsidRDefault="00D30AFF" w:rsidP="00AE2F8A">
      <w:pPr>
        <w:pStyle w:val="a1"/>
        <w:tabs>
          <w:tab w:val="left" w:pos="560"/>
        </w:tabs>
        <w:ind w:firstLine="0"/>
      </w:pPr>
      <w:r w:rsidRPr="00DC6D6C">
        <w:t>Приказ Министерства финансов РФ от 1 ноября 2004 г</w:t>
      </w:r>
      <w:r w:rsidR="00DC6D6C" w:rsidRPr="00DC6D6C">
        <w:t xml:space="preserve">. </w:t>
      </w:r>
      <w:r w:rsidRPr="00DC6D6C">
        <w:t>№ 97 н (в редакции от 16</w:t>
      </w:r>
      <w:r w:rsidR="00DC6D6C">
        <w:t>.11. 20</w:t>
      </w:r>
      <w:r w:rsidRPr="00DC6D6C">
        <w:t>06 N 147н</w:t>
      </w:r>
      <w:r w:rsidR="00DC6D6C">
        <w:t>)"</w:t>
      </w:r>
      <w:r w:rsidRPr="00DC6D6C">
        <w:t>Об утверждении формы налоговой декларации по налогу на игорный бизнес и</w:t>
      </w:r>
      <w:r w:rsidR="00DC6D6C" w:rsidRPr="00DC6D6C">
        <w:t xml:space="preserve"> </w:t>
      </w:r>
      <w:r w:rsidRPr="00DC6D6C">
        <w:t>порядок ее заполнения</w:t>
      </w:r>
    </w:p>
    <w:p w:rsidR="00CC715F" w:rsidRPr="00DC6D6C" w:rsidRDefault="00CC715F" w:rsidP="00AE2F8A">
      <w:pPr>
        <w:pStyle w:val="a1"/>
        <w:tabs>
          <w:tab w:val="left" w:pos="560"/>
        </w:tabs>
        <w:ind w:firstLine="0"/>
      </w:pPr>
      <w:bookmarkStart w:id="4" w:name="_GoBack"/>
      <w:bookmarkEnd w:id="4"/>
    </w:p>
    <w:sectPr w:rsidR="00CC715F" w:rsidRPr="00DC6D6C" w:rsidSect="00DC6D6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D4" w:rsidRDefault="00F931D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931D4" w:rsidRDefault="00F931D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A2" w:rsidRDefault="00101FA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A2" w:rsidRDefault="00101F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D4" w:rsidRDefault="00F931D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931D4" w:rsidRDefault="00F931D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A2" w:rsidRDefault="00660B4A" w:rsidP="009F0DE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01FA2" w:rsidRDefault="00101FA2" w:rsidP="000D49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A2" w:rsidRDefault="00101F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B451C"/>
    <w:multiLevelType w:val="hybridMultilevel"/>
    <w:tmpl w:val="2E70EB9C"/>
    <w:lvl w:ilvl="0" w:tplc="09E6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720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CED"/>
    <w:rsid w:val="0004475C"/>
    <w:rsid w:val="00051BCC"/>
    <w:rsid w:val="000D490D"/>
    <w:rsid w:val="00101FA2"/>
    <w:rsid w:val="00207ECB"/>
    <w:rsid w:val="002213C8"/>
    <w:rsid w:val="00294D27"/>
    <w:rsid w:val="002B3325"/>
    <w:rsid w:val="002E59C2"/>
    <w:rsid w:val="00341404"/>
    <w:rsid w:val="003910A3"/>
    <w:rsid w:val="003D791B"/>
    <w:rsid w:val="00420577"/>
    <w:rsid w:val="0047529E"/>
    <w:rsid w:val="004B5FF8"/>
    <w:rsid w:val="005852AD"/>
    <w:rsid w:val="005A3387"/>
    <w:rsid w:val="006333F6"/>
    <w:rsid w:val="00660B4A"/>
    <w:rsid w:val="00790DB0"/>
    <w:rsid w:val="007A022A"/>
    <w:rsid w:val="007A0C0E"/>
    <w:rsid w:val="00800739"/>
    <w:rsid w:val="00894513"/>
    <w:rsid w:val="008D73B6"/>
    <w:rsid w:val="00905AE4"/>
    <w:rsid w:val="00907236"/>
    <w:rsid w:val="009F0DEF"/>
    <w:rsid w:val="00A15299"/>
    <w:rsid w:val="00A46200"/>
    <w:rsid w:val="00AE2F8A"/>
    <w:rsid w:val="00B20EF3"/>
    <w:rsid w:val="00B563BB"/>
    <w:rsid w:val="00BC5CED"/>
    <w:rsid w:val="00BF3228"/>
    <w:rsid w:val="00C653B6"/>
    <w:rsid w:val="00C82D76"/>
    <w:rsid w:val="00C904DA"/>
    <w:rsid w:val="00C960F2"/>
    <w:rsid w:val="00C96771"/>
    <w:rsid w:val="00CC715F"/>
    <w:rsid w:val="00CD7DC7"/>
    <w:rsid w:val="00D15E3C"/>
    <w:rsid w:val="00D30AFF"/>
    <w:rsid w:val="00DC6D6C"/>
    <w:rsid w:val="00E86CE9"/>
    <w:rsid w:val="00ED5812"/>
    <w:rsid w:val="00F00431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B6FFBF-CE74-47F5-BED5-C0802F1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C6D6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6D6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6D6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C6D6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6D6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6D6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6D6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6D6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6D6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BC5C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213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7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uiPriority w:val="99"/>
    <w:rsid w:val="00C653B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header"/>
    <w:basedOn w:val="a2"/>
    <w:next w:val="a8"/>
    <w:link w:val="a9"/>
    <w:uiPriority w:val="99"/>
    <w:rsid w:val="00DC6D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DC6D6C"/>
    <w:rPr>
      <w:sz w:val="28"/>
      <w:szCs w:val="28"/>
      <w:vertAlign w:val="superscript"/>
    </w:rPr>
  </w:style>
  <w:style w:type="character" w:styleId="ab">
    <w:name w:val="page number"/>
    <w:uiPriority w:val="99"/>
    <w:rsid w:val="00DC6D6C"/>
  </w:style>
  <w:style w:type="paragraph" w:styleId="a8">
    <w:name w:val="Body Text"/>
    <w:basedOn w:val="a2"/>
    <w:link w:val="ac"/>
    <w:uiPriority w:val="99"/>
    <w:rsid w:val="00DC6D6C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DC6D6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C6D6C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DC6D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C6D6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C6D6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C6D6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C6D6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DC6D6C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DC6D6C"/>
    <w:rPr>
      <w:sz w:val="28"/>
      <w:szCs w:val="28"/>
    </w:rPr>
  </w:style>
  <w:style w:type="paragraph" w:styleId="af4">
    <w:name w:val="Normal (Web)"/>
    <w:basedOn w:val="a2"/>
    <w:uiPriority w:val="99"/>
    <w:rsid w:val="00DC6D6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C6D6C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DC6D6C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6D6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6D6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6D6C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DC6D6C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6D6C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C6D6C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C6D6C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C6D6C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6D6C"/>
    <w:rPr>
      <w:i/>
      <w:iCs/>
    </w:rPr>
  </w:style>
  <w:style w:type="paragraph" w:customStyle="1" w:styleId="af5">
    <w:name w:val="схема"/>
    <w:basedOn w:val="a2"/>
    <w:uiPriority w:val="99"/>
    <w:rsid w:val="00DC6D6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DC6D6C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DC6D6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DC6D6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ГОУ ВПО</vt:lpstr>
    </vt:vector>
  </TitlesOfParts>
  <Company>comp</Company>
  <LinksUpToDate>false</LinksUpToDate>
  <CharactersWithSpaces>24908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ГОУ ВПО</dc:title>
  <dc:subject/>
  <dc:creator>comp</dc:creator>
  <cp:keywords/>
  <dc:description/>
  <cp:lastModifiedBy>admin</cp:lastModifiedBy>
  <cp:revision>2</cp:revision>
  <cp:lastPrinted>2007-11-23T17:28:00Z</cp:lastPrinted>
  <dcterms:created xsi:type="dcterms:W3CDTF">2014-03-12T23:08:00Z</dcterms:created>
  <dcterms:modified xsi:type="dcterms:W3CDTF">2014-03-12T23:08:00Z</dcterms:modified>
</cp:coreProperties>
</file>