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9A" w:rsidRDefault="00ED469A" w:rsidP="00ED469A">
      <w:pPr>
        <w:pStyle w:val="1"/>
        <w:ind w:firstLine="720"/>
        <w:jc w:val="both"/>
      </w:pPr>
    </w:p>
    <w:p w:rsidR="00ED469A" w:rsidRDefault="00ED469A" w:rsidP="00ED469A">
      <w:pPr>
        <w:pStyle w:val="1"/>
        <w:ind w:firstLine="720"/>
        <w:jc w:val="both"/>
      </w:pPr>
    </w:p>
    <w:p w:rsidR="00ED469A" w:rsidRDefault="00ED469A" w:rsidP="00ED469A">
      <w:pPr>
        <w:pStyle w:val="1"/>
        <w:ind w:firstLine="720"/>
        <w:jc w:val="both"/>
      </w:pPr>
    </w:p>
    <w:p w:rsidR="00ED469A" w:rsidRDefault="00ED469A" w:rsidP="00ED469A">
      <w:pPr>
        <w:pStyle w:val="1"/>
        <w:ind w:firstLine="720"/>
        <w:jc w:val="both"/>
      </w:pPr>
    </w:p>
    <w:p w:rsidR="00ED469A" w:rsidRDefault="00ED469A" w:rsidP="00ED469A">
      <w:pPr>
        <w:pStyle w:val="1"/>
        <w:ind w:firstLine="720"/>
        <w:jc w:val="both"/>
      </w:pPr>
    </w:p>
    <w:p w:rsidR="00ED469A" w:rsidRDefault="00ED469A" w:rsidP="00ED469A">
      <w:pPr>
        <w:pStyle w:val="1"/>
        <w:ind w:firstLine="720"/>
        <w:jc w:val="both"/>
      </w:pPr>
    </w:p>
    <w:p w:rsidR="00ED469A" w:rsidRDefault="00ED469A" w:rsidP="00ED469A">
      <w:pPr>
        <w:pStyle w:val="1"/>
        <w:ind w:firstLine="720"/>
        <w:jc w:val="both"/>
      </w:pPr>
    </w:p>
    <w:p w:rsidR="00ED469A" w:rsidRDefault="00ED469A" w:rsidP="00ED469A">
      <w:pPr>
        <w:pStyle w:val="1"/>
        <w:ind w:firstLine="720"/>
        <w:jc w:val="both"/>
      </w:pPr>
    </w:p>
    <w:p w:rsidR="00ED469A" w:rsidRDefault="00ED469A" w:rsidP="00ED469A">
      <w:pPr>
        <w:pStyle w:val="1"/>
        <w:ind w:firstLine="720"/>
        <w:jc w:val="both"/>
      </w:pPr>
    </w:p>
    <w:p w:rsidR="00ED469A" w:rsidRDefault="00ED469A" w:rsidP="00ED469A">
      <w:pPr>
        <w:pStyle w:val="1"/>
        <w:ind w:firstLine="720"/>
        <w:jc w:val="both"/>
      </w:pPr>
    </w:p>
    <w:p w:rsidR="00ED469A" w:rsidRDefault="00ED469A" w:rsidP="00ED469A">
      <w:pPr>
        <w:pStyle w:val="1"/>
        <w:ind w:firstLine="720"/>
        <w:jc w:val="both"/>
      </w:pPr>
    </w:p>
    <w:p w:rsidR="00ED469A" w:rsidRDefault="00ED469A" w:rsidP="00ED469A">
      <w:pPr>
        <w:pStyle w:val="1"/>
        <w:ind w:firstLine="720"/>
        <w:jc w:val="both"/>
      </w:pPr>
    </w:p>
    <w:p w:rsidR="00ED469A" w:rsidRDefault="00ED469A" w:rsidP="00ED469A">
      <w:pPr>
        <w:pStyle w:val="1"/>
        <w:ind w:firstLine="720"/>
        <w:jc w:val="both"/>
      </w:pPr>
    </w:p>
    <w:p w:rsidR="00ED469A" w:rsidRDefault="00950CC1" w:rsidP="00ED469A">
      <w:pPr>
        <w:pStyle w:val="1"/>
        <w:ind w:firstLine="720"/>
      </w:pPr>
      <w:r>
        <w:t>Учет нематериальных активов</w:t>
      </w:r>
    </w:p>
    <w:p w:rsidR="00533CD8" w:rsidRPr="00950CC1" w:rsidRDefault="00ED469A" w:rsidP="00950CC1">
      <w:pPr>
        <w:ind w:firstLine="720"/>
        <w:rPr>
          <w:sz w:val="28"/>
          <w:szCs w:val="28"/>
        </w:rPr>
      </w:pPr>
      <w:r>
        <w:br w:type="page"/>
      </w:r>
      <w:r w:rsidR="00533CD8" w:rsidRPr="00950CC1">
        <w:rPr>
          <w:sz w:val="28"/>
          <w:szCs w:val="28"/>
        </w:rPr>
        <w:t>СОДЕРЖАНИЕ</w:t>
      </w:r>
    </w:p>
    <w:p w:rsidR="00533CD8" w:rsidRPr="00950CC1" w:rsidRDefault="00533CD8" w:rsidP="00ED469A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533CD8" w:rsidRDefault="00533CD8" w:rsidP="00ED469A">
      <w:pPr>
        <w:pStyle w:val="a3"/>
        <w:numPr>
          <w:ilvl w:val="0"/>
          <w:numId w:val="2"/>
        </w:numPr>
        <w:tabs>
          <w:tab w:val="left" w:pos="426"/>
        </w:tabs>
        <w:ind w:left="0" w:firstLine="0"/>
      </w:pPr>
      <w:r>
        <w:t>Учет нематериальных активов</w:t>
      </w:r>
    </w:p>
    <w:p w:rsidR="00533CD8" w:rsidRDefault="00533CD8" w:rsidP="00ED469A">
      <w:pPr>
        <w:pStyle w:val="a3"/>
        <w:numPr>
          <w:ilvl w:val="0"/>
          <w:numId w:val="2"/>
        </w:numPr>
        <w:tabs>
          <w:tab w:val="left" w:pos="426"/>
        </w:tabs>
        <w:ind w:left="0" w:firstLine="0"/>
      </w:pPr>
      <w:r>
        <w:t xml:space="preserve"> Практическое задание</w:t>
      </w:r>
    </w:p>
    <w:p w:rsidR="00533CD8" w:rsidRDefault="00533CD8" w:rsidP="00ED469A">
      <w:pPr>
        <w:pStyle w:val="a3"/>
        <w:numPr>
          <w:ilvl w:val="0"/>
          <w:numId w:val="2"/>
        </w:numPr>
        <w:tabs>
          <w:tab w:val="left" w:pos="426"/>
        </w:tabs>
        <w:ind w:left="0" w:firstLine="0"/>
      </w:pPr>
      <w:r>
        <w:t>Список литературы</w:t>
      </w:r>
    </w:p>
    <w:p w:rsidR="002D143D" w:rsidRDefault="00ED469A" w:rsidP="00ED469A">
      <w:pPr>
        <w:pStyle w:val="a3"/>
        <w:ind w:firstLine="720"/>
        <w:jc w:val="both"/>
      </w:pPr>
      <w:r>
        <w:br w:type="page"/>
      </w:r>
      <w:r w:rsidR="002D143D">
        <w:t>Счет 04 «Нематериальные активы»</w:t>
      </w:r>
      <w:r>
        <w:t xml:space="preserve"> </w:t>
      </w:r>
      <w:r w:rsidR="002D143D">
        <w:t>предназначен для обобщения информации о наличии и движении нематериальных активов организации.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Учет нематериальных активов осуществляется в соответствии с Положением по бухгалтерскому учету «Учет нематериальных активов» ПБУ 14/2000, утвержденным приказом Минфина России от 16 октября 2000г. № 91н.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отнесения в состав нематериальных активов необходимы следующее выполнение единовременных условий: отсутствие материально-вещественной (физической) структуры; возможность выделения организацией от другого имущества; использование в производстве продукции, при выполнении работ или оказании услуг либо для управленческих нужд организации;</w:t>
      </w:r>
      <w:r w:rsidR="00ED469A">
        <w:rPr>
          <w:sz w:val="28"/>
        </w:rPr>
        <w:t xml:space="preserve"> </w:t>
      </w:r>
      <w:r>
        <w:rPr>
          <w:sz w:val="28"/>
        </w:rPr>
        <w:t>использование в течение длительного времени, то есть срока полезного</w:t>
      </w:r>
      <w:r w:rsidR="00ED469A">
        <w:rPr>
          <w:sz w:val="28"/>
        </w:rPr>
        <w:t xml:space="preserve"> </w:t>
      </w:r>
      <w:r>
        <w:rPr>
          <w:sz w:val="28"/>
        </w:rPr>
        <w:t>использования, продолжительностью свыше 12 месяцев или обычного операционного цикла, если он превышает 12 месяцев; организацией не предполагается последующая перепродажа данного имущества; способность приносить организации экономические выгоды в будущем; наличие надлежаще оформленных документов, подтверждающих</w:t>
      </w:r>
      <w:r w:rsidR="00ED469A">
        <w:rPr>
          <w:sz w:val="28"/>
        </w:rPr>
        <w:t xml:space="preserve"> </w:t>
      </w:r>
      <w:r>
        <w:rPr>
          <w:sz w:val="28"/>
        </w:rPr>
        <w:t>существование самого актива и исключительного права у организации на результаты интеллектуальной деятельности (патенты, свидетельства, другие охранные документы, договор уступки (приобретения) патента, товарного знака и т. п.).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выше перечисленным условиям относятся: исключительное право патентообладателя на изобретение, промышленный образец; полезную модель; исключительное авторское право на программы для ЭВМ, базы данных; имущественное право автора или иного правообладателя, товарный знак и знак обслуживания, наименование места происхождения товаров; исключительное право патентообладателя на селекционные достижения.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составе нематериальных активов учитываются также организационные расходы (расходы, связанные с образованием юридического лица, признанные в соответствии с</w:t>
      </w:r>
      <w:r w:rsidR="00ED469A">
        <w:rPr>
          <w:sz w:val="28"/>
        </w:rPr>
        <w:t xml:space="preserve"> </w:t>
      </w:r>
      <w:r>
        <w:rPr>
          <w:sz w:val="28"/>
        </w:rPr>
        <w:t>учредительными документами частью вклада участников (учредителей) в уставный (складочный) капитал организации) и деловая репутация организации, которая определяется в виде разницы между покупной ценой организации (как приобретенного имущественного комплекса в целом) и стоимостью по</w:t>
      </w:r>
      <w:r w:rsidR="00ED469A">
        <w:rPr>
          <w:sz w:val="28"/>
        </w:rPr>
        <w:t xml:space="preserve"> </w:t>
      </w:r>
      <w:r>
        <w:rPr>
          <w:sz w:val="28"/>
        </w:rPr>
        <w:t>бухгалтерскому балансу всех активов и обязательств на дату покупки (приобретения).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Положительную деловую репутацию организации</w:t>
      </w:r>
      <w:r w:rsidRPr="00533CD8">
        <w:rPr>
          <w:sz w:val="28"/>
        </w:rPr>
        <w:t xml:space="preserve"> </w:t>
      </w:r>
      <w:r>
        <w:rPr>
          <w:sz w:val="28"/>
        </w:rPr>
        <w:t>следует рассматривать как надбавку к цене, уплачиваемую покупателем в ожидании будущих экономических выгод, и учитывать</w:t>
      </w:r>
      <w:r w:rsidR="00ED469A">
        <w:rPr>
          <w:sz w:val="28"/>
        </w:rPr>
        <w:t xml:space="preserve"> </w:t>
      </w:r>
      <w:r>
        <w:rPr>
          <w:sz w:val="28"/>
        </w:rPr>
        <w:t>в качестве отдельного инвентарного объекта.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Отрицательную деловую репутацию организации следует рассматривать как скидку с цены, предоставляемую покупателю в связи с отсутствием факторов наличия стабильных покупателей, репутации качества, навыков маркетинга и сбыта, деловых связей, опыта управления, уровня квалификации персонала и т.п., и учитывать как доход будущих периодов.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Порядок отражения в бухгалтерском учете отрицательной деловой репутации организации следующий: разница между оценочной (начальной) стоимостью организации и покупной ценой, уплачиваемой покупателем при приобретении объектов приватизации на аукционе или по конкурсу учитывается по дебету счета</w:t>
      </w:r>
      <w:r w:rsidR="00ED469A">
        <w:rPr>
          <w:sz w:val="28"/>
        </w:rPr>
        <w:t xml:space="preserve"> </w:t>
      </w:r>
      <w:r>
        <w:rPr>
          <w:sz w:val="28"/>
        </w:rPr>
        <w:t>08 «Вложения во внеоборотные активы» в корреспонденции с кредитом счета 98 «Доходы будущих периодов»; принимают к бухгалтерскому учету в дебет счета 04 «Нематериальные активы»</w:t>
      </w:r>
      <w:r w:rsidR="00ED469A">
        <w:rPr>
          <w:sz w:val="28"/>
        </w:rPr>
        <w:t xml:space="preserve"> </w:t>
      </w:r>
      <w:r>
        <w:rPr>
          <w:sz w:val="28"/>
        </w:rPr>
        <w:t>в корреспонденции с кредитом счета 08 «Вложения во внеоборотные активы»; сумму амортизационных отчислений относят в кредит счета 04 «Нематериальные активы» в корреспонденции с дебетом счетов затрат на производство или расходы на продажу. Одновременно дебетуется счет 98 «Доходы будущих периодов» в корреспонденции с кредитом счета 91 «Прочие доходы и расходы», субсчет 1 «Прочие доходы».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состав нематериальных активов не включаются интеллектуальные</w:t>
      </w:r>
      <w:r w:rsidR="00ED469A">
        <w:rPr>
          <w:sz w:val="28"/>
        </w:rPr>
        <w:t xml:space="preserve"> </w:t>
      </w:r>
      <w:r>
        <w:rPr>
          <w:sz w:val="28"/>
        </w:rPr>
        <w:t>и деловые качества персонала организации, их квалификация и способность к труду, поскольку они неотделимы от</w:t>
      </w:r>
      <w:r w:rsidR="00ED469A">
        <w:rPr>
          <w:sz w:val="28"/>
        </w:rPr>
        <w:t xml:space="preserve"> </w:t>
      </w:r>
      <w:r>
        <w:rPr>
          <w:sz w:val="28"/>
        </w:rPr>
        <w:t>своих носителей и не могут быть использованы без них. Нематериальные активы принимают к бухгалтерскому учету на счет 04 «Нематериальные активы» по первоначальной стоимости, которая определяется:</w:t>
      </w:r>
    </w:p>
    <w:p w:rsidR="002D143D" w:rsidRDefault="002D143D" w:rsidP="00ED469A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для нематериальных активов, приобретенных за плату – исходя из</w:t>
      </w:r>
      <w:r w:rsidR="00ED469A">
        <w:rPr>
          <w:sz w:val="28"/>
        </w:rPr>
        <w:t xml:space="preserve"> </w:t>
      </w:r>
      <w:r>
        <w:rPr>
          <w:sz w:val="28"/>
        </w:rPr>
        <w:t>фактических</w:t>
      </w:r>
      <w:r w:rsidR="00ED469A">
        <w:rPr>
          <w:sz w:val="28"/>
        </w:rPr>
        <w:t xml:space="preserve"> </w:t>
      </w:r>
      <w:r>
        <w:rPr>
          <w:sz w:val="28"/>
        </w:rPr>
        <w:t>произведенных расходов на приобретение за исключением налога на добавленную стоимость и иных возмещаемых законодательством Российской Федерации. Фактическими расходами на приобретение нематериальных активов являются: суммы, уплачиваемые в соответствии с договором уступки (приобретения) прав правообладателю (продавцу); суммы, уплачиваемые организациям за информационные и консультационные услуги, вязанные с приобретением нематериальных активов; регистрационные сборы, таможенные пошлины, патентные пошлины и другие аналогичные платежи, произведенные в связи с уступкой (приобретением) исключительных прав правообладателя; не возмещаемые налоги, уплачиваемые в связи</w:t>
      </w:r>
      <w:r w:rsidR="00ED469A">
        <w:rPr>
          <w:sz w:val="28"/>
        </w:rPr>
        <w:t xml:space="preserve"> </w:t>
      </w:r>
      <w:r>
        <w:rPr>
          <w:sz w:val="28"/>
        </w:rPr>
        <w:t>с приобретением объекта нематериальных активов; вознаграждения, уплачиваемые посреднической организацией, через которую приобретен объект нематериальных активов; иные расходы, непосредственно связанные с приобретением нематериальных активов. Дополнительные расходы организации, произведенные на приведение</w:t>
      </w:r>
      <w:r w:rsidR="00ED469A">
        <w:rPr>
          <w:sz w:val="28"/>
        </w:rPr>
        <w:t xml:space="preserve"> </w:t>
      </w:r>
      <w:r>
        <w:rPr>
          <w:sz w:val="28"/>
        </w:rPr>
        <w:t xml:space="preserve">приобретенных объектов нематериальных активов в состояние, в котором они пригодны к использованию в запланированных целях, увеличивают их первоначальную стоимость; </w:t>
      </w:r>
    </w:p>
    <w:p w:rsidR="002D143D" w:rsidRDefault="002D143D" w:rsidP="00ED469A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для нематериальных активов, созданных самой организацией – исходя из сумм фактических расходов на создание, изготовление (стоимость израсходованных материальных ресурсов, оплата труда, услуги сторонних организаций по соисполнительским договорам, патентные пошлины, связанные с получением патентов, свидетельств и т.п.) за исключением налога на добавленную стоимость и иных возмещаемых налогов (кроме случаев, предусмотренных законодательством Российской Федерации). Нематериальные активы считаются созданными организацией в случае, если исключительное право на результаты интеллектуальной деятельности, полученное впорядке выполнения служебных обязанностей или по конкретному заданию работодателя, принадлежит организации-работодателю; исключительное право на интеллектуальную деятельность, полученное автором (авторами) по договору с заказчиком, не являющимся работодателем, принадлежит организации-заказчику; свидетельство на товарный знак или на право пользования наименованием места происхождения товара выдано на имя организации. Не включаются в фактические расходы на приобретение, создание нематериальных активов общехозяйственные и иные аналогичные расходы, кроме случаев, когда они непосредственно связаны с приобретением или созданием нематериальных активов;</w:t>
      </w:r>
    </w:p>
    <w:p w:rsidR="002D143D" w:rsidRDefault="002D143D" w:rsidP="00ED469A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для нематериальных активов, внесенных в счет вклада в уставный капитал организации – исходя из их денежной оценки, согласованной учредителями (участниками) организации, если иное не предусмотрено законодательством Российской Федерации;</w:t>
      </w:r>
    </w:p>
    <w:p w:rsidR="002D143D" w:rsidRPr="00ED469A" w:rsidRDefault="002D143D" w:rsidP="00ED469A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</w:rPr>
        <w:t>для нематериальных активов, полученных по договорам, предусматривающим исполнение обязательств (оплату) не</w:t>
      </w:r>
      <w:r w:rsidR="00ED469A">
        <w:rPr>
          <w:sz w:val="28"/>
        </w:rPr>
        <w:t xml:space="preserve"> </w:t>
      </w:r>
      <w:r>
        <w:rPr>
          <w:sz w:val="28"/>
        </w:rPr>
        <w:t>денежными средствами – исходя из стоимости товаров (ценностей) переданных или подлежащих передаче организацией. Стоимость товаров (ценностей), переданных</w:t>
      </w:r>
      <w:r w:rsidR="00ED469A">
        <w:rPr>
          <w:sz w:val="28"/>
        </w:rPr>
        <w:t xml:space="preserve"> </w:t>
      </w:r>
      <w:r>
        <w:rPr>
          <w:sz w:val="28"/>
        </w:rPr>
        <w:t>или подлежащих передаче организацией, устанавливают исходя из цены, по которой в сравнимых обстоятельствах обычно организация определяет</w:t>
      </w:r>
      <w:r w:rsidR="00ED469A">
        <w:rPr>
          <w:sz w:val="28"/>
        </w:rPr>
        <w:t xml:space="preserve"> </w:t>
      </w:r>
      <w:r>
        <w:rPr>
          <w:sz w:val="28"/>
        </w:rPr>
        <w:t xml:space="preserve">стоимость аналогичных товаров (ценностей). При невозможности установить стоимость таких товаров, величина стоимости нематериальных </w:t>
      </w:r>
      <w:r w:rsidRPr="00ED469A">
        <w:rPr>
          <w:sz w:val="28"/>
          <w:szCs w:val="28"/>
        </w:rPr>
        <w:t>активов, полученных организацией, устанавливается исходя из цены, по которой в сравнимых обстоятельствах приобретаются аналогичные нематериальные активы.</w:t>
      </w:r>
      <w:r w:rsidR="00ED469A" w:rsidRPr="00ED469A">
        <w:rPr>
          <w:sz w:val="28"/>
          <w:szCs w:val="28"/>
        </w:rPr>
        <w:t xml:space="preserve"> </w:t>
      </w:r>
      <w:r w:rsidRPr="00ED469A">
        <w:rPr>
          <w:sz w:val="28"/>
          <w:szCs w:val="28"/>
        </w:rPr>
        <w:t>Стоимость нематериальных активов, по которой они приняты к бухгалтерскому учету, не подлежит изменению, кроме случаев, установленных законодательством</w:t>
      </w:r>
      <w:r w:rsidR="00ED469A" w:rsidRPr="00ED469A">
        <w:rPr>
          <w:sz w:val="28"/>
          <w:szCs w:val="28"/>
        </w:rPr>
        <w:t xml:space="preserve"> </w:t>
      </w:r>
      <w:r w:rsidRPr="00ED469A">
        <w:rPr>
          <w:sz w:val="28"/>
          <w:szCs w:val="28"/>
        </w:rPr>
        <w:t>РФ.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Оценка нематериальных активов, стоимость которых при приобретении определена в иностранной валюте, производится в рублях</w:t>
      </w:r>
      <w:r w:rsidR="00ED469A">
        <w:rPr>
          <w:sz w:val="28"/>
        </w:rPr>
        <w:t xml:space="preserve"> </w:t>
      </w:r>
      <w:r>
        <w:rPr>
          <w:sz w:val="28"/>
        </w:rPr>
        <w:t>путем пересчета валюты по курсу Центрального банка РФ, действующему на дату приобретения организацией объектов по праву собственности, хозяйственного ведения, оперативного управления.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организация получила права на использование объектов интеллектуальной собственности (кроме права пользования наименованием места происхождения товара), то такие объекты нематериальных активов учитываются на забалансовом счете в оценке принятой в договоре. При этом платежи</w:t>
      </w:r>
      <w:r w:rsidR="00ED469A">
        <w:rPr>
          <w:sz w:val="28"/>
        </w:rPr>
        <w:t xml:space="preserve"> </w:t>
      </w:r>
      <w:r>
        <w:rPr>
          <w:sz w:val="28"/>
        </w:rPr>
        <w:t>за предоставление права пользования объектами интеллектуальной собственности, производимые в виде периодических платежей, включая авторские вознаграждения, исчисляемые и уплачиваемые в порядке и сроки, установленные договором, включаются в</w:t>
      </w:r>
      <w:r w:rsidR="00ED469A">
        <w:rPr>
          <w:sz w:val="28"/>
        </w:rPr>
        <w:t xml:space="preserve"> </w:t>
      </w:r>
      <w:r>
        <w:rPr>
          <w:sz w:val="28"/>
        </w:rPr>
        <w:t>расходы отчетного периода, а платежи за предоставленное право пользования объектами интеллектуальной собственности, производимые в виде фиксированного разового платежа, включая авторские вознаграждения, отражаются в бухгалтерском учете</w:t>
      </w:r>
      <w:r w:rsidR="00ED469A">
        <w:rPr>
          <w:sz w:val="28"/>
        </w:rPr>
        <w:t xml:space="preserve"> </w:t>
      </w:r>
      <w:r>
        <w:rPr>
          <w:sz w:val="28"/>
        </w:rPr>
        <w:t>как расходы будущих периодов (кредит счета денежных средств 50,51,52 в корреспонденции с дебетом счета 97 «Расходы будущих периодов») и подлежат списанию в течение срока действия договора.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организация правообладатель и пользователь объектами интеллектуальной собственности передала права на</w:t>
      </w:r>
      <w:r w:rsidR="00ED469A">
        <w:rPr>
          <w:sz w:val="28"/>
        </w:rPr>
        <w:t xml:space="preserve"> </w:t>
      </w:r>
      <w:r>
        <w:rPr>
          <w:sz w:val="28"/>
        </w:rPr>
        <w:t>использование этими объектами другой организации, то эти объекты не</w:t>
      </w:r>
      <w:r w:rsidR="00ED469A">
        <w:rPr>
          <w:sz w:val="28"/>
        </w:rPr>
        <w:t xml:space="preserve"> </w:t>
      </w:r>
      <w:r>
        <w:rPr>
          <w:sz w:val="28"/>
        </w:rPr>
        <w:t>списываются с баланса и подлежат учету обособлено.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Стоимость нематериальных активов погашается посредством начисления амортизации.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Амортизационные отчисления по нематериальным активам отражаются в бухгалтерском учете путем накопления соответствующих сумм на счете 05 «Амортизация нематериальных активов» или путем уменьшения первоначальной стоимости объекта.</w:t>
      </w:r>
      <w:r w:rsidR="00ED469A">
        <w:rPr>
          <w:sz w:val="28"/>
        </w:rPr>
        <w:t xml:space="preserve"> </w:t>
      </w:r>
      <w:r>
        <w:rPr>
          <w:sz w:val="28"/>
        </w:rPr>
        <w:t>По объектам нематериальных активов (организационные расходы, деловая репутация) по которым амортизацию учитывают путем уменьшения первоначальной стоимости, начисленные суммы амортизационных отчислений списывают непосредственно в кредит</w:t>
      </w:r>
      <w:r w:rsidR="00ED469A">
        <w:rPr>
          <w:sz w:val="28"/>
        </w:rPr>
        <w:t xml:space="preserve"> </w:t>
      </w:r>
      <w:r>
        <w:rPr>
          <w:sz w:val="28"/>
        </w:rPr>
        <w:t>счета 04 «Нематериальные активы» в корреспонденции с дебетом счетов затрат на производство 20 либо расходы на продажу 44.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амортизационные отчисления по каким-либо нематериальным активам отражаются в бухгалтерском учете путем уменьшения их первоначальной стоимости, то после полного погашения этой стоимости данные объекты продолжают отражаться в бухгалтерском учете (до прекращения срока действия патента, свидетельства, и других охранных документов) в условной оценке, принятой организацией, с отнесением суммы оценки на финансовые результаты организации (дебет счета 04 «Нематериальные активы» в корреспонденции с кредитом счета 99 «Прибыли и убытки»).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Нематериальные активы приобретенные, полученные от других лиц безвозмездно, а также в качестве субсидии правительственного органа, принятые к бухгалтерскому учету, отражаются по дебету счета 04 «Нематериальные активы» в корреспонденции со счетом 08 «Вложения во внеоборотные активы».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выбытии объектов нематериальных активов (продаже, списании, передаче безвозмездно и др.) первоначальную их стоимость, учтенную на счете 04 «Нематериальные активы» уменьшают на сумму начисленной амортизации в корреспонденции со счетом 05 «Амортизация нематериальных активов». Остаточную стоимость выбывших объектов списывают со счета 04 «Нематериальные активы» на счет 91 «Прочие доходы и расходы».</w:t>
      </w:r>
    </w:p>
    <w:p w:rsidR="002D143D" w:rsidRDefault="002D143D" w:rsidP="00ED46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Аналитический учет по счету 04 «Нематериальные активы» ведут по видам и объектам нематериальных активов. Построение аналитического учета должно обеспечивать возможность получения данных о наличии нематериальных активов для составления бухгалтерской отчетности (по видам и т.д.).</w:t>
      </w:r>
    </w:p>
    <w:p w:rsidR="00ED469A" w:rsidRDefault="00ED469A" w:rsidP="00ED469A">
      <w:pPr>
        <w:spacing w:line="360" w:lineRule="auto"/>
        <w:ind w:firstLine="720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9"/>
        <w:gridCol w:w="2166"/>
        <w:gridCol w:w="835"/>
      </w:tblGrid>
      <w:tr w:rsidR="002D143D" w:rsidRPr="00ED469A" w:rsidTr="00ED469A">
        <w:tc>
          <w:tcPr>
            <w:tcW w:w="3969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Содержание операции</w:t>
            </w:r>
          </w:p>
        </w:tc>
        <w:tc>
          <w:tcPr>
            <w:tcW w:w="490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Дебет</w:t>
            </w:r>
          </w:p>
        </w:tc>
        <w:tc>
          <w:tcPr>
            <w:tcW w:w="542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Кредит</w:t>
            </w:r>
          </w:p>
        </w:tc>
      </w:tr>
      <w:tr w:rsidR="002D143D" w:rsidRPr="00ED469A" w:rsidTr="00ED469A">
        <w:trPr>
          <w:trHeight w:val="532"/>
        </w:trPr>
        <w:tc>
          <w:tcPr>
            <w:tcW w:w="3969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Приняты к учету НА, приобретенные за плату у организаций и лиц</w:t>
            </w:r>
          </w:p>
        </w:tc>
        <w:tc>
          <w:tcPr>
            <w:tcW w:w="490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04</w:t>
            </w:r>
          </w:p>
        </w:tc>
        <w:tc>
          <w:tcPr>
            <w:tcW w:w="542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08</w:t>
            </w:r>
          </w:p>
        </w:tc>
      </w:tr>
      <w:tr w:rsidR="002D143D" w:rsidRPr="00ED469A" w:rsidTr="00ED469A">
        <w:trPr>
          <w:trHeight w:val="570"/>
        </w:trPr>
        <w:tc>
          <w:tcPr>
            <w:tcW w:w="3969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Приняты к учету НА, внесенные учредителями в счет вклада</w:t>
            </w:r>
            <w:r w:rsidR="00ED469A" w:rsidRPr="00ED469A">
              <w:t xml:space="preserve"> </w:t>
            </w:r>
            <w:r w:rsidRPr="00ED469A">
              <w:t>в уставный капитал</w:t>
            </w:r>
          </w:p>
        </w:tc>
        <w:tc>
          <w:tcPr>
            <w:tcW w:w="490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04</w:t>
            </w:r>
          </w:p>
        </w:tc>
        <w:tc>
          <w:tcPr>
            <w:tcW w:w="542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08</w:t>
            </w:r>
          </w:p>
        </w:tc>
      </w:tr>
      <w:tr w:rsidR="002D143D" w:rsidRPr="00ED469A" w:rsidTr="00ED469A">
        <w:trPr>
          <w:trHeight w:val="481"/>
        </w:trPr>
        <w:tc>
          <w:tcPr>
            <w:tcW w:w="3969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Отражены НА при прекращении договора доверительного управления имуществом и от обособленных подразделений</w:t>
            </w:r>
          </w:p>
        </w:tc>
        <w:tc>
          <w:tcPr>
            <w:tcW w:w="490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04</w:t>
            </w:r>
          </w:p>
        </w:tc>
        <w:tc>
          <w:tcPr>
            <w:tcW w:w="542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79</w:t>
            </w:r>
          </w:p>
        </w:tc>
      </w:tr>
      <w:tr w:rsidR="002D143D" w:rsidRPr="00ED469A" w:rsidTr="00ED469A">
        <w:trPr>
          <w:trHeight w:val="405"/>
        </w:trPr>
        <w:tc>
          <w:tcPr>
            <w:tcW w:w="3969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Приняты к учету НА, полученные безвозмездно</w:t>
            </w:r>
          </w:p>
        </w:tc>
        <w:tc>
          <w:tcPr>
            <w:tcW w:w="490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04</w:t>
            </w:r>
          </w:p>
        </w:tc>
        <w:tc>
          <w:tcPr>
            <w:tcW w:w="542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08</w:t>
            </w:r>
          </w:p>
        </w:tc>
      </w:tr>
      <w:tr w:rsidR="002D143D" w:rsidRPr="00ED469A" w:rsidTr="00ED469A">
        <w:trPr>
          <w:trHeight w:val="375"/>
        </w:trPr>
        <w:tc>
          <w:tcPr>
            <w:tcW w:w="3969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Содержание операции</w:t>
            </w:r>
          </w:p>
        </w:tc>
        <w:tc>
          <w:tcPr>
            <w:tcW w:w="490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Дебет</w:t>
            </w:r>
          </w:p>
        </w:tc>
        <w:tc>
          <w:tcPr>
            <w:tcW w:w="542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Кредит</w:t>
            </w:r>
          </w:p>
        </w:tc>
      </w:tr>
      <w:tr w:rsidR="002D143D" w:rsidRPr="00ED469A" w:rsidTr="00ED469A">
        <w:trPr>
          <w:trHeight w:val="300"/>
        </w:trPr>
        <w:tc>
          <w:tcPr>
            <w:tcW w:w="3969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Уменьшение амортизации по выбывшим НА</w:t>
            </w:r>
          </w:p>
        </w:tc>
        <w:tc>
          <w:tcPr>
            <w:tcW w:w="490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05</w:t>
            </w:r>
          </w:p>
        </w:tc>
        <w:tc>
          <w:tcPr>
            <w:tcW w:w="542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04</w:t>
            </w:r>
          </w:p>
        </w:tc>
      </w:tr>
      <w:tr w:rsidR="002D143D" w:rsidRPr="00ED469A" w:rsidTr="00ED469A">
        <w:trPr>
          <w:trHeight w:val="195"/>
        </w:trPr>
        <w:tc>
          <w:tcPr>
            <w:tcW w:w="3969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Начислена амортизация по НА (без счета 05)</w:t>
            </w:r>
          </w:p>
        </w:tc>
        <w:tc>
          <w:tcPr>
            <w:tcW w:w="490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08,20,23,25,26,29,44,97</w:t>
            </w:r>
          </w:p>
        </w:tc>
        <w:tc>
          <w:tcPr>
            <w:tcW w:w="542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04</w:t>
            </w:r>
          </w:p>
        </w:tc>
      </w:tr>
      <w:tr w:rsidR="002D143D" w:rsidRPr="00ED469A" w:rsidTr="00ED469A">
        <w:trPr>
          <w:trHeight w:val="270"/>
        </w:trPr>
        <w:tc>
          <w:tcPr>
            <w:tcW w:w="3969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Выбытие НА (продажа, списание, передача безвозмездно), остаточная стоимость</w:t>
            </w:r>
          </w:p>
        </w:tc>
        <w:tc>
          <w:tcPr>
            <w:tcW w:w="490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91</w:t>
            </w:r>
          </w:p>
        </w:tc>
        <w:tc>
          <w:tcPr>
            <w:tcW w:w="542" w:type="pct"/>
          </w:tcPr>
          <w:p w:rsidR="002D143D" w:rsidRPr="00ED469A" w:rsidRDefault="002D143D" w:rsidP="00ED469A">
            <w:pPr>
              <w:spacing w:line="360" w:lineRule="auto"/>
            </w:pPr>
            <w:r w:rsidRPr="00ED469A">
              <w:t>04</w:t>
            </w:r>
          </w:p>
        </w:tc>
      </w:tr>
    </w:tbl>
    <w:p w:rsidR="00950CC1" w:rsidRDefault="00950CC1" w:rsidP="00ED469A">
      <w:pPr>
        <w:pStyle w:val="a3"/>
        <w:tabs>
          <w:tab w:val="left" w:pos="426"/>
        </w:tabs>
        <w:ind w:firstLine="0"/>
      </w:pPr>
    </w:p>
    <w:p w:rsidR="00950CC1" w:rsidRDefault="00950CC1" w:rsidP="00ED469A">
      <w:pPr>
        <w:pStyle w:val="a3"/>
        <w:tabs>
          <w:tab w:val="left" w:pos="426"/>
        </w:tabs>
        <w:ind w:firstLine="0"/>
      </w:pPr>
    </w:p>
    <w:p w:rsidR="002D143D" w:rsidRPr="00950CC1" w:rsidRDefault="00ED469A" w:rsidP="00950CC1">
      <w:pPr>
        <w:pStyle w:val="a3"/>
        <w:tabs>
          <w:tab w:val="left" w:pos="426"/>
        </w:tabs>
        <w:ind w:left="294" w:firstLine="426"/>
        <w:rPr>
          <w:b/>
        </w:rPr>
      </w:pPr>
      <w:r w:rsidRPr="00950CC1">
        <w:br w:type="page"/>
      </w:r>
      <w:r w:rsidR="00950CC1" w:rsidRPr="00950CC1">
        <w:rPr>
          <w:b/>
        </w:rPr>
        <w:t>Список литературы</w:t>
      </w:r>
    </w:p>
    <w:p w:rsidR="002D143D" w:rsidRDefault="002D143D" w:rsidP="00ED469A">
      <w:pPr>
        <w:pStyle w:val="a3"/>
        <w:tabs>
          <w:tab w:val="left" w:pos="426"/>
        </w:tabs>
        <w:ind w:firstLine="0"/>
      </w:pPr>
    </w:p>
    <w:p w:rsidR="002D143D" w:rsidRDefault="002D143D" w:rsidP="00ED469A">
      <w:pPr>
        <w:pStyle w:val="a3"/>
        <w:numPr>
          <w:ilvl w:val="0"/>
          <w:numId w:val="3"/>
        </w:numPr>
        <w:tabs>
          <w:tab w:val="left" w:pos="426"/>
        </w:tabs>
        <w:ind w:left="0" w:firstLine="0"/>
      </w:pPr>
      <w:r>
        <w:t>ПБУ 14/2000 – Положение по бухгалтерскому учету «Учет нематериальных активов» (ПБУ 14/2000), утвержденное приказом Минфина РФ от 16 октября 2000г. № 91н.</w:t>
      </w:r>
    </w:p>
    <w:p w:rsidR="002D143D" w:rsidRDefault="002D143D" w:rsidP="00ED469A">
      <w:pPr>
        <w:pStyle w:val="a3"/>
        <w:numPr>
          <w:ilvl w:val="0"/>
          <w:numId w:val="3"/>
        </w:numPr>
        <w:tabs>
          <w:tab w:val="left" w:pos="426"/>
        </w:tabs>
        <w:ind w:left="0" w:firstLine="0"/>
      </w:pPr>
      <w:r>
        <w:t>Кирьянова Э.Д. Теория бухгалтерского учета – М.: Финансы и статистика, 1994 г.</w:t>
      </w:r>
    </w:p>
    <w:p w:rsidR="002D143D" w:rsidRDefault="002D143D" w:rsidP="00ED469A">
      <w:pPr>
        <w:pStyle w:val="a3"/>
        <w:numPr>
          <w:ilvl w:val="0"/>
          <w:numId w:val="3"/>
        </w:numPr>
        <w:tabs>
          <w:tab w:val="left" w:pos="426"/>
        </w:tabs>
        <w:ind w:left="0" w:firstLine="0"/>
      </w:pPr>
      <w:r>
        <w:t>Методические рекомендации по применению плана счетов бухгалтерского учета финансово-хозяйственной деятельности агропромышленных организаций. М – 2001.</w:t>
      </w:r>
    </w:p>
    <w:p w:rsidR="002D143D" w:rsidRDefault="002D143D" w:rsidP="00ED469A">
      <w:pPr>
        <w:pStyle w:val="a3"/>
        <w:numPr>
          <w:ilvl w:val="0"/>
          <w:numId w:val="3"/>
        </w:numPr>
        <w:tabs>
          <w:tab w:val="left" w:pos="426"/>
        </w:tabs>
        <w:ind w:left="0" w:firstLine="0"/>
      </w:pPr>
      <w:r>
        <w:t>Новый план счетов бухгалтерского учета с инструкцией по применению. М – Юрайт/2001.</w:t>
      </w:r>
    </w:p>
    <w:p w:rsidR="002D143D" w:rsidRDefault="002D143D" w:rsidP="00ED469A">
      <w:pPr>
        <w:pStyle w:val="a3"/>
        <w:numPr>
          <w:ilvl w:val="0"/>
          <w:numId w:val="3"/>
        </w:numPr>
        <w:tabs>
          <w:tab w:val="left" w:pos="426"/>
        </w:tabs>
        <w:ind w:left="0" w:firstLine="0"/>
      </w:pPr>
      <w:r>
        <w:t>Главбух. Практический журнал для бухгалтера. 2002г.</w:t>
      </w:r>
      <w:bookmarkStart w:id="0" w:name="_GoBack"/>
      <w:bookmarkEnd w:id="0"/>
    </w:p>
    <w:sectPr w:rsidR="002D143D" w:rsidSect="00ED469A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0EEB"/>
    <w:multiLevelType w:val="singleLevel"/>
    <w:tmpl w:val="F47497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>
    <w:nsid w:val="464D30F9"/>
    <w:multiLevelType w:val="singleLevel"/>
    <w:tmpl w:val="07BE4A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61651DA9"/>
    <w:multiLevelType w:val="singleLevel"/>
    <w:tmpl w:val="3E8CCBF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CD8"/>
    <w:rsid w:val="00212F77"/>
    <w:rsid w:val="002B02A1"/>
    <w:rsid w:val="002D143D"/>
    <w:rsid w:val="00533CD8"/>
    <w:rsid w:val="00950CC1"/>
    <w:rsid w:val="00AC7693"/>
    <w:rsid w:val="00E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513560-3A51-40E0-A7DA-AF6A130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85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851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KLONDIKE</Company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</dc:creator>
  <cp:keywords/>
  <dc:description/>
  <cp:lastModifiedBy>admin</cp:lastModifiedBy>
  <cp:revision>2</cp:revision>
  <cp:lastPrinted>2003-04-30T05:37:00Z</cp:lastPrinted>
  <dcterms:created xsi:type="dcterms:W3CDTF">2014-06-23T23:26:00Z</dcterms:created>
  <dcterms:modified xsi:type="dcterms:W3CDTF">2014-06-23T23:26:00Z</dcterms:modified>
</cp:coreProperties>
</file>