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43" w:rsidRPr="00073E10" w:rsidRDefault="00DD4343" w:rsidP="00602086">
      <w:pPr>
        <w:pStyle w:val="aff0"/>
      </w:pPr>
      <w:r w:rsidRPr="00073E10">
        <w:t>Федеральное агентство по образованию</w:t>
      </w:r>
    </w:p>
    <w:p w:rsidR="00DD4343" w:rsidRPr="00073E10" w:rsidRDefault="00DD4343" w:rsidP="00602086">
      <w:pPr>
        <w:pStyle w:val="aff0"/>
      </w:pPr>
      <w:r w:rsidRPr="00073E10">
        <w:t>ГОУ ВПО Самарский государственный университет</w:t>
      </w:r>
    </w:p>
    <w:p w:rsidR="00073E10" w:rsidRDefault="00DD4343" w:rsidP="00602086">
      <w:pPr>
        <w:pStyle w:val="aff0"/>
      </w:pPr>
      <w:r w:rsidRPr="00073E10">
        <w:t>представительство в г</w:t>
      </w:r>
      <w:r w:rsidR="00073E10" w:rsidRPr="00073E10">
        <w:t xml:space="preserve">. </w:t>
      </w:r>
      <w:r w:rsidRPr="00073E10">
        <w:t>Сызрань</w:t>
      </w: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DD4343" w:rsidRPr="00073E10" w:rsidRDefault="00DD4343" w:rsidP="00602086">
      <w:pPr>
        <w:pStyle w:val="aff0"/>
      </w:pPr>
      <w:r w:rsidRPr="00073E10">
        <w:t>КОНТРОЛЬНАЯ РАБОТА</w:t>
      </w:r>
    </w:p>
    <w:p w:rsidR="00073E10" w:rsidRPr="00073E10" w:rsidRDefault="00DD4343" w:rsidP="00602086">
      <w:pPr>
        <w:pStyle w:val="aff0"/>
      </w:pPr>
      <w:r w:rsidRPr="00073E10">
        <w:t>ПО УГОЛОВНОМУ ПРАВУ</w:t>
      </w:r>
    </w:p>
    <w:p w:rsidR="00073E10" w:rsidRDefault="00DD4343" w:rsidP="00602086">
      <w:pPr>
        <w:pStyle w:val="aff0"/>
      </w:pPr>
      <w:r w:rsidRPr="00073E10">
        <w:t>Тема</w:t>
      </w:r>
      <w:r w:rsidR="00073E10" w:rsidRPr="00073E10">
        <w:t xml:space="preserve">: </w:t>
      </w:r>
      <w:r w:rsidRPr="00073E10">
        <w:t>Уголовная ответственность за коммерческий подкуп</w:t>
      </w:r>
      <w:r w:rsidR="00073E10" w:rsidRPr="00073E10">
        <w:t xml:space="preserve">. </w:t>
      </w:r>
    </w:p>
    <w:p w:rsidR="00073E10" w:rsidRDefault="00073E10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073E10" w:rsidRPr="00073E10" w:rsidRDefault="00DD4343" w:rsidP="00602086">
      <w:pPr>
        <w:pStyle w:val="aff0"/>
        <w:jc w:val="left"/>
      </w:pPr>
      <w:r w:rsidRPr="00073E10">
        <w:t>Выполнила</w:t>
      </w:r>
      <w:r w:rsidR="00073E10" w:rsidRPr="00073E10">
        <w:t xml:space="preserve">: </w:t>
      </w:r>
      <w:r w:rsidRPr="00073E10">
        <w:t>студентка 4 курса</w:t>
      </w:r>
      <w:r w:rsidR="00073E10" w:rsidRPr="00073E10">
        <w:t xml:space="preserve"> </w:t>
      </w:r>
    </w:p>
    <w:p w:rsidR="00073E10" w:rsidRPr="00073E10" w:rsidRDefault="00DD4343" w:rsidP="00602086">
      <w:pPr>
        <w:pStyle w:val="aff0"/>
        <w:jc w:val="left"/>
      </w:pPr>
      <w:r w:rsidRPr="00073E10">
        <w:t>юридического факультета</w:t>
      </w:r>
    </w:p>
    <w:p w:rsidR="00073E10" w:rsidRPr="00073E10" w:rsidRDefault="00DD4343" w:rsidP="00602086">
      <w:pPr>
        <w:pStyle w:val="aff0"/>
        <w:jc w:val="left"/>
      </w:pPr>
      <w:r w:rsidRPr="00073E10">
        <w:t>Мамаева Е</w:t>
      </w:r>
      <w:r w:rsidR="00073E10">
        <w:t xml:space="preserve">.В. </w:t>
      </w:r>
    </w:p>
    <w:p w:rsidR="00073E10" w:rsidRDefault="00DD4343" w:rsidP="00602086">
      <w:pPr>
        <w:pStyle w:val="aff0"/>
        <w:jc w:val="left"/>
      </w:pPr>
      <w:r w:rsidRPr="00073E10">
        <w:t>Проверила</w:t>
      </w:r>
      <w:r w:rsidR="00073E10" w:rsidRPr="00073E10">
        <w:t xml:space="preserve">: </w:t>
      </w:r>
      <w:r w:rsidRPr="00073E10">
        <w:t>Денисова А</w:t>
      </w:r>
      <w:r w:rsidR="00073E10">
        <w:t xml:space="preserve">.В. </w:t>
      </w: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602086" w:rsidRDefault="00602086" w:rsidP="00602086">
      <w:pPr>
        <w:pStyle w:val="aff0"/>
      </w:pPr>
    </w:p>
    <w:p w:rsidR="00DD4343" w:rsidRPr="00073E10" w:rsidRDefault="00DD4343" w:rsidP="00602086">
      <w:pPr>
        <w:pStyle w:val="aff0"/>
      </w:pPr>
      <w:r w:rsidRPr="00073E10">
        <w:t>Сызрань</w:t>
      </w:r>
    </w:p>
    <w:p w:rsidR="00DD4343" w:rsidRPr="00073E10" w:rsidRDefault="00DD4343" w:rsidP="00602086">
      <w:pPr>
        <w:pStyle w:val="aff0"/>
      </w:pPr>
      <w:r w:rsidRPr="00073E10">
        <w:t>2009</w:t>
      </w:r>
    </w:p>
    <w:p w:rsidR="00DD4343" w:rsidRPr="00073E10" w:rsidRDefault="00602086" w:rsidP="0010794E">
      <w:pPr>
        <w:pStyle w:val="2"/>
      </w:pPr>
      <w:r>
        <w:br w:type="page"/>
      </w:r>
      <w:r w:rsidR="00DD4343" w:rsidRPr="00073E10">
        <w:t>Содержание</w:t>
      </w:r>
    </w:p>
    <w:p w:rsidR="00073E10" w:rsidRDefault="00073E10" w:rsidP="00073E10">
      <w:pPr>
        <w:widowControl w:val="0"/>
        <w:autoSpaceDE w:val="0"/>
        <w:autoSpaceDN w:val="0"/>
        <w:adjustRightInd w:val="0"/>
      </w:pPr>
    </w:p>
    <w:p w:rsidR="0010794E" w:rsidRDefault="0010794E">
      <w:pPr>
        <w:pStyle w:val="22"/>
        <w:rPr>
          <w:smallCaps w:val="0"/>
          <w:noProof/>
          <w:sz w:val="24"/>
          <w:szCs w:val="24"/>
        </w:rPr>
      </w:pPr>
      <w:r w:rsidRPr="00666C08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10794E" w:rsidRDefault="0010794E">
      <w:pPr>
        <w:pStyle w:val="22"/>
        <w:rPr>
          <w:smallCaps w:val="0"/>
          <w:noProof/>
          <w:sz w:val="24"/>
          <w:szCs w:val="24"/>
        </w:rPr>
      </w:pPr>
      <w:r w:rsidRPr="00666C08">
        <w:rPr>
          <w:rStyle w:val="af1"/>
          <w:noProof/>
        </w:rPr>
        <w:t>1. Понятие коммерческого подкупа. Уголовная ответственность за коммерческий подкуп</w:t>
      </w:r>
      <w:r>
        <w:rPr>
          <w:noProof/>
          <w:webHidden/>
        </w:rPr>
        <w:tab/>
        <w:t>4</w:t>
      </w:r>
    </w:p>
    <w:p w:rsidR="0010794E" w:rsidRDefault="0010794E">
      <w:pPr>
        <w:pStyle w:val="22"/>
        <w:rPr>
          <w:smallCaps w:val="0"/>
          <w:noProof/>
          <w:sz w:val="24"/>
          <w:szCs w:val="24"/>
        </w:rPr>
      </w:pPr>
      <w:r w:rsidRPr="00666C08">
        <w:rPr>
          <w:rStyle w:val="af1"/>
          <w:noProof/>
        </w:rPr>
        <w:t>Заключение</w:t>
      </w:r>
      <w:r>
        <w:rPr>
          <w:noProof/>
          <w:webHidden/>
        </w:rPr>
        <w:tab/>
        <w:t>10</w:t>
      </w:r>
    </w:p>
    <w:p w:rsidR="0010794E" w:rsidRDefault="0010794E">
      <w:pPr>
        <w:pStyle w:val="22"/>
        <w:rPr>
          <w:smallCaps w:val="0"/>
          <w:noProof/>
          <w:sz w:val="24"/>
          <w:szCs w:val="24"/>
        </w:rPr>
      </w:pPr>
      <w:r w:rsidRPr="00666C08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11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</w:p>
    <w:p w:rsidR="00DD4343" w:rsidRPr="00073E10" w:rsidRDefault="00602086" w:rsidP="00602086">
      <w:pPr>
        <w:pStyle w:val="2"/>
      </w:pPr>
      <w:r>
        <w:br w:type="page"/>
      </w:r>
      <w:bookmarkStart w:id="0" w:name="_Toc227244955"/>
      <w:r w:rsidR="00DD4343" w:rsidRPr="00073E10">
        <w:t>Введение</w:t>
      </w:r>
      <w:bookmarkEnd w:id="0"/>
    </w:p>
    <w:p w:rsidR="00602086" w:rsidRDefault="00602086" w:rsidP="00073E10">
      <w:pPr>
        <w:widowControl w:val="0"/>
        <w:autoSpaceDE w:val="0"/>
        <w:autoSpaceDN w:val="0"/>
        <w:adjustRightInd w:val="0"/>
      </w:pP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Получение коммерческого подкупа нередко сопровождается другими противоправными деяниями, в частности, преступлениями в сфере экономики против правосудия, порождая представление о возможности достижения желаемого результата путем подкупа должностных лиц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Увеличение числа факторов получения коммерческого подкупа сопровождается формированием более завулиалированных способов его совершения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Несовершенство уголовного и уголовно-процессуального законодательства, недостатки правоприменительной практики приводят зачастую к тому, что при очевидной виновности отдельных лиц в получении коммерческого подкупа последним удается избежать уголовной ответственности</w:t>
      </w:r>
      <w:r w:rsidR="00073E10" w:rsidRPr="00073E10">
        <w:t xml:space="preserve">. </w:t>
      </w:r>
      <w:r w:rsidRPr="00073E10">
        <w:t>В этих условиях правоохранительным органам приходится прилагать немало усилий для того, чтобы выявить и доказать конкретные факты получения коммерческого подкупа</w:t>
      </w:r>
      <w:r w:rsidR="00073E10" w:rsidRPr="00073E10">
        <w:t xml:space="preserve">. </w:t>
      </w:r>
    </w:p>
    <w:p w:rsidR="00073E10" w:rsidRDefault="00DD4343" w:rsidP="00073E10">
      <w:pPr>
        <w:widowControl w:val="0"/>
        <w:autoSpaceDE w:val="0"/>
        <w:autoSpaceDN w:val="0"/>
        <w:adjustRightInd w:val="0"/>
      </w:pPr>
      <w:r w:rsidRPr="00073E10">
        <w:t>Целью контрольной работы является</w:t>
      </w:r>
      <w:r w:rsidR="00073E10" w:rsidRPr="00073E10">
        <w:t xml:space="preserve">: </w:t>
      </w:r>
      <w:r w:rsidRPr="00073E10">
        <w:t>дать понятие коммерческого подкупа, указать квалифицированные составы получения коммерческого подкупа</w:t>
      </w:r>
      <w:r w:rsidR="00073E10" w:rsidRPr="00073E10">
        <w:t xml:space="preserve">. </w:t>
      </w:r>
    </w:p>
    <w:p w:rsidR="00073E10" w:rsidRDefault="00073E10" w:rsidP="00073E10">
      <w:pPr>
        <w:widowControl w:val="0"/>
        <w:autoSpaceDE w:val="0"/>
        <w:autoSpaceDN w:val="0"/>
        <w:adjustRightInd w:val="0"/>
      </w:pPr>
    </w:p>
    <w:p w:rsidR="00073E10" w:rsidRPr="00073E10" w:rsidRDefault="00602086" w:rsidP="00602086">
      <w:pPr>
        <w:pStyle w:val="2"/>
      </w:pPr>
      <w:r>
        <w:br w:type="page"/>
      </w:r>
      <w:bookmarkStart w:id="1" w:name="_Toc227244956"/>
      <w:r>
        <w:t xml:space="preserve">1. </w:t>
      </w:r>
      <w:r w:rsidR="00DD4343" w:rsidRPr="00073E10">
        <w:t>Понятие коммерческого подкупа</w:t>
      </w:r>
      <w:r w:rsidR="00073E10" w:rsidRPr="00073E10">
        <w:t xml:space="preserve">. </w:t>
      </w:r>
      <w:r w:rsidR="00DD4343" w:rsidRPr="00073E10">
        <w:t>Уголовная ответственность за коммерческий подкуп</w:t>
      </w:r>
      <w:bookmarkEnd w:id="1"/>
      <w:r w:rsidR="00073E10" w:rsidRPr="00073E10">
        <w:t xml:space="preserve"> </w:t>
      </w:r>
    </w:p>
    <w:p w:rsidR="00602086" w:rsidRDefault="00602086" w:rsidP="00073E10">
      <w:pPr>
        <w:widowControl w:val="0"/>
        <w:autoSpaceDE w:val="0"/>
        <w:autoSpaceDN w:val="0"/>
        <w:adjustRightInd w:val="0"/>
      </w:pPr>
    </w:p>
    <w:p w:rsidR="00073E10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Статья 204 УК РФ предусматривает ответственность за коммерческий подкуп</w:t>
      </w:r>
      <w:r w:rsidR="00073E10" w:rsidRPr="00073E10">
        <w:t xml:space="preserve">. </w:t>
      </w:r>
      <w:r w:rsidRPr="00073E10">
        <w:t>Это преступление является умышленным и выражается в незаконной передаче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действий (бездействия</w:t>
      </w:r>
      <w:r w:rsidR="00073E10" w:rsidRPr="00073E10">
        <w:t xml:space="preserve">) </w:t>
      </w:r>
      <w:r w:rsidRPr="00073E10">
        <w:t>в интересах дающего в связи с занимаемым этим лицом служебным положением</w:t>
      </w:r>
      <w:r w:rsidR="00073E10" w:rsidRPr="00073E10">
        <w:t xml:space="preserve">. </w:t>
      </w:r>
      <w:r w:rsidRPr="00073E10">
        <w:t>Преступление посягает на отношения, складывающиеся в сфере коммерческой деятельности</w:t>
      </w:r>
      <w:r w:rsidR="00073E10" w:rsidRPr="00073E10">
        <w:t xml:space="preserve">. </w:t>
      </w:r>
      <w:r w:rsidRPr="00073E10">
        <w:t xml:space="preserve">Виновный совершает незаконные действия, направленные на извлечение материальной либо иной выгоды для себя или других лиц путем дачи взятки либо передачи ценного имущества и </w:t>
      </w:r>
      <w:r w:rsidR="00073E10">
        <w:t>т.п.</w:t>
      </w:r>
      <w:r w:rsidRPr="00073E10">
        <w:t xml:space="preserve"> </w:t>
      </w:r>
    </w:p>
    <w:p w:rsid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Понятие коммерческого подкупа охватывает два самостоятельных состава преступления</w:t>
      </w:r>
      <w:r w:rsidR="00073E10" w:rsidRPr="00073E10">
        <w:t xml:space="preserve"> - </w:t>
      </w:r>
      <w:r w:rsidRPr="00073E10">
        <w:t>незаконную передачу вознаграждения (ч</w:t>
      </w:r>
      <w:r w:rsidR="00073E10">
        <w:t>.1</w:t>
      </w:r>
      <w:r w:rsidRPr="00073E10">
        <w:t xml:space="preserve"> и 2 ст</w:t>
      </w:r>
      <w:r w:rsidR="00073E10">
        <w:t>. 20</w:t>
      </w:r>
      <w:r w:rsidRPr="00073E10">
        <w:t>4</w:t>
      </w:r>
      <w:r w:rsidR="00073E10" w:rsidRPr="00073E10">
        <w:t xml:space="preserve">) </w:t>
      </w:r>
      <w:r w:rsidRPr="00073E10">
        <w:t>и незаконное получение вознаграждения (ч</w:t>
      </w:r>
      <w:r w:rsidR="00073E10">
        <w:t>.3</w:t>
      </w:r>
      <w:r w:rsidRPr="00073E10">
        <w:t xml:space="preserve"> и 4 ст</w:t>
      </w:r>
      <w:r w:rsidR="00073E10">
        <w:t>. 20</w:t>
      </w:r>
      <w:r w:rsidRPr="00073E10">
        <w:t>4</w:t>
      </w:r>
      <w:r w:rsidR="00073E10" w:rsidRPr="00073E10">
        <w:t>)</w:t>
      </w:r>
      <w:r w:rsidR="00073E10">
        <w:t>.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Объект преступления</w:t>
      </w:r>
      <w:r w:rsidR="00073E10" w:rsidRPr="00073E10">
        <w:t xml:space="preserve"> - </w:t>
      </w:r>
      <w:r w:rsidRPr="00073E10">
        <w:t>нормальное функционирование управленческого аппарата коммерческих и иных организаций как проявление интересов службы в этих организациях</w:t>
      </w:r>
      <w:r w:rsidR="00073E10" w:rsidRPr="00073E10">
        <w:t xml:space="preserve">. </w:t>
      </w:r>
    </w:p>
    <w:p w:rsidR="00073E10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Предмет преступления</w:t>
      </w:r>
      <w:r w:rsidR="00073E10" w:rsidRPr="00073E10">
        <w:t xml:space="preserve"> - </w:t>
      </w:r>
      <w:r w:rsidRPr="00073E10">
        <w:t>деньги, ценные бумаги, иное имущество, а также услуги имущественного характера</w:t>
      </w:r>
      <w:r w:rsidR="00073E10" w:rsidRPr="00073E10">
        <w:t xml:space="preserve">. </w:t>
      </w:r>
      <w:r w:rsidRPr="00073E10">
        <w:t>В судебной практике под услугами имущественного характера понимаются, например, предоставление туристических путевок, ремонт квартиры, строительство дачи,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</w:t>
      </w:r>
      <w:r w:rsidR="00073E10">
        <w:t>.</w:t>
      </w:r>
      <w:r w:rsidRPr="00073E10">
        <w:t xml:space="preserve"> </w:t>
      </w:r>
    </w:p>
    <w:p w:rsid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Постановление Пленума Верховного Суда Российской Федерации от 10 февраля 2000 г</w:t>
      </w:r>
      <w:r w:rsidR="00073E10" w:rsidRPr="00073E10">
        <w:t>. "</w:t>
      </w:r>
      <w:r w:rsidRPr="00073E10">
        <w:t>О судебной практике по делам о взяточничестве и коммерческом подкупе</w:t>
      </w:r>
      <w:r w:rsidR="00073E10" w:rsidRPr="00073E10">
        <w:t xml:space="preserve">". </w:t>
      </w:r>
      <w:r w:rsidRPr="00073E10">
        <w:t>БВС РФ</w:t>
      </w:r>
      <w:r w:rsidR="00073E10">
        <w:t>. 20</w:t>
      </w:r>
      <w:r w:rsidRPr="00073E10">
        <w:t xml:space="preserve">00 </w:t>
      </w:r>
      <w:r w:rsidRPr="00073E10">
        <w:rPr>
          <w:lang w:val="en-US"/>
        </w:rPr>
        <w:t>N</w:t>
      </w:r>
      <w:r w:rsidRPr="00073E10">
        <w:t xml:space="preserve"> 4</w:t>
      </w:r>
      <w:r w:rsidR="00073E10" w:rsidRPr="00073E10">
        <w:t xml:space="preserve">. </w:t>
      </w:r>
      <w:r w:rsidRPr="00073E10">
        <w:t>С</w:t>
      </w:r>
      <w:r w:rsidR="00073E10">
        <w:t>.6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Объективная сторона характеризуется действием</w:t>
      </w:r>
      <w:r w:rsidR="00073E10" w:rsidRPr="00073E10">
        <w:t xml:space="preserve"> - </w:t>
      </w:r>
      <w:r w:rsidRPr="00073E10">
        <w:t>незаконной передачей лицу, выполняющему управленческие функции в коммерческой или иной организации, указанного вознаграждения за совершение действий (бездействия</w:t>
      </w:r>
      <w:r w:rsidR="00073E10" w:rsidRPr="00073E10">
        <w:t xml:space="preserve">) </w:t>
      </w:r>
      <w:r w:rsidRPr="00073E10">
        <w:t>в интересах дающего в связи с занимаемым этим лицом служебным положением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Дача незаконного вознаграждения при коммерческом подкупе считается оконченной с момента принятия получателем хотя бы части передаваемых ценностей</w:t>
      </w:r>
      <w:r w:rsidR="00073E10" w:rsidRPr="00073E10">
        <w:t xml:space="preserve">. </w:t>
      </w:r>
      <w:r w:rsidRPr="00073E10">
        <w:t>В случае, когда лицо, осуществляющее управленческие функции в коммерческой или иной организации, отказалось принять предмет коммерческого подкупа, содеянное следует квалифицировать как покушение на незаконную передачу (</w:t>
      </w:r>
      <w:r w:rsidR="00073E10" w:rsidRPr="00073E10">
        <w:t xml:space="preserve">т.е. </w:t>
      </w:r>
      <w:r w:rsidRPr="00073E10">
        <w:t>по ч</w:t>
      </w:r>
      <w:r w:rsidR="00073E10">
        <w:t>.1</w:t>
      </w:r>
      <w:r w:rsidRPr="00073E10">
        <w:t xml:space="preserve"> или ч</w:t>
      </w:r>
      <w:r w:rsidR="00073E10">
        <w:t>.2</w:t>
      </w:r>
      <w:r w:rsidRPr="00073E10">
        <w:t>ст</w:t>
      </w:r>
      <w:r w:rsidR="00073E10">
        <w:t>. 20</w:t>
      </w:r>
      <w:r w:rsidRPr="00073E10">
        <w:t>4</w:t>
      </w:r>
      <w:r w:rsidR="00073E10" w:rsidRPr="00073E10">
        <w:t xml:space="preserve">).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Субъектом преступления, предусмотренного ч</w:t>
      </w:r>
      <w:r w:rsidR="00073E10">
        <w:t>.1</w:t>
      </w:r>
      <w:r w:rsidRPr="00073E10">
        <w:t xml:space="preserve"> ст</w:t>
      </w:r>
      <w:r w:rsidR="00073E10">
        <w:t>. 20</w:t>
      </w:r>
      <w:r w:rsidRPr="00073E10">
        <w:t>4, является любое вменяемое лицо, достигшее 16-летнего возраста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Субъективная сторона характеризуется прямым умыслом</w:t>
      </w:r>
      <w:r w:rsidR="00073E10" w:rsidRPr="00073E10">
        <w:t xml:space="preserve">. </w:t>
      </w:r>
      <w:r w:rsidRPr="00073E10">
        <w:t xml:space="preserve">Лицо осознает, что осуществляет коммерческий подкуп, </w:t>
      </w:r>
      <w:r w:rsidR="00073E10" w:rsidRPr="00073E10">
        <w:t xml:space="preserve">т.е. </w:t>
      </w:r>
      <w:r w:rsidRPr="00073E10">
        <w:t>незаконную передачу лицу, выполняющему управленческие функции в коммерческой или иной организации, денежного или иного имущественного вознаграждения за совершение действий (бездействия</w:t>
      </w:r>
      <w:r w:rsidR="00073E10" w:rsidRPr="00073E10">
        <w:t xml:space="preserve">) </w:t>
      </w:r>
      <w:r w:rsidRPr="00073E10">
        <w:t>в интересах дающего, и желает этого</w:t>
      </w:r>
      <w:r w:rsidR="00073E10">
        <w:t xml:space="preserve">.3 </w:t>
      </w:r>
      <w:r w:rsidRPr="00073E10">
        <w:t>Часть 2 ст</w:t>
      </w:r>
      <w:r w:rsidR="00073E10">
        <w:t>. 20</w:t>
      </w:r>
      <w:r w:rsidRPr="00073E10">
        <w:t>4 предусматривает повышенную ответственность за дачу предмета коммерческого подкупа, совершенную группой лиц по предварительному сговору или организованной группой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В соответствии с примечанием к ст</w:t>
      </w:r>
      <w:r w:rsidR="00073E10">
        <w:t>. 20</w:t>
      </w:r>
      <w:r w:rsidRPr="00073E10">
        <w:t>4 лицо, совершившее деяния, предусмотренные ч</w:t>
      </w:r>
      <w:r w:rsidR="00073E10">
        <w:t>.1</w:t>
      </w:r>
      <w:r w:rsidRPr="00073E10">
        <w:t xml:space="preserve"> или 2 этой статьи, освобождается от уголовной ответственности, если в отношении его имело место вымогательство или если это лицо добровольно сообщило о подкупе органу, имеющему право возбудить уголовное дело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Понятие вымогательства при коммерческом подкупе будет дано при характеристике получения предмета коммерческого подкупа, сопряженного с вымогательством (п</w:t>
      </w:r>
      <w:r w:rsidR="00073E10" w:rsidRPr="00073E10">
        <w:t xml:space="preserve">. </w:t>
      </w:r>
      <w:r w:rsidRPr="00073E10">
        <w:t>"в" ч</w:t>
      </w:r>
      <w:r w:rsidR="00073E10">
        <w:t>.4</w:t>
      </w:r>
      <w:r w:rsidRPr="00073E10">
        <w:t xml:space="preserve"> ст</w:t>
      </w:r>
      <w:r w:rsidR="00073E10">
        <w:t>. 20</w:t>
      </w:r>
      <w:r w:rsidRPr="00073E10">
        <w:t>4</w:t>
      </w:r>
      <w:r w:rsidR="00073E10" w:rsidRPr="00073E10">
        <w:t xml:space="preserve">). </w:t>
      </w:r>
      <w:r w:rsidRPr="00073E10">
        <w:t>Понятие добровольности сообщения лица о даче им предмета коммерческого подкупа раскрывается в Постановлении Пленума Верховного Суда Российской Федерации от 10 февраля 2000 г</w:t>
      </w:r>
      <w:r w:rsidR="00073E10" w:rsidRPr="00073E10">
        <w:t xml:space="preserve">. </w:t>
      </w:r>
      <w:r w:rsidRPr="00073E10">
        <w:t>"О судебной практике по делам о взяточничестве и коммерческом подкупе"</w:t>
      </w:r>
      <w:r w:rsidR="00073E10" w:rsidRPr="00073E10">
        <w:t xml:space="preserve">. </w:t>
      </w:r>
      <w:r w:rsidRPr="00073E10">
        <w:t>Согласно этому постановлению, при решении вопроса об освобождении от уголовной ответственности лица, сообщившего органу, имеющему право возбудить уголовное дело о незаконной передаче лицу, выполняющему управленческие функции в коммерческой или иной организации, денег, ценных бумаг, иного имущества, следует иметь в виду, что сообщение (письменное или устное</w:t>
      </w:r>
      <w:r w:rsidR="00073E10" w:rsidRPr="00073E10">
        <w:t xml:space="preserve">) </w:t>
      </w:r>
      <w:r w:rsidRPr="00073E10">
        <w:t>должно признаваться добровольным независимо от мотивов, которыми руководствовался заявитель</w:t>
      </w:r>
      <w:r w:rsidR="00073E10" w:rsidRPr="00073E10">
        <w:t xml:space="preserve">. </w:t>
      </w:r>
      <w:r w:rsidRPr="00073E10">
        <w:t>Однако не может признаваться добровольным сообщение, сделанное в связи с тем, что о коммерческом подкупе стало известно органам власти</w:t>
      </w:r>
      <w:r w:rsidR="00073E10" w:rsidRPr="00073E10">
        <w:t xml:space="preserve">. </w:t>
      </w:r>
      <w:r w:rsidRPr="00073E10">
        <w:t>Изъятые деньги и другие ценности, являющиеся предметом коммерческого подкупа и признанные вещественным доказательством, подлежат обращению в доход государства, как нажитые преступным путем</w:t>
      </w:r>
      <w:r w:rsidR="00073E10" w:rsidRPr="00073E10">
        <w:t xml:space="preserve">. </w:t>
      </w:r>
      <w:r w:rsidRPr="00073E10">
        <w:t>Освобождение лица, совершившего коммерческий подкуп, от уголовной ответственности по мотивам добровольного сообщения о совершении преступления не означает отсутствия в действиях этого лица состава преступления</w:t>
      </w:r>
      <w:r w:rsidR="00073E10" w:rsidRPr="00073E10">
        <w:t xml:space="preserve">. </w:t>
      </w:r>
      <w:r w:rsidRPr="00073E10">
        <w:t>Поэтому оно не может признаваться потерпевшим и не вправе претендовать на возвращение ему ценностей, переданных в виде предмета коммерческого подкупа</w:t>
      </w:r>
      <w:r w:rsidR="00073E10" w:rsidRPr="00073E10">
        <w:t xml:space="preserve">. </w:t>
      </w:r>
      <w:r w:rsidRPr="00073E10">
        <w:t>Вместе с тем не могут быть обращены в доход государства деньги и другие ценности в случаях, когда в отношении лица были заявлены требования о незаконной передаче предмета коммерческого подкупа, если до передачи этих ценностей лицо добровольно заявило об этом органу, имеющему право возбуждать уголовное дело, и передача денег, ценных бумаг, иного имущества проходила под контролем с целью задержания с поличным лица, заявившего такие требования</w:t>
      </w:r>
      <w:r w:rsidR="00073E10" w:rsidRPr="00073E10">
        <w:t xml:space="preserve">. </w:t>
      </w:r>
      <w:r w:rsidRPr="00073E10">
        <w:t>В этих случаях деньги и другие ценности, явившиеся предметом коммерческого подкупа, подлежат возвращению их владельцу</w:t>
      </w:r>
      <w:r w:rsidR="00073E10" w:rsidRPr="00073E10">
        <w:t xml:space="preserve">. </w:t>
      </w:r>
      <w:r w:rsidRPr="00073E10">
        <w:t>При решении вопроса о возможности возвращения денег и других ценностей лицу, в отношении которого имел место факт вымогательства, суду следует иметь в виду, что если для предотвращения вредных последствий лицо вынуждено было передать вымогателю деньги или другие ценные бумаги, то они подлежат возврату их владельцу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Часть 3 ст</w:t>
      </w:r>
      <w:r w:rsidR="00073E10">
        <w:t>. 20</w:t>
      </w:r>
      <w:r w:rsidRPr="00073E10">
        <w:t xml:space="preserve">4 УК предусматривает ответственность за получение предмета коммерческого подкупа, </w:t>
      </w:r>
      <w:r w:rsidR="00073E10" w:rsidRPr="00073E10">
        <w:t xml:space="preserve">т.е. </w:t>
      </w:r>
      <w:r w:rsidRPr="00073E10">
        <w:t>за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 совершение действий (бездействия</w:t>
      </w:r>
      <w:r w:rsidR="00073E10" w:rsidRPr="00073E10">
        <w:t xml:space="preserve">) </w:t>
      </w:r>
      <w:r w:rsidRPr="00073E10">
        <w:t>в интересах дающего в связи с занимаемым этим лицом служебным положением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Объект преступления совпадает с объектом и предметом преступления, предусмотренного ч</w:t>
      </w:r>
      <w:r w:rsidR="00073E10">
        <w:t>.1</w:t>
      </w:r>
      <w:r w:rsidRPr="00073E10">
        <w:t xml:space="preserve"> и 2 ст</w:t>
      </w:r>
      <w:r w:rsidR="00073E10">
        <w:t>. 20</w:t>
      </w:r>
      <w:r w:rsidRPr="00073E10">
        <w:t>4 УК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Объективная сторона характеризуется действием</w:t>
      </w:r>
      <w:r w:rsidR="00073E10" w:rsidRPr="00073E10">
        <w:t xml:space="preserve"> - </w:t>
      </w:r>
      <w:r w:rsidRPr="00073E10">
        <w:t>незаконным получением предмета коммерческого подкупа за совершение действий (бездействия</w:t>
      </w:r>
      <w:r w:rsidR="00073E10" w:rsidRPr="00073E10">
        <w:t xml:space="preserve">) </w:t>
      </w:r>
      <w:r w:rsidRPr="00073E10">
        <w:t>в интересах дающего в связи с занимаемым субъектом служебным положением</w:t>
      </w:r>
      <w:r w:rsidR="00073E10">
        <w:t>.4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В Постановлении "О судебной практике по делам о взяточничестве и коммерческом подкупе" Пленум Верховного Суда Российской Федерации разъяснил, что судам следует указывать в приговоре, за выполнение каких конкретных действий (бездействия</w:t>
      </w:r>
      <w:r w:rsidR="00073E10" w:rsidRPr="00073E10">
        <w:t xml:space="preserve">) </w:t>
      </w:r>
      <w:r w:rsidRPr="00073E10">
        <w:t>лицо, выполняющее управленческие функции в коммерческой или иной организации, получило предмет коммерческого подкупа от заинтересованного лица</w:t>
      </w:r>
      <w:r w:rsidR="00073E10" w:rsidRPr="00073E10">
        <w:t xml:space="preserve">. </w:t>
      </w:r>
      <w:r w:rsidRPr="00073E10">
        <w:t>Время его передачи (до или после совершения действия (бездействия</w:t>
      </w:r>
      <w:r w:rsidR="00073E10" w:rsidRPr="00073E10">
        <w:t xml:space="preserve">) </w:t>
      </w:r>
      <w:r w:rsidRPr="00073E10">
        <w:t>в интересах дающего</w:t>
      </w:r>
      <w:r w:rsidR="00073E10" w:rsidRPr="00073E10">
        <w:t xml:space="preserve">) </w:t>
      </w:r>
      <w:r w:rsidRPr="00073E10">
        <w:t>на квалификацию содеянного не влияет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Получение незаконного вознаграждения при коммерческом подкупе лицом, выполняющим управленческие функции в коммерческой или</w:t>
      </w:r>
      <w:r w:rsidR="00073E10" w:rsidRPr="00073E10">
        <w:t xml:space="preserve"> </w:t>
      </w:r>
      <w:r w:rsidRPr="00073E10">
        <w:t>иной</w:t>
      </w:r>
      <w:r w:rsidR="0010794E">
        <w:t xml:space="preserve"> </w:t>
      </w:r>
      <w:r w:rsidRPr="00073E10">
        <w:t>организации (как и дача незаконного вознаграждения</w:t>
      </w:r>
      <w:r w:rsidR="00073E10" w:rsidRPr="00073E10">
        <w:t>),</w:t>
      </w:r>
      <w:r w:rsidRPr="00073E10">
        <w:t xml:space="preserve"> считается оконченным с момента принятия получателем хотя бы части передаваемых ценностей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Субъектом преступления является лицо, выполняющее управленческие функции в коммерческой или иной организации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Субъективная сторона характеризуется прямым умыслом</w:t>
      </w:r>
      <w:r w:rsidR="00073E10" w:rsidRPr="00073E10">
        <w:t xml:space="preserve">. </w:t>
      </w:r>
      <w:r w:rsidRPr="00073E10">
        <w:t>Лицо сознает, что получает незаконное вознаграждение за совершение действий (бездействия</w:t>
      </w:r>
      <w:r w:rsidR="00073E10" w:rsidRPr="00073E10">
        <w:t xml:space="preserve">) </w:t>
      </w:r>
      <w:r w:rsidRPr="00073E10">
        <w:t>в интересах дающего в связи с занимаемым им служебным положением, и желает этого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 xml:space="preserve">Часть 4 предусматривает повышенную ответственность за получение предмета коммерческого подкупа при отягчающих обстоятельствах, </w:t>
      </w:r>
      <w:r w:rsidR="00073E10" w:rsidRPr="00073E10">
        <w:t xml:space="preserve">т.е. </w:t>
      </w:r>
      <w:r w:rsidRPr="00073E10">
        <w:t>совершенного группой лиц по предварительному сговору или организованной группой либо сопряженного с вымогательством</w:t>
      </w:r>
      <w:r w:rsidR="00073E10" w:rsidRPr="00073E10">
        <w:t xml:space="preserve">. </w:t>
      </w:r>
    </w:p>
    <w:p w:rsid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Предмет коммерческого подкупа надлежит считать полученным по предварительному сговору группой лиц, если в преступлении участвовали два или более лица, выполняющих управленческие функции в коммерческой или иной организации, которые заранее договорились о совместном совершении данного преступления с использованием своего служебного положения</w:t>
      </w:r>
      <w:r w:rsidR="00073E10" w:rsidRPr="00073E10">
        <w:t xml:space="preserve">. </w:t>
      </w:r>
      <w:r w:rsidRPr="00073E10">
        <w:t>При этом не имеет значения, какая сумма получена каждым из этих лиц</w:t>
      </w:r>
      <w:r w:rsidR="00073E10" w:rsidRPr="00073E10">
        <w:t xml:space="preserve">. </w:t>
      </w:r>
      <w:r w:rsidRPr="00073E10">
        <w:t>Организованная группа при получении предмета коммерческого подкупа характеризуется (в соответствии со ст</w:t>
      </w:r>
      <w:r w:rsidR="00073E10">
        <w:t>.3</w:t>
      </w:r>
      <w:r w:rsidRPr="00073E10">
        <w:t>5 УК РФ</w:t>
      </w:r>
      <w:r w:rsidR="00073E10" w:rsidRPr="00073E10">
        <w:t xml:space="preserve">) </w:t>
      </w:r>
      <w:r w:rsidRPr="00073E10">
        <w:t>устойчивостью, более высокой степенью организованности, распределением ролей, наличием организатора</w:t>
      </w:r>
      <w:r w:rsidR="00073E10" w:rsidRPr="00073E10">
        <w:t xml:space="preserve">. </w:t>
      </w:r>
      <w:r w:rsidRPr="00073E10">
        <w:t>Исходя из этого, в организованную группу могут входить лица, не выполняющие управленческие функции в коммерческой или иной организации, которые заранее объединились для совершения одного или нескольких преступлений</w:t>
      </w:r>
      <w:r w:rsidR="00073E10" w:rsidRPr="00073E10">
        <w:t xml:space="preserve">. </w:t>
      </w:r>
      <w:r w:rsidRPr="00073E10">
        <w:t>При наличии к тому оснований они несут ответственность (согласно ч</w:t>
      </w:r>
      <w:r w:rsidR="00073E10">
        <w:t>.4</w:t>
      </w:r>
      <w:r w:rsidRPr="00073E10">
        <w:t xml:space="preserve"> ст</w:t>
      </w:r>
      <w:r w:rsidR="00073E10">
        <w:t>.3</w:t>
      </w:r>
      <w:r w:rsidRPr="00073E10">
        <w:t>4</w:t>
      </w:r>
      <w:r w:rsidR="00073E10" w:rsidRPr="00073E10">
        <w:t xml:space="preserve">) </w:t>
      </w:r>
      <w:r w:rsidRPr="00073E10">
        <w:t>как организаторы, подстрекатели либо пособники преступления, предусмотренного ст</w:t>
      </w:r>
      <w:r w:rsidR="00073E10">
        <w:t>. 20</w:t>
      </w:r>
      <w:r w:rsidRPr="00073E10">
        <w:t>4</w:t>
      </w:r>
      <w:r w:rsidR="00073E10" w:rsidRPr="00073E10">
        <w:t xml:space="preserve">. </w:t>
      </w:r>
      <w:r w:rsidRPr="00073E10">
        <w:t>В таких случаях преступление считается оконченным с момента принятия незаконного вознаграждения при коммерческом подкупе хотя бы одним из лиц, выполняющих управленческие функции в коммерческой или иной организации</w:t>
      </w:r>
      <w:r w:rsidR="00073E10">
        <w:t>.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Под вымогательством при коммерческом подкупе понимается требование лица, выполняющего управленческие функции в коммерческой или иной организации,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совершить коммерческий подкуп с целью предотвращения вредных последствий для его правоохраняемых интересов</w:t>
      </w:r>
      <w:r w:rsidR="00073E10" w:rsidRPr="00073E10">
        <w:t xml:space="preserve">. </w:t>
      </w: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Получение лицом, выполняющим управленческие функции в коммерческой или иной организации, денег, ценных бумаг и других материальных ценностей</w:t>
      </w:r>
      <w:r w:rsidR="00073E10" w:rsidRPr="00073E10">
        <w:t xml:space="preserve"> </w:t>
      </w:r>
      <w:r w:rsidRPr="00073E10">
        <w:t>за совершение действия (бездействия</w:t>
      </w:r>
      <w:r w:rsidR="00073E10" w:rsidRPr="00073E10">
        <w:t>),</w:t>
      </w:r>
      <w:r w:rsidRPr="00073E10">
        <w:t xml:space="preserve"> которое он не может осуществить из-за отсутствия служебных полномочий или невозможности использовать свое служебное положение, следует квалифицировать при наличии умысла на приобретение указанных ценностей как мошенничество, по ст</w:t>
      </w:r>
      <w:r w:rsidR="00073E10">
        <w:t>.1</w:t>
      </w:r>
      <w:r w:rsidRPr="00073E10">
        <w:t>59 УК РФ</w:t>
      </w:r>
      <w:r w:rsidR="00073E10" w:rsidRPr="00073E10">
        <w:t xml:space="preserve">. </w:t>
      </w:r>
      <w:r w:rsidRPr="00073E10">
        <w:t>Владелец ценностей в таких случаях несет ответственность за покушение на коммерческий подкуп, если передача ценностей преследовала цель совершения желаемого для него действия (бездействия</w:t>
      </w:r>
      <w:r w:rsidR="00073E10" w:rsidRPr="00073E10">
        <w:t xml:space="preserve">) </w:t>
      </w:r>
      <w:r w:rsidRPr="00073E10">
        <w:t>указанными лицами</w:t>
      </w:r>
      <w:r w:rsidR="00073E10" w:rsidRPr="00073E10">
        <w:t xml:space="preserve">. </w:t>
      </w:r>
      <w:r w:rsidRPr="00073E10">
        <w:t>Если лицо получает от кого-либо деньги или иные ценности якобы для передачи лицу, выполняющему управленческие функции в коммерческой или иной организации, в качестве предмета коммерческого подкупа и, не намереваясь этого делать, присваивает их, содеянное им следует квалифицировать как мошенничество</w:t>
      </w:r>
      <w:r w:rsidR="00073E10" w:rsidRPr="00073E10">
        <w:t xml:space="preserve">. </w:t>
      </w:r>
    </w:p>
    <w:p w:rsidR="00073E10" w:rsidRDefault="00DD4343" w:rsidP="00073E10">
      <w:pPr>
        <w:widowControl w:val="0"/>
        <w:autoSpaceDE w:val="0"/>
        <w:autoSpaceDN w:val="0"/>
        <w:adjustRightInd w:val="0"/>
      </w:pPr>
      <w:r w:rsidRPr="00073E10">
        <w:t>Действия владельца ценностей в таких случаях подлежат квалификации как покушение на коммерческий подкуп</w:t>
      </w:r>
      <w:r w:rsidR="00073E10" w:rsidRPr="00073E10">
        <w:t xml:space="preserve">. </w:t>
      </w:r>
      <w:r w:rsidRPr="00073E10">
        <w:t>При этом не имеет значения, называлось ли конкретное лицо, выполняющее управленческие функции в коммерческой или иной организации, которому предполагалось передать незаконное вознаграждение при коммерческом подкупе</w:t>
      </w:r>
      <w:r w:rsidR="0010794E">
        <w:t>.</w:t>
      </w:r>
    </w:p>
    <w:p w:rsidR="00DD4343" w:rsidRPr="00073E10" w:rsidRDefault="0010794E" w:rsidP="0010794E">
      <w:pPr>
        <w:pStyle w:val="2"/>
      </w:pPr>
      <w:r>
        <w:br w:type="page"/>
      </w:r>
      <w:bookmarkStart w:id="2" w:name="_Toc227244957"/>
      <w:r w:rsidR="00DD4343" w:rsidRPr="00073E10">
        <w:t>Заключение</w:t>
      </w:r>
      <w:bookmarkEnd w:id="2"/>
    </w:p>
    <w:p w:rsidR="0010794E" w:rsidRDefault="0010794E" w:rsidP="00073E10">
      <w:pPr>
        <w:widowControl w:val="0"/>
        <w:autoSpaceDE w:val="0"/>
        <w:autoSpaceDN w:val="0"/>
        <w:adjustRightInd w:val="0"/>
      </w:pPr>
    </w:p>
    <w:p w:rsidR="00DD4343" w:rsidRPr="00073E10" w:rsidRDefault="00DD4343" w:rsidP="00073E10">
      <w:pPr>
        <w:widowControl w:val="0"/>
        <w:autoSpaceDE w:val="0"/>
        <w:autoSpaceDN w:val="0"/>
        <w:adjustRightInd w:val="0"/>
      </w:pPr>
      <w:r w:rsidRPr="00073E10">
        <w:t>В данной контрольной работе я рассмотрела понятие коммерческого подкупа и уголовную ответственность, согласно ст</w:t>
      </w:r>
      <w:r w:rsidR="00073E10">
        <w:t>. 20</w:t>
      </w:r>
      <w:r w:rsidRPr="00073E10">
        <w:t>4 УК РФ, предусмотренную за его совершение</w:t>
      </w:r>
      <w:r w:rsidR="00073E10" w:rsidRPr="00073E10">
        <w:t xml:space="preserve">. </w:t>
      </w:r>
    </w:p>
    <w:p w:rsidR="00073E10" w:rsidRDefault="00DD4343" w:rsidP="00073E10">
      <w:pPr>
        <w:widowControl w:val="0"/>
        <w:autoSpaceDE w:val="0"/>
        <w:autoSpaceDN w:val="0"/>
        <w:adjustRightInd w:val="0"/>
      </w:pPr>
      <w:r w:rsidRPr="00073E10">
        <w:t>До сих пор дискуссионными остаются вопросы толкования объективных и субъективных признаков состава преступления, предусмотренного ст</w:t>
      </w:r>
      <w:r w:rsidR="00073E10">
        <w:t>. 20</w:t>
      </w:r>
      <w:r w:rsidRPr="00073E10">
        <w:t>4 УК РФ, не ликвидирован ряд проблем теоретического и практического характера</w:t>
      </w:r>
      <w:r w:rsidR="00073E10" w:rsidRPr="00073E10">
        <w:t xml:space="preserve">. </w:t>
      </w:r>
      <w:r w:rsidRPr="00073E10">
        <w:t>Целый ряд вопросов, связанных с получением коммерческого подкупа</w:t>
      </w:r>
      <w:r w:rsidR="00073E10" w:rsidRPr="00073E10">
        <w:t xml:space="preserve">, </w:t>
      </w:r>
      <w:r w:rsidRPr="00073E10">
        <w:t>имеют неоднозначное толкование в науке, законе и правоприменительной практике, что объективно требует их дальнейшего изучения и разработки</w:t>
      </w:r>
      <w:r w:rsidR="00073E10" w:rsidRPr="00073E10">
        <w:t xml:space="preserve">. </w:t>
      </w:r>
      <w:r w:rsidRPr="00073E10">
        <w:t>Противоположные мнения и рекомендации, высказываемые по поводу определения сущности признаков состава получения коммерческого подкупа, затрудняют работу следственных органов и суда, способствуют нарушению законности</w:t>
      </w:r>
      <w:r w:rsidR="00073E10" w:rsidRPr="00073E10">
        <w:t xml:space="preserve">. </w:t>
      </w:r>
      <w:r w:rsidRPr="00073E10">
        <w:t>Указанные обстоятельства актуализируют необходимость теоретического исследования получения коммерческого подкупа в уголовно-правовом аспекте</w:t>
      </w:r>
      <w:r w:rsidR="00073E10" w:rsidRPr="00073E10">
        <w:t xml:space="preserve">. </w:t>
      </w:r>
    </w:p>
    <w:p w:rsidR="00073E10" w:rsidRDefault="00073E10" w:rsidP="00073E10">
      <w:pPr>
        <w:widowControl w:val="0"/>
        <w:autoSpaceDE w:val="0"/>
        <w:autoSpaceDN w:val="0"/>
        <w:adjustRightInd w:val="0"/>
      </w:pPr>
    </w:p>
    <w:p w:rsidR="00DD4343" w:rsidRDefault="0010794E" w:rsidP="0010794E">
      <w:pPr>
        <w:pStyle w:val="2"/>
      </w:pPr>
      <w:r>
        <w:br w:type="page"/>
      </w:r>
      <w:bookmarkStart w:id="3" w:name="_Toc227244958"/>
      <w:r w:rsidR="00DD4343" w:rsidRPr="00073E10">
        <w:t>Список литературы</w:t>
      </w:r>
      <w:bookmarkEnd w:id="3"/>
    </w:p>
    <w:p w:rsidR="0010794E" w:rsidRPr="0010794E" w:rsidRDefault="0010794E" w:rsidP="0010794E">
      <w:pPr>
        <w:widowControl w:val="0"/>
        <w:autoSpaceDE w:val="0"/>
        <w:autoSpaceDN w:val="0"/>
        <w:adjustRightInd w:val="0"/>
      </w:pPr>
    </w:p>
    <w:p w:rsidR="00DD4343" w:rsidRPr="00073E10" w:rsidRDefault="00DD4343" w:rsidP="0010794E">
      <w:pPr>
        <w:pStyle w:val="a1"/>
        <w:tabs>
          <w:tab w:val="left" w:pos="560"/>
        </w:tabs>
        <w:ind w:firstLine="0"/>
      </w:pPr>
      <w:r w:rsidRPr="00073E10">
        <w:t>Кравец Ю</w:t>
      </w:r>
      <w:r w:rsidR="00073E10" w:rsidRPr="00073E10">
        <w:t xml:space="preserve">. </w:t>
      </w:r>
      <w:r w:rsidRPr="00073E10">
        <w:t>Ответственность за преступления против службы в коммерческих и иных организациях, Рос</w:t>
      </w:r>
      <w:r w:rsidR="00073E10" w:rsidRPr="00073E10">
        <w:t xml:space="preserve">. </w:t>
      </w:r>
      <w:r w:rsidRPr="00073E10">
        <w:t>Юстиция, 1997, №7, С</w:t>
      </w:r>
      <w:r w:rsidR="00073E10">
        <w:t>.2</w:t>
      </w:r>
      <w:r w:rsidRPr="00073E10">
        <w:t>3-24</w:t>
      </w:r>
    </w:p>
    <w:p w:rsidR="00DD4343" w:rsidRPr="00073E10" w:rsidRDefault="00DD4343" w:rsidP="0010794E">
      <w:pPr>
        <w:pStyle w:val="a1"/>
        <w:tabs>
          <w:tab w:val="left" w:pos="560"/>
        </w:tabs>
        <w:ind w:firstLine="0"/>
      </w:pPr>
      <w:r w:rsidRPr="00073E10">
        <w:t>Постановление Пленума Верховного Суда Российской Федерации от 10 февраля 2000 г</w:t>
      </w:r>
      <w:r w:rsidR="00073E10" w:rsidRPr="00073E10">
        <w:t>. "</w:t>
      </w:r>
      <w:r w:rsidRPr="00073E10">
        <w:t>О судебной практике по делам о взяточничестве и коммерческом подкупе</w:t>
      </w:r>
      <w:r w:rsidR="00073E10" w:rsidRPr="00073E10">
        <w:t>"</w:t>
      </w:r>
      <w:r w:rsidRPr="00073E10">
        <w:t>, БВС РФ</w:t>
      </w:r>
      <w:r w:rsidR="00073E10">
        <w:t>. 20</w:t>
      </w:r>
      <w:r w:rsidRPr="00073E10">
        <w:t>00</w:t>
      </w:r>
      <w:r w:rsidR="00073E10" w:rsidRPr="00073E10">
        <w:t xml:space="preserve">, </w:t>
      </w:r>
      <w:r w:rsidRPr="00073E10">
        <w:rPr>
          <w:lang w:val="en-US"/>
        </w:rPr>
        <w:t>N</w:t>
      </w:r>
      <w:r w:rsidRPr="00073E10">
        <w:t xml:space="preserve"> 4, С</w:t>
      </w:r>
      <w:r w:rsidR="00073E10">
        <w:t>.6</w:t>
      </w:r>
    </w:p>
    <w:p w:rsidR="00DD4343" w:rsidRPr="00073E10" w:rsidRDefault="00DD4343" w:rsidP="0010794E">
      <w:pPr>
        <w:pStyle w:val="a1"/>
        <w:tabs>
          <w:tab w:val="left" w:pos="560"/>
        </w:tabs>
        <w:ind w:firstLine="0"/>
      </w:pPr>
      <w:r w:rsidRPr="00073E10">
        <w:t>Постановление Пленума Верховного Суда Российской Федерации от 10 февраля 2000 г</w:t>
      </w:r>
      <w:r w:rsidR="00073E10" w:rsidRPr="00073E10">
        <w:t>. "</w:t>
      </w:r>
      <w:r w:rsidRPr="00073E10">
        <w:t>О судебной практике по делам о взяточничестве и коммерческом подкупе</w:t>
      </w:r>
      <w:r w:rsidR="00073E10" w:rsidRPr="00073E10">
        <w:t>"</w:t>
      </w:r>
      <w:r w:rsidRPr="00073E10">
        <w:t>, БВС РФ</w:t>
      </w:r>
      <w:r w:rsidR="00073E10">
        <w:t>. 20</w:t>
      </w:r>
      <w:r w:rsidRPr="00073E10">
        <w:t>00</w:t>
      </w:r>
      <w:r w:rsidR="00073E10" w:rsidRPr="00073E10">
        <w:t xml:space="preserve">, </w:t>
      </w:r>
      <w:r w:rsidRPr="00073E10">
        <w:rPr>
          <w:lang w:val="en-US"/>
        </w:rPr>
        <w:t>N</w:t>
      </w:r>
      <w:r w:rsidRPr="00073E10">
        <w:t xml:space="preserve"> 4, С</w:t>
      </w:r>
      <w:r w:rsidR="00073E10">
        <w:t>.8</w:t>
      </w:r>
    </w:p>
    <w:p w:rsidR="00DD4343" w:rsidRPr="00073E10" w:rsidRDefault="00DD4343" w:rsidP="0010794E">
      <w:pPr>
        <w:pStyle w:val="a1"/>
        <w:tabs>
          <w:tab w:val="left" w:pos="560"/>
        </w:tabs>
        <w:ind w:firstLine="0"/>
      </w:pPr>
      <w:r w:rsidRPr="00073E10">
        <w:t>Уголовное право под ред</w:t>
      </w:r>
      <w:r w:rsidR="00073E10">
        <w:t>.</w:t>
      </w:r>
      <w:r w:rsidR="0010794E">
        <w:t xml:space="preserve"> </w:t>
      </w:r>
      <w:r w:rsidR="00073E10">
        <w:t xml:space="preserve">Н.И. </w:t>
      </w:r>
      <w:r w:rsidRPr="00073E10">
        <w:t>Ветрова, Закон и право, М</w:t>
      </w:r>
      <w:r w:rsidR="00073E10" w:rsidRPr="00073E10">
        <w:t>., 20</w:t>
      </w:r>
      <w:r w:rsidRPr="00073E10">
        <w:t>08</w:t>
      </w:r>
    </w:p>
    <w:p w:rsidR="00DD4343" w:rsidRPr="00073E10" w:rsidRDefault="00DD4343" w:rsidP="0010794E">
      <w:pPr>
        <w:pStyle w:val="a1"/>
        <w:tabs>
          <w:tab w:val="left" w:pos="560"/>
        </w:tabs>
        <w:ind w:firstLine="0"/>
      </w:pPr>
      <w:r w:rsidRPr="00073E10">
        <w:t>Комментарий к уголовному кодексу Российской Федерации под ред</w:t>
      </w:r>
      <w:r w:rsidR="00073E10" w:rsidRPr="00073E10">
        <w:t xml:space="preserve">. </w:t>
      </w:r>
      <w:r w:rsidRPr="00073E10">
        <w:t>проф</w:t>
      </w:r>
      <w:r w:rsidR="00073E10">
        <w:t>.</w:t>
      </w:r>
      <w:r w:rsidR="0010794E">
        <w:t xml:space="preserve"> </w:t>
      </w:r>
      <w:r w:rsidR="00073E10">
        <w:t xml:space="preserve">А.И. </w:t>
      </w:r>
      <w:r w:rsidRPr="00073E10">
        <w:t>Рарок, М</w:t>
      </w:r>
      <w:r w:rsidR="00073E10" w:rsidRPr="00073E10">
        <w:t>., 20</w:t>
      </w:r>
      <w:r w:rsidRPr="00073E10">
        <w:t>08</w:t>
      </w:r>
      <w:r w:rsidR="00073E10" w:rsidRPr="00073E10">
        <w:t xml:space="preserve">. </w:t>
      </w:r>
      <w:bookmarkStart w:id="4" w:name="_GoBack"/>
      <w:bookmarkEnd w:id="4"/>
    </w:p>
    <w:sectPr w:rsidR="00DD4343" w:rsidRPr="00073E10" w:rsidSect="00073E10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B7" w:rsidRDefault="000E3FB7" w:rsidP="00B2277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E3FB7" w:rsidRDefault="000E3FB7" w:rsidP="00B2277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046" w:rsidRDefault="00973046" w:rsidP="0060208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B7" w:rsidRDefault="000E3FB7" w:rsidP="00B2277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E3FB7" w:rsidRDefault="000E3FB7" w:rsidP="00B2277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10" w:rsidRDefault="00666C08" w:rsidP="00922883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73E10" w:rsidRDefault="00073E10" w:rsidP="00073E1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560A9"/>
    <w:multiLevelType w:val="hybridMultilevel"/>
    <w:tmpl w:val="7106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54AB"/>
    <w:multiLevelType w:val="hybridMultilevel"/>
    <w:tmpl w:val="50C2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A43"/>
    <w:multiLevelType w:val="hybridMultilevel"/>
    <w:tmpl w:val="D60AE320"/>
    <w:lvl w:ilvl="0" w:tplc="D1122E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43"/>
    <w:rsid w:val="000060DA"/>
    <w:rsid w:val="00073E10"/>
    <w:rsid w:val="00096AFE"/>
    <w:rsid w:val="000E3FB7"/>
    <w:rsid w:val="000F511A"/>
    <w:rsid w:val="0010794E"/>
    <w:rsid w:val="00176966"/>
    <w:rsid w:val="001A7942"/>
    <w:rsid w:val="001C50EC"/>
    <w:rsid w:val="00212905"/>
    <w:rsid w:val="00495621"/>
    <w:rsid w:val="00565314"/>
    <w:rsid w:val="00602086"/>
    <w:rsid w:val="00607D69"/>
    <w:rsid w:val="00666C08"/>
    <w:rsid w:val="00736D02"/>
    <w:rsid w:val="00796565"/>
    <w:rsid w:val="00913FDA"/>
    <w:rsid w:val="00922883"/>
    <w:rsid w:val="00965EC6"/>
    <w:rsid w:val="00973046"/>
    <w:rsid w:val="00AB26AB"/>
    <w:rsid w:val="00B2064E"/>
    <w:rsid w:val="00B22770"/>
    <w:rsid w:val="00BF1E26"/>
    <w:rsid w:val="00C52011"/>
    <w:rsid w:val="00CF4E78"/>
    <w:rsid w:val="00D77E23"/>
    <w:rsid w:val="00D82E3B"/>
    <w:rsid w:val="00D948DF"/>
    <w:rsid w:val="00DD4343"/>
    <w:rsid w:val="00E86E77"/>
    <w:rsid w:val="00EF484D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CF6616-E017-4360-98CF-AD4FD77D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73E1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073E1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073E1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073E1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073E1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073E1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073E1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073E1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073E1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73E1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9"/>
    <w:uiPriority w:val="99"/>
    <w:semiHidden/>
    <w:locked/>
    <w:rsid w:val="00073E10"/>
    <w:rPr>
      <w:noProof/>
      <w:kern w:val="16"/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DD4343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2"/>
    <w:link w:val="ac"/>
    <w:uiPriority w:val="99"/>
    <w:semiHidden/>
    <w:rsid w:val="00D77E2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77E23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2"/>
    <w:next w:val="ad"/>
    <w:link w:val="a8"/>
    <w:uiPriority w:val="99"/>
    <w:rsid w:val="00073E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73E10"/>
    <w:rPr>
      <w:vertAlign w:val="superscript"/>
    </w:rPr>
  </w:style>
  <w:style w:type="paragraph" w:styleId="ad">
    <w:name w:val="Body Text"/>
    <w:basedOn w:val="a2"/>
    <w:link w:val="af"/>
    <w:uiPriority w:val="99"/>
    <w:rsid w:val="00073E10"/>
    <w:pPr>
      <w:widowControl w:val="0"/>
      <w:autoSpaceDE w:val="0"/>
      <w:autoSpaceDN w:val="0"/>
      <w:adjustRightInd w:val="0"/>
    </w:pPr>
  </w:style>
  <w:style w:type="character" w:customStyle="1" w:styleId="af">
    <w:name w:val="Основной текст Знак"/>
    <w:link w:val="ad"/>
    <w:uiPriority w:val="99"/>
    <w:semiHidden/>
    <w:rPr>
      <w:rFonts w:ascii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073E1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073E10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073E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73E1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073E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073E10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73E1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73E10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73E10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7">
    <w:name w:val="page number"/>
    <w:uiPriority w:val="99"/>
    <w:rsid w:val="00073E10"/>
  </w:style>
  <w:style w:type="character" w:customStyle="1" w:styleId="af8">
    <w:name w:val="номер страницы"/>
    <w:uiPriority w:val="99"/>
    <w:rsid w:val="00073E10"/>
    <w:rPr>
      <w:sz w:val="28"/>
      <w:szCs w:val="28"/>
    </w:rPr>
  </w:style>
  <w:style w:type="paragraph" w:styleId="af9">
    <w:name w:val="Normal (Web)"/>
    <w:basedOn w:val="a2"/>
    <w:uiPriority w:val="99"/>
    <w:rsid w:val="00073E1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073E10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locked/>
    <w:rsid w:val="00073E10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073E1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073E1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073E10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073E1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73E1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73E10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3E10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73E1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73E1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73E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3E10"/>
    <w:rPr>
      <w:i/>
      <w:iCs/>
    </w:rPr>
  </w:style>
  <w:style w:type="paragraph" w:customStyle="1" w:styleId="afa">
    <w:name w:val="ТАБЛИЦА"/>
    <w:next w:val="a2"/>
    <w:autoRedefine/>
    <w:uiPriority w:val="99"/>
    <w:rsid w:val="00073E1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3">
    <w:name w:val="Стиль1"/>
    <w:basedOn w:val="afa"/>
    <w:autoRedefine/>
    <w:uiPriority w:val="99"/>
    <w:rsid w:val="00073E10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073E1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73E1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73E10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073E1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1">
    <w:name w:val="Block Text"/>
    <w:basedOn w:val="a2"/>
    <w:uiPriority w:val="99"/>
    <w:rsid w:val="00073E1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admin</cp:lastModifiedBy>
  <cp:revision>2</cp:revision>
  <dcterms:created xsi:type="dcterms:W3CDTF">2014-03-07T11:06:00Z</dcterms:created>
  <dcterms:modified xsi:type="dcterms:W3CDTF">2014-03-07T11:06:00Z</dcterms:modified>
</cp:coreProperties>
</file>