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57" w:rsidRDefault="003A3057" w:rsidP="00B62E3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B62E34">
        <w:rPr>
          <w:b/>
          <w:sz w:val="28"/>
          <w:szCs w:val="28"/>
        </w:rPr>
        <w:t>Задача</w:t>
      </w:r>
      <w:r w:rsidR="00B62E34" w:rsidRPr="00B62E34">
        <w:rPr>
          <w:b/>
          <w:sz w:val="28"/>
          <w:szCs w:val="28"/>
        </w:rPr>
        <w:t xml:space="preserve"> </w:t>
      </w:r>
      <w:r w:rsidR="003624BC">
        <w:rPr>
          <w:b/>
          <w:sz w:val="28"/>
          <w:szCs w:val="28"/>
        </w:rPr>
        <w:t>1</w:t>
      </w:r>
    </w:p>
    <w:p w:rsidR="00B62E34" w:rsidRPr="00B62E34" w:rsidRDefault="00B62E34" w:rsidP="00B62E3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3A3057" w:rsidRPr="00B62E34" w:rsidRDefault="003A3057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Нижегородов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находился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рабочем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помещении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инструментальной</w:t>
      </w:r>
      <w:r w:rsidR="00DB017D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мастерской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биржи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сырья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лесозавода.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Туда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же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после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15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часов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состоянии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алкогольного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опьянения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бутылкой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спирта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пришел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Гунявин,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который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настойчиво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предлагал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выпить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ним.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Поскольку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отказался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пить,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Гунявин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стал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оскорблять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его,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хватал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одежду,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топором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ударил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левую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часть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груди,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затем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снова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замахнулся,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уклонился,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результате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топором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была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причинена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лишь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царапина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шее.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реагируя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требования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бросить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топор,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Гунявин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вновь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замахнулся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топором.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Однако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вырвал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топор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нанес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смертельный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удар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Гунявину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голове.</w:t>
      </w:r>
    </w:p>
    <w:p w:rsidR="003A3057" w:rsidRPr="00B62E34" w:rsidRDefault="003A3057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Квалифицируйте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действия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Нижегородова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дайте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юридический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анализ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состава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преступления.</w:t>
      </w:r>
    </w:p>
    <w:p w:rsidR="006528A5" w:rsidRPr="00B62E34" w:rsidRDefault="006528A5" w:rsidP="00B62E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4">
        <w:rPr>
          <w:rFonts w:ascii="Times New Roman" w:hAnsi="Times New Roman" w:cs="Times New Roman"/>
          <w:sz w:val="28"/>
          <w:szCs w:val="28"/>
        </w:rPr>
        <w:t>1.Установление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уголовно-правовой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нормы.</w:t>
      </w:r>
    </w:p>
    <w:p w:rsidR="006528A5" w:rsidRPr="00B62E34" w:rsidRDefault="006528A5" w:rsidP="00B62E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4">
        <w:rPr>
          <w:rFonts w:ascii="Times New Roman" w:hAnsi="Times New Roman" w:cs="Times New Roman"/>
          <w:sz w:val="28"/>
          <w:szCs w:val="28"/>
        </w:rPr>
        <w:t>Действия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Нижегородова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попадают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под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уголовно-правовую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норму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ст.108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ч.1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УК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РФ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«Убийство,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совершенное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превышении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пределов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необходимой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обороны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либо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превышении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мер,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необходимых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для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задержания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лица,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совершившего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преступление».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Часть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1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этой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статьи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предусматривает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наказание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в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виде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ограничения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свободы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срок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до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двух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лет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или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лишение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свободы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тот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же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срок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за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убийство,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совершенное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превышении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пределов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необходимой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обороны.</w:t>
      </w:r>
    </w:p>
    <w:p w:rsidR="006528A5" w:rsidRPr="00B62E34" w:rsidRDefault="006528A5" w:rsidP="00B62E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4">
        <w:rPr>
          <w:rFonts w:ascii="Times New Roman" w:hAnsi="Times New Roman" w:cs="Times New Roman"/>
          <w:sz w:val="28"/>
          <w:szCs w:val="28"/>
        </w:rPr>
        <w:t>2.Данный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деяние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относится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к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привилегированному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виду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убийства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(со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смягчающими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обстоятельствами)</w:t>
      </w:r>
    </w:p>
    <w:p w:rsidR="006528A5" w:rsidRPr="00B62E34" w:rsidRDefault="006528A5" w:rsidP="00B62E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4">
        <w:rPr>
          <w:rFonts w:ascii="Times New Roman" w:hAnsi="Times New Roman" w:cs="Times New Roman"/>
          <w:sz w:val="28"/>
          <w:szCs w:val="28"/>
        </w:rPr>
        <w:t>3.Соответствие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состава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выбранной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правовой</w:t>
      </w:r>
      <w:r w:rsidR="00B62E34" w:rsidRPr="00B62E34">
        <w:rPr>
          <w:rFonts w:ascii="Times New Roman" w:hAnsi="Times New Roman" w:cs="Times New Roman"/>
          <w:sz w:val="28"/>
          <w:szCs w:val="28"/>
        </w:rPr>
        <w:t xml:space="preserve"> </w:t>
      </w:r>
      <w:r w:rsidRPr="00B62E34">
        <w:rPr>
          <w:rFonts w:ascii="Times New Roman" w:hAnsi="Times New Roman" w:cs="Times New Roman"/>
          <w:sz w:val="28"/>
          <w:szCs w:val="28"/>
        </w:rPr>
        <w:t>норме.</w:t>
      </w:r>
    </w:p>
    <w:p w:rsidR="006528A5" w:rsidRPr="00B62E34" w:rsidRDefault="006528A5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Объектом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жизнь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Уголовно-правовой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охране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равной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мере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подлежит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жизнь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любого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человека,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зависимости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физического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состояния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моральных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качеств,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т.е.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даже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если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человеку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остается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жить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всего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несколько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часов,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уголовный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кодекс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все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равно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защищает,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поскольку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все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равны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перед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законом.</w:t>
      </w:r>
    </w:p>
    <w:p w:rsidR="006528A5" w:rsidRPr="00B62E34" w:rsidRDefault="006528A5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Объективная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сторона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выражается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активном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поведении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(действии)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результате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превышения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пределов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допустимой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самообороны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ударил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топором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это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повлекло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собой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смерть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Гунявина.</w:t>
      </w:r>
    </w:p>
    <w:p w:rsidR="006528A5" w:rsidRPr="00B62E34" w:rsidRDefault="006528A5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Субъектом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совершивший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убийство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Гунявина.</w:t>
      </w:r>
    </w:p>
    <w:p w:rsidR="006528A5" w:rsidRPr="00B62E34" w:rsidRDefault="006528A5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Субъективная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сторона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выражается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умысле.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случае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место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косвенный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умысел,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т.к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самообороне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допускал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возможность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смерти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Нужно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отметить,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находился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состоянии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необходимой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обороны,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оборона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была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правомерна,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т.к.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нападение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Гунявина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носило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угрожающий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жизни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характер,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Нижегородову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нанесен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удар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топором.</w:t>
      </w:r>
    </w:p>
    <w:p w:rsidR="006528A5" w:rsidRPr="003624BC" w:rsidRDefault="006528A5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4.На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основании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всего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вышеизложенного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можно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судить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наличие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состава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соответствующего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выбранной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правовой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норме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ст.108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ч.1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«Убийство,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совершенное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превышении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пределов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необходимой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обороны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превышении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мер,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необходимых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для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задержания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совершившего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преступление».</w:t>
      </w:r>
    </w:p>
    <w:p w:rsidR="003624BC" w:rsidRPr="003624BC" w:rsidRDefault="003624BC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057" w:rsidRPr="00DB017D" w:rsidRDefault="003A3057" w:rsidP="00B62E3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B62E34">
        <w:rPr>
          <w:b/>
          <w:sz w:val="28"/>
          <w:szCs w:val="28"/>
        </w:rPr>
        <w:t>Задача</w:t>
      </w:r>
      <w:r w:rsidR="00B62E34" w:rsidRPr="00B62E34">
        <w:rPr>
          <w:b/>
          <w:sz w:val="28"/>
          <w:szCs w:val="28"/>
        </w:rPr>
        <w:t xml:space="preserve"> </w:t>
      </w:r>
      <w:r w:rsidR="003624BC">
        <w:rPr>
          <w:b/>
          <w:sz w:val="28"/>
          <w:szCs w:val="28"/>
        </w:rPr>
        <w:t>2</w:t>
      </w:r>
    </w:p>
    <w:p w:rsidR="003624BC" w:rsidRPr="00FC4063" w:rsidRDefault="00DB017D" w:rsidP="00B62E34">
      <w:pPr>
        <w:pStyle w:val="a3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FC4063">
        <w:rPr>
          <w:b/>
          <w:color w:val="FFFFFF"/>
          <w:sz w:val="28"/>
          <w:szCs w:val="28"/>
        </w:rPr>
        <w:t>убийство превышение вред неосторожность клевета</w:t>
      </w:r>
    </w:p>
    <w:p w:rsidR="003A3057" w:rsidRPr="00B62E34" w:rsidRDefault="003A3057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обеденный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перерыв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грузчик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Заносов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спал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товарном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вагоне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упаковочных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стружках.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Слонов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«ради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смеха»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поджег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стружки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закрыл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дверь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вагона.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крики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проснувшегося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Заносова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сбежались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люди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открыв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двери,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выпустили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Зансова.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Заносов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получил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ожоги,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отнесенные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легкому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здоровья,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вагон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же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сгорел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полностью.</w:t>
      </w:r>
    </w:p>
    <w:p w:rsidR="003A3057" w:rsidRPr="00B62E34" w:rsidRDefault="003A3057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Квалифицируйте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действия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Слонова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дайте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юридический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анализ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состава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преступления.</w:t>
      </w:r>
    </w:p>
    <w:p w:rsidR="00AA666A" w:rsidRPr="00B62E34" w:rsidRDefault="00AA666A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Действия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Слонова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подпадают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под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следующую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уголовно-правовую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норму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Умышленное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причинение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легкого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вреда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здоровью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(ст.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115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УК</w:t>
      </w:r>
      <w:r w:rsidR="00B62E34" w:rsidRPr="00B62E34">
        <w:rPr>
          <w:bCs/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РФ).</w:t>
      </w:r>
    </w:p>
    <w:p w:rsidR="006528A5" w:rsidRPr="00B62E34" w:rsidRDefault="00AA666A" w:rsidP="00B62E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iCs/>
          <w:sz w:val="28"/>
          <w:szCs w:val="28"/>
        </w:rPr>
        <w:t>Объектом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человека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здоровье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грузчика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Заносова.</w:t>
      </w:r>
    </w:p>
    <w:p w:rsidR="006528A5" w:rsidRPr="00B62E34" w:rsidRDefault="00AA666A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iCs/>
          <w:sz w:val="28"/>
          <w:szCs w:val="28"/>
        </w:rPr>
        <w:t>Объективная</w:t>
      </w:r>
      <w:r w:rsidR="00B62E34" w:rsidRPr="00B62E34">
        <w:rPr>
          <w:iCs/>
          <w:sz w:val="28"/>
          <w:szCs w:val="28"/>
        </w:rPr>
        <w:t xml:space="preserve"> </w:t>
      </w:r>
      <w:r w:rsidRPr="00B62E34">
        <w:rPr>
          <w:iCs/>
          <w:sz w:val="28"/>
          <w:szCs w:val="28"/>
        </w:rPr>
        <w:t>сторона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выражается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причинении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легкого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здоровью,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именно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действия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Слонова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(поджог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упаковочных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стружек)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повлекли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собой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легкого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здоровья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грузчика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Заносова.</w:t>
      </w:r>
    </w:p>
    <w:p w:rsidR="00AA666A" w:rsidRPr="00B62E34" w:rsidRDefault="00AA666A" w:rsidP="00B62E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Субъектом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ситуации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Слонов.</w:t>
      </w:r>
    </w:p>
    <w:p w:rsidR="00AA666A" w:rsidRPr="00B62E34" w:rsidRDefault="00AA666A" w:rsidP="00B62E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iCs/>
          <w:sz w:val="28"/>
          <w:szCs w:val="28"/>
        </w:rPr>
        <w:t>Субъективная</w:t>
      </w:r>
      <w:r w:rsidR="00B62E34" w:rsidRPr="00B62E34">
        <w:rPr>
          <w:rFonts w:ascii="Times New Roman" w:hAnsi="Times New Roman"/>
          <w:iCs/>
          <w:sz w:val="28"/>
          <w:szCs w:val="28"/>
        </w:rPr>
        <w:t xml:space="preserve"> </w:t>
      </w:r>
      <w:r w:rsidRPr="00B62E34">
        <w:rPr>
          <w:rFonts w:ascii="Times New Roman" w:hAnsi="Times New Roman"/>
          <w:iCs/>
          <w:sz w:val="28"/>
          <w:szCs w:val="28"/>
        </w:rPr>
        <w:t>сторона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характеризуется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умышленной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виной.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Умысел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может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прямым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косвенным.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Мотивы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могут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различными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(например,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месть,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ревность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др.).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ситуации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просматривается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прямого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косвенного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умысла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действиях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Слонова,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также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отсутствуют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корыстные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какие-либо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другие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мотивы.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Как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поясняет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сам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Слонов,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совершил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«ради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смеха».</w:t>
      </w:r>
    </w:p>
    <w:p w:rsidR="00AA666A" w:rsidRPr="00B62E34" w:rsidRDefault="00AA666A" w:rsidP="00B62E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Для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квалификации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Слонова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115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необходимо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установить,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умысел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состоял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причинении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легкого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вреда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здоровью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человека.</w:t>
      </w:r>
    </w:p>
    <w:p w:rsidR="00AA666A" w:rsidRPr="00B62E34" w:rsidRDefault="00AA666A" w:rsidP="00B62E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Из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всего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вышеизложенного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можно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сделать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следующие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выводы: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действиях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Слонова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просматривается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злого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умысла,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корыстного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мотива,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значит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могут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квалифицированны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соответствии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ст.115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РФ.</w:t>
      </w:r>
    </w:p>
    <w:p w:rsidR="00AA666A" w:rsidRPr="00DB017D" w:rsidRDefault="00AA666A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Причинение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легкого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здоровью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неосторожности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влечет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собой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ответственности.</w:t>
      </w:r>
    </w:p>
    <w:p w:rsidR="003624BC" w:rsidRPr="00DB017D" w:rsidRDefault="003624BC" w:rsidP="00B62E3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A3057" w:rsidRPr="003624BC" w:rsidRDefault="003A3057" w:rsidP="00B62E3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B62E34">
        <w:rPr>
          <w:b/>
          <w:sz w:val="28"/>
          <w:szCs w:val="28"/>
        </w:rPr>
        <w:t>3.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Проведите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разграничение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составов: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клевета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и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заведомо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ложный</w:t>
      </w:r>
      <w:r w:rsidR="00B62E34" w:rsidRPr="00B62E34">
        <w:rPr>
          <w:b/>
          <w:sz w:val="28"/>
          <w:szCs w:val="28"/>
        </w:rPr>
        <w:t xml:space="preserve"> </w:t>
      </w:r>
      <w:r w:rsidR="003624BC">
        <w:rPr>
          <w:b/>
          <w:sz w:val="28"/>
          <w:szCs w:val="28"/>
        </w:rPr>
        <w:t>донос</w:t>
      </w:r>
    </w:p>
    <w:p w:rsidR="003624BC" w:rsidRPr="003624BC" w:rsidRDefault="003624BC" w:rsidP="00B62E3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764A8D" w:rsidRPr="00B62E34" w:rsidRDefault="00764A8D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Уголовное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законодательство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определяет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клевету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как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распространение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заведомо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ложных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сведений,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порочащих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честь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достоинство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другого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подрывающих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репутацию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129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РФ).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Заведомо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ложный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донос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(ст.306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УК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bCs/>
          <w:sz w:val="28"/>
          <w:szCs w:val="28"/>
        </w:rPr>
        <w:t>РФ)</w:t>
      </w:r>
      <w:r w:rsidR="00B62E34" w:rsidRPr="00B62E34">
        <w:rPr>
          <w:rFonts w:ascii="Times New Roman" w:hAnsi="Times New Roman"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грубо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нарушает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деятельность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правоохранительных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органов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может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привести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трагическим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последствиям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отношении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граждан,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являющихся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потерпевшими.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оконченным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составом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момент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передачи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сообщения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(заявления)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указанным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выше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лицам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органам.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имеет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значения,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как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отнеслись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доносу: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восприняли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использовали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уголовном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судопроизводстве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отвергли.</w:t>
      </w:r>
    </w:p>
    <w:p w:rsidR="00764A8D" w:rsidRPr="00B62E34" w:rsidRDefault="00764A8D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62E34">
        <w:rPr>
          <w:rFonts w:ascii="Times New Roman" w:hAnsi="Times New Roman"/>
          <w:sz w:val="28"/>
          <w:szCs w:val="28"/>
        </w:rPr>
        <w:t>Субъектом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совершающее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лицо,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совершающее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действие,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причем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действует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умышленно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—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прямым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косвенным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умыслом.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достаточно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хорошо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понимает,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заявление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(сообщение)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соответствует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действительности: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самом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деле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ничего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достоверно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знает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случившемся,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намеренно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искажает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данные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участниках,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само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событие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вообще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вымышлено.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этом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субъект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желает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довести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эти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соответствующие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действительности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сведения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органов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правосудия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крайней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мере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допускает,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что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станут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известны.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Сообщение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правоохранительным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органам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своих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предположений,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мнений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догадок,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если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они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выдаются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за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истинные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сведения,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образует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доноса.</w:t>
      </w:r>
    </w:p>
    <w:p w:rsidR="00764A8D" w:rsidRPr="00B62E34" w:rsidRDefault="00764A8D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случае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клеветы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субъектом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также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может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являться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вменяемое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физическое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лицо,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="00366C8F" w:rsidRPr="00B62E34">
        <w:rPr>
          <w:rFonts w:ascii="Times New Roman" w:hAnsi="Times New Roman"/>
          <w:sz w:val="28"/>
          <w:szCs w:val="28"/>
        </w:rPr>
        <w:t>распространяющее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порочащие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другое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сведения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любой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форме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способах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хотя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бы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одному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лицу,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кроме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потерпевшего.</w:t>
      </w:r>
    </w:p>
    <w:p w:rsidR="00764A8D" w:rsidRPr="00B62E34" w:rsidRDefault="00764A8D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Квалифицирующие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признаки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доноса: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обвинение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лица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совершении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тяжкого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или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особо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тяжкого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преступления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</w:t>
      </w:r>
      <w:r w:rsidRPr="00FC4063">
        <w:rPr>
          <w:rFonts w:ascii="Times New Roman" w:hAnsi="Times New Roman"/>
          <w:sz w:val="28"/>
          <w:szCs w:val="28"/>
        </w:rPr>
        <w:t>ст.15</w:t>
      </w:r>
      <w:r w:rsidR="00B62E34" w:rsidRP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комментарий</w:t>
      </w:r>
      <w:r w:rsidR="00B62E34" w:rsidRP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к</w:t>
      </w:r>
      <w:r w:rsidR="00B62E34" w:rsidRPr="00FC4063">
        <w:rPr>
          <w:rFonts w:ascii="Times New Roman" w:hAnsi="Times New Roman"/>
          <w:sz w:val="28"/>
          <w:szCs w:val="28"/>
        </w:rPr>
        <w:t xml:space="preserve"> </w:t>
      </w:r>
      <w:r w:rsidRPr="00FC4063">
        <w:rPr>
          <w:rFonts w:ascii="Times New Roman" w:hAnsi="Times New Roman"/>
          <w:sz w:val="28"/>
          <w:szCs w:val="28"/>
        </w:rPr>
        <w:t>ней</w:t>
      </w:r>
      <w:r w:rsidRPr="00B62E34">
        <w:rPr>
          <w:rFonts w:ascii="Times New Roman" w:hAnsi="Times New Roman"/>
          <w:sz w:val="28"/>
          <w:szCs w:val="28"/>
        </w:rPr>
        <w:t>)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либо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соединение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доноса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искусственным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созданием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доказательств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обвинения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(подложные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письма,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ложные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вещественные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доказательства,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подговор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свидетелей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т.д.).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Вина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отношении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этих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квалифицирующих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обстоятельств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является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умышленной.</w:t>
      </w:r>
    </w:p>
    <w:p w:rsidR="00764A8D" w:rsidRPr="00B62E34" w:rsidRDefault="00764A8D" w:rsidP="00B62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34">
        <w:rPr>
          <w:rFonts w:ascii="Times New Roman" w:hAnsi="Times New Roman"/>
          <w:sz w:val="28"/>
          <w:szCs w:val="28"/>
          <w:lang w:eastAsia="ru-RU"/>
        </w:rPr>
        <w:t>В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части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2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ст.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129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УК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РФ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предусматриваются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такие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квалифицирующие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клеветы,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как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клевета,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содержащаяся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в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публичном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выступлении,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публично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демонстрирующемся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произведении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или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средствах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информации.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этом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под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клеветой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в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средствах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понимается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заведомо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ложных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в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произведениях,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типографским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способом,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прозвучавших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по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радио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или</w:t>
      </w:r>
      <w:r w:rsidR="00B62E34" w:rsidRPr="00B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E34">
        <w:rPr>
          <w:rFonts w:ascii="Times New Roman" w:hAnsi="Times New Roman"/>
          <w:sz w:val="28"/>
          <w:szCs w:val="28"/>
          <w:lang w:eastAsia="ru-RU"/>
        </w:rPr>
        <w:t>телевидению.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Мотив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цель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имеют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существенное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значение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для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отграничения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показаний.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имеют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ряд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одинаковых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элементов,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которые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делают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схожими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представляют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известную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трудность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разграничении.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Указанные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элементы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относятся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объективной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стороне,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субъективной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стороне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рассматриваемых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деяний.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является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достоинство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человека.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Причиняя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ущерб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чести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достоинству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личности,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причиняет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ущерб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самой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личности.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также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причиняется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ущерб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личности.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Однако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имеет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еще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один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посягательства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интересы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правосудия.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Причиняемый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ущерб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заключается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соответствующие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органы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вынуждены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заниматься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таким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делом,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тратя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определенные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моральные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материальные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силы,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отвлекаясь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выполнения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своих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прямых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обязанностей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борьбы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преступностью.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Самый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большой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интересам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правосудия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наносится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тогда,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когда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результате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основании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осуждается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невиновный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человек.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Опасность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заключается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способствует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снижению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авторитета,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престижа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правосудия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глазах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общественности.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Много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общего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объективной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стороне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преступлений.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происходит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ложных,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порочащих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другое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сведений,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только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качество,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содержание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иные,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нежели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клевете.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Одинаков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способ,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которым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совершаются.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же,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может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происходить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устно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или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письменно,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само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же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может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касаться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прошлого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настоящего,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отличие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может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относиться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будущему.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Главное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отличие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между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посягательствами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порочащие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другое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сведения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должны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касаться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якобы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совершенного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потерпевшим,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таких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сведений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направляется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органам,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правомочным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возбудить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преследование.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умысел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виновного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направлен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привлечение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потерпевшего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ответственности,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тогда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только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унижение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чести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достоинства.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Другим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преступным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деянием,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посягающим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достоинство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личности,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является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показание.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сближает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время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дачи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могут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быть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оглашены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сведения,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порочащие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другое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которые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причинят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вред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чести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достоинству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потерпевшего,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нанося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ущерб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авторитету,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репутации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т.д.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Различия,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существующие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между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этими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преступлениями,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более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существенны,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между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доносом.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затрагивают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интересы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правосудия.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объективной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стороне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различия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выражаются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могут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быть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совершены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действием,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есть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рассказом,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письмом,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так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бездействием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путем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умалчивания,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сообщения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известных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виновному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обстоятельств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дела.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Кроме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того,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даются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только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возбужденному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делу.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субъектам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этих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различия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заключаются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том,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предполагают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специальных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субъектов,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каковым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относятся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перечисленные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307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лица: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свидетели,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потерпевшие,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эксперты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переводчики,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положение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которых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деле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строго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определено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уголовно-процессуальным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законодательством.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субъектами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посягательства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быть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могут.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субъективной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стороны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заведомо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ложные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показания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совершаются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только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умышленно.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Субъектом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данного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является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вменяемое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физическое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достигшее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16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лет.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Особо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квалифицированный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состав,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изложенный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3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129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РФ,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клевета,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соединенная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обвинением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лица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совершении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тяжкого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(или)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особо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тяжкого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преступления.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Характерно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то,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что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законодатель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3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ст.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129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РФ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ввел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уголовную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ответственность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виде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штрафа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от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100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300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тысяч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рублей,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изменив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этом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наказание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виде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лишения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свободы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до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3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лет.</w:t>
      </w: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4A8D" w:rsidRPr="00B62E34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62E34" w:rsidRDefault="00B62E3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36AE2" w:rsidRDefault="00764A8D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62E34">
        <w:rPr>
          <w:b/>
          <w:sz w:val="28"/>
          <w:szCs w:val="28"/>
        </w:rPr>
        <w:t>Список</w:t>
      </w:r>
      <w:r w:rsidR="00B62E34" w:rsidRPr="00B62E34">
        <w:rPr>
          <w:b/>
          <w:sz w:val="28"/>
          <w:szCs w:val="28"/>
        </w:rPr>
        <w:t xml:space="preserve"> </w:t>
      </w:r>
      <w:r w:rsidRPr="00B62E34">
        <w:rPr>
          <w:b/>
          <w:sz w:val="28"/>
          <w:szCs w:val="28"/>
        </w:rPr>
        <w:t>использованной</w:t>
      </w:r>
      <w:r w:rsidR="00B62E34" w:rsidRPr="00B62E34">
        <w:rPr>
          <w:b/>
          <w:sz w:val="28"/>
          <w:szCs w:val="28"/>
        </w:rPr>
        <w:t xml:space="preserve"> </w:t>
      </w:r>
      <w:r w:rsidR="00B62E34">
        <w:rPr>
          <w:b/>
          <w:sz w:val="28"/>
          <w:szCs w:val="28"/>
        </w:rPr>
        <w:t>литературы</w:t>
      </w:r>
    </w:p>
    <w:p w:rsidR="00B62E34" w:rsidRPr="00B62E34" w:rsidRDefault="00B62E34" w:rsidP="00B62E3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66C8F" w:rsidRPr="00B62E34" w:rsidRDefault="00536AE2" w:rsidP="00B62E3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2E34">
        <w:rPr>
          <w:sz w:val="28"/>
          <w:szCs w:val="28"/>
        </w:rPr>
        <w:t>1.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bCs/>
          <w:sz w:val="28"/>
          <w:szCs w:val="28"/>
        </w:rPr>
        <w:t>Практикум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уголовному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праву.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Общая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особенная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части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/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под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ред.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А.В.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Бриллиантова,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И.Ф.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Клепицкого.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–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М.: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Проспект,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2008.</w:t>
      </w:r>
    </w:p>
    <w:p w:rsidR="00536AE2" w:rsidRPr="00B62E34" w:rsidRDefault="00536AE2" w:rsidP="00B62E34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62E34">
        <w:rPr>
          <w:sz w:val="28"/>
          <w:szCs w:val="28"/>
        </w:rPr>
        <w:t>2.Комментарий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УК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РФ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/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Под.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ред.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Лебедева.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-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М.:</w:t>
      </w:r>
      <w:r w:rsidR="00B62E34" w:rsidRPr="00B62E34">
        <w:rPr>
          <w:sz w:val="28"/>
          <w:szCs w:val="28"/>
        </w:rPr>
        <w:t xml:space="preserve"> </w:t>
      </w:r>
      <w:r w:rsidRPr="00B62E34">
        <w:rPr>
          <w:sz w:val="28"/>
          <w:szCs w:val="28"/>
        </w:rPr>
        <w:t>2002.</w:t>
      </w:r>
    </w:p>
    <w:p w:rsidR="00366C8F" w:rsidRPr="00B62E34" w:rsidRDefault="00536AE2" w:rsidP="00B62E3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3.Комментарий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УК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/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ред.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Рарога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А.И.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-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М.,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2004.</w:t>
      </w:r>
    </w:p>
    <w:p w:rsidR="00536AE2" w:rsidRPr="00B62E34" w:rsidRDefault="00536AE2" w:rsidP="00B62E3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4.Уголовный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Кодекс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РФ</w:t>
      </w:r>
    </w:p>
    <w:p w:rsidR="00536AE2" w:rsidRPr="00B62E34" w:rsidRDefault="00536AE2" w:rsidP="00B62E3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5.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Уголовное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Общая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часть: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Учебник.Издание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исправленное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дополненное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/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ред.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доктора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юридических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наук,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профессора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Л.В.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Иногамовой-Хегай,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доктора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юридических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наук,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профессора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А.И.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Рарога,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доктора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юридических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наук,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профессора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А.И.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Чучаева.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b/>
          <w:bCs/>
          <w:sz w:val="28"/>
          <w:szCs w:val="28"/>
        </w:rPr>
        <w:t>—</w:t>
      </w:r>
      <w:r w:rsidR="00B62E34" w:rsidRPr="00B62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М.: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Юридическая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фирма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«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Контракт»: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ИНФРА-М,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2005.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—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с.</w:t>
      </w:r>
    </w:p>
    <w:p w:rsidR="00536AE2" w:rsidRPr="00B62E34" w:rsidRDefault="00536AE2" w:rsidP="00B62E3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6.Уголовное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России.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Части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общая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и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особенная.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/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ред.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А.И.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Рарога.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–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М.: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Проспект,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2003.</w:t>
      </w:r>
    </w:p>
    <w:p w:rsidR="00536AE2" w:rsidRPr="00B62E34" w:rsidRDefault="00536AE2" w:rsidP="00B62E3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7.Уголовное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право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Российской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Федерации.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Особенная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часть.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/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Под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ред.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В.Н.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Кудрявцева.–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М.: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Юрист,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2003.</w:t>
      </w:r>
    </w:p>
    <w:p w:rsidR="00764A8D" w:rsidRDefault="00536AE2" w:rsidP="00B62E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E34">
        <w:rPr>
          <w:rFonts w:ascii="Times New Roman" w:hAnsi="Times New Roman"/>
          <w:sz w:val="28"/>
          <w:szCs w:val="28"/>
        </w:rPr>
        <w:t>8.Информационный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="00D97905" w:rsidRPr="00B62E34">
        <w:rPr>
          <w:rFonts w:ascii="Times New Roman" w:hAnsi="Times New Roman"/>
          <w:sz w:val="28"/>
          <w:szCs w:val="28"/>
        </w:rPr>
        <w:t>электронный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портал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«Консультант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+»</w:t>
      </w:r>
      <w:r w:rsidR="00B62E34" w:rsidRPr="00B62E34">
        <w:rPr>
          <w:rFonts w:ascii="Times New Roman" w:hAnsi="Times New Roman"/>
          <w:sz w:val="28"/>
          <w:szCs w:val="28"/>
        </w:rPr>
        <w:t xml:space="preserve"> </w:t>
      </w:r>
      <w:r w:rsidRPr="00B62E34">
        <w:rPr>
          <w:rFonts w:ascii="Times New Roman" w:hAnsi="Times New Roman"/>
          <w:sz w:val="28"/>
          <w:szCs w:val="28"/>
        </w:rPr>
        <w:t>.</w:t>
      </w:r>
    </w:p>
    <w:p w:rsidR="00556DE8" w:rsidRDefault="00556DE8" w:rsidP="00B62E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6DE8" w:rsidRPr="00FC4063" w:rsidRDefault="00556DE8" w:rsidP="00556DE8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56DE8" w:rsidRPr="00FC4063" w:rsidSect="00B62E3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A9" w:rsidRDefault="00586EA9" w:rsidP="00366C8F">
      <w:pPr>
        <w:spacing w:after="0" w:line="240" w:lineRule="auto"/>
      </w:pPr>
      <w:r>
        <w:separator/>
      </w:r>
    </w:p>
  </w:endnote>
  <w:endnote w:type="continuationSeparator" w:id="0">
    <w:p w:rsidR="00586EA9" w:rsidRDefault="00586EA9" w:rsidP="0036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8F" w:rsidRDefault="00366C8F">
    <w:pPr>
      <w:pStyle w:val="aa"/>
      <w:jc w:val="right"/>
    </w:pPr>
  </w:p>
  <w:p w:rsidR="00366C8F" w:rsidRDefault="00366C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A9" w:rsidRDefault="00586EA9" w:rsidP="00366C8F">
      <w:pPr>
        <w:spacing w:after="0" w:line="240" w:lineRule="auto"/>
      </w:pPr>
      <w:r>
        <w:separator/>
      </w:r>
    </w:p>
  </w:footnote>
  <w:footnote w:type="continuationSeparator" w:id="0">
    <w:p w:rsidR="00586EA9" w:rsidRDefault="00586EA9" w:rsidP="0036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E8" w:rsidRPr="00556DE8" w:rsidRDefault="00556DE8" w:rsidP="00556DE8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981"/>
    <w:multiLevelType w:val="multilevel"/>
    <w:tmpl w:val="E9F01EE4"/>
    <w:lvl w:ilvl="0">
      <w:start w:val="1"/>
      <w:numFmt w:val="decimal"/>
      <w:lvlText w:val="%1."/>
      <w:lvlJc w:val="righ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057"/>
    <w:rsid w:val="000077DF"/>
    <w:rsid w:val="000D3E39"/>
    <w:rsid w:val="003624BC"/>
    <w:rsid w:val="00366C8F"/>
    <w:rsid w:val="003A3057"/>
    <w:rsid w:val="00536AE2"/>
    <w:rsid w:val="00556DE8"/>
    <w:rsid w:val="00583D12"/>
    <w:rsid w:val="00586EA9"/>
    <w:rsid w:val="005A1358"/>
    <w:rsid w:val="006528A5"/>
    <w:rsid w:val="00690C2B"/>
    <w:rsid w:val="00764A8D"/>
    <w:rsid w:val="00783EC3"/>
    <w:rsid w:val="0079115A"/>
    <w:rsid w:val="00926B63"/>
    <w:rsid w:val="00A334F2"/>
    <w:rsid w:val="00AA666A"/>
    <w:rsid w:val="00AB3430"/>
    <w:rsid w:val="00AB77EB"/>
    <w:rsid w:val="00B62E34"/>
    <w:rsid w:val="00CB52C7"/>
    <w:rsid w:val="00CC58BA"/>
    <w:rsid w:val="00D97905"/>
    <w:rsid w:val="00DB017D"/>
    <w:rsid w:val="00EA6B1C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D23766-455E-4CCB-8AC7-4E6598C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305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305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652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ело"/>
    <w:basedOn w:val="a"/>
    <w:rsid w:val="00AA666A"/>
    <w:pPr>
      <w:spacing w:after="0" w:line="244" w:lineRule="exact"/>
      <w:ind w:firstLine="284"/>
      <w:jc w:val="both"/>
    </w:pPr>
    <w:rPr>
      <w:rFonts w:ascii="Peterburg" w:hAnsi="Peterburg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764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4A8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6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66C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6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66C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094">
              <w:marLeft w:val="150"/>
              <w:marRight w:val="0"/>
              <w:marTop w:val="0"/>
              <w:marBottom w:val="675"/>
              <w:divBdr>
                <w:top w:val="none" w:sz="0" w:space="0" w:color="auto"/>
                <w:left w:val="single" w:sz="48" w:space="0" w:color="065FBF"/>
                <w:bottom w:val="none" w:sz="0" w:space="0" w:color="auto"/>
                <w:right w:val="single" w:sz="48" w:space="0" w:color="FFFFFF"/>
              </w:divBdr>
              <w:divsChild>
                <w:div w:id="12780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709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2</cp:revision>
  <dcterms:created xsi:type="dcterms:W3CDTF">2014-03-25T01:08:00Z</dcterms:created>
  <dcterms:modified xsi:type="dcterms:W3CDTF">2014-03-25T01:08:00Z</dcterms:modified>
</cp:coreProperties>
</file>