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3E" w:rsidRDefault="009E3E3E"/>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r>
        <w:t xml:space="preserve">Контрольная работа </w:t>
      </w:r>
    </w:p>
    <w:p w:rsidR="009E3E3E" w:rsidRDefault="009E3E3E">
      <w:pPr>
        <w:pStyle w:val="af2"/>
      </w:pPr>
      <w:r>
        <w:t xml:space="preserve">По предпринимательскому праву </w:t>
      </w: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ind w:left="4556"/>
        <w:jc w:val="left"/>
      </w:pPr>
      <w:r>
        <w:t xml:space="preserve">Студентки 4 курса заочного </w:t>
      </w:r>
    </w:p>
    <w:p w:rsidR="009E3E3E" w:rsidRDefault="009E3E3E">
      <w:pPr>
        <w:pStyle w:val="af2"/>
        <w:ind w:left="4556"/>
        <w:jc w:val="left"/>
      </w:pPr>
      <w:r>
        <w:t xml:space="preserve">Юридического отделения </w:t>
      </w:r>
    </w:p>
    <w:p w:rsidR="009E3E3E" w:rsidRDefault="009E3E3E">
      <w:pPr>
        <w:pStyle w:val="af2"/>
        <w:ind w:left="4556"/>
        <w:jc w:val="left"/>
      </w:pPr>
      <w:r>
        <w:t>Поповой Юлии Алексеевны</w:t>
      </w:r>
    </w:p>
    <w:p w:rsidR="009E3E3E" w:rsidRDefault="009E3E3E">
      <w:pPr>
        <w:pStyle w:val="af2"/>
        <w:ind w:left="4556"/>
        <w:jc w:val="left"/>
      </w:pPr>
      <w:r>
        <w:t>Группа 402П</w:t>
      </w: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p>
    <w:p w:rsidR="009E3E3E" w:rsidRDefault="009E3E3E">
      <w:pPr>
        <w:pStyle w:val="af2"/>
      </w:pPr>
      <w:r>
        <w:t xml:space="preserve">Курган </w:t>
      </w:r>
    </w:p>
    <w:p w:rsidR="009E3E3E" w:rsidRDefault="009E3E3E">
      <w:pPr>
        <w:ind w:firstLine="0"/>
        <w:jc w:val="center"/>
        <w:rPr>
          <w:b/>
          <w:bCs/>
        </w:rPr>
      </w:pPr>
      <w:r>
        <w:br w:type="page"/>
      </w:r>
      <w:r>
        <w:rPr>
          <w:b/>
          <w:bCs/>
        </w:rPr>
        <w:t>СОДЕРЖАНИЕ</w:t>
      </w:r>
    </w:p>
    <w:p w:rsidR="009E3E3E" w:rsidRDefault="009E3E3E">
      <w:pPr>
        <w:pStyle w:val="a5"/>
        <w:tabs>
          <w:tab w:val="clear" w:pos="4677"/>
          <w:tab w:val="clear" w:pos="9355"/>
        </w:tabs>
      </w:pPr>
    </w:p>
    <w:p w:rsidR="009E3E3E" w:rsidRDefault="009E3E3E">
      <w:pPr>
        <w:pStyle w:val="21"/>
        <w:tabs>
          <w:tab w:val="right" w:leader="dot" w:pos="9345"/>
        </w:tabs>
        <w:ind w:left="0"/>
        <w:rPr>
          <w:smallCaps w:val="0"/>
          <w:noProof/>
          <w:sz w:val="24"/>
          <w:szCs w:val="24"/>
        </w:rPr>
      </w:pPr>
      <w:r w:rsidRPr="00665C48">
        <w:rPr>
          <w:rStyle w:val="af3"/>
          <w:noProof/>
          <w:sz w:val="28"/>
          <w:szCs w:val="28"/>
        </w:rPr>
        <w:t>1. Унитарное предприятие: выбор способа распоряжения имуществом как фактор развития</w:t>
      </w:r>
      <w:r>
        <w:rPr>
          <w:noProof/>
          <w:webHidden/>
          <w:sz w:val="28"/>
          <w:szCs w:val="28"/>
        </w:rPr>
        <w:tab/>
        <w:t>3</w:t>
      </w:r>
    </w:p>
    <w:p w:rsidR="009E3E3E" w:rsidRDefault="009E3E3E">
      <w:pPr>
        <w:pStyle w:val="21"/>
        <w:tabs>
          <w:tab w:val="right" w:leader="dot" w:pos="9345"/>
        </w:tabs>
        <w:ind w:left="0"/>
        <w:rPr>
          <w:smallCaps w:val="0"/>
          <w:noProof/>
          <w:sz w:val="24"/>
          <w:szCs w:val="24"/>
        </w:rPr>
      </w:pPr>
      <w:r w:rsidRPr="00665C48">
        <w:rPr>
          <w:rStyle w:val="af3"/>
          <w:noProof/>
          <w:sz w:val="28"/>
          <w:szCs w:val="28"/>
        </w:rPr>
        <w:t>2. Система органов, осуществляющих стандартизацию и сертификацию продукции</w:t>
      </w:r>
      <w:r>
        <w:rPr>
          <w:noProof/>
          <w:webHidden/>
          <w:sz w:val="28"/>
          <w:szCs w:val="28"/>
        </w:rPr>
        <w:tab/>
        <w:t>7</w:t>
      </w:r>
    </w:p>
    <w:p w:rsidR="009E3E3E" w:rsidRDefault="009E3E3E">
      <w:pPr>
        <w:pStyle w:val="11"/>
        <w:tabs>
          <w:tab w:val="right" w:leader="dot" w:pos="9345"/>
        </w:tabs>
        <w:spacing w:before="0" w:after="0"/>
        <w:rPr>
          <w:b w:val="0"/>
          <w:bCs w:val="0"/>
          <w:caps w:val="0"/>
          <w:noProof/>
          <w:sz w:val="24"/>
          <w:szCs w:val="24"/>
        </w:rPr>
      </w:pPr>
      <w:r w:rsidRPr="00665C48">
        <w:rPr>
          <w:rStyle w:val="af3"/>
          <w:noProof/>
          <w:sz w:val="28"/>
          <w:szCs w:val="28"/>
        </w:rPr>
        <w:t>Литература</w:t>
      </w:r>
      <w:r>
        <w:rPr>
          <w:noProof/>
          <w:webHidden/>
          <w:sz w:val="28"/>
          <w:szCs w:val="28"/>
        </w:rPr>
        <w:tab/>
        <w:t>14</w:t>
      </w:r>
    </w:p>
    <w:p w:rsidR="009E3E3E" w:rsidRDefault="009E3E3E"/>
    <w:p w:rsidR="009E3E3E" w:rsidRDefault="009E3E3E">
      <w:pPr>
        <w:pStyle w:val="2"/>
        <w:rPr>
          <w:kern w:val="0"/>
        </w:rPr>
      </w:pPr>
      <w:r>
        <w:br w:type="page"/>
      </w:r>
      <w:bookmarkStart w:id="0" w:name="_Toc217685158"/>
      <w:r>
        <w:rPr>
          <w:kern w:val="0"/>
        </w:rPr>
        <w:t>1. Унитарное предприятие: выбор способа распоряжения имуществом как фактор развития</w:t>
      </w:r>
      <w:bookmarkEnd w:id="0"/>
    </w:p>
    <w:p w:rsidR="009E3E3E" w:rsidRDefault="009E3E3E"/>
    <w:p w:rsidR="009E3E3E" w:rsidRDefault="009E3E3E">
      <w:r>
        <w:t xml:space="preserve">Право хозяйственного ведения имущества – это право представляет собой производное от права собственности вещное право юридических лиц – не собственников по хозяйственному и иному использованию имущества собственника. Основы современного правового режима хозяйственного ведения закреплены в главе 19 ГК РФ. Субъектами права хозяйственного ведения могут быть государственные или муниципальные унитарные предприятия. Имущество, переданное предприятию на праве хозяйственного ведения, выбывает из фактического обладания собственника-учредителя, зачисляется на баланс предприятия и служит базой его самостоятельной имущественной ответственности. </w:t>
      </w:r>
    </w:p>
    <w:p w:rsidR="009E3E3E" w:rsidRDefault="009E3E3E">
      <w:r>
        <w:t xml:space="preserve">Законодательство определяет права и самого собственника в отношении имущества, находящегося в хозяйственном ведении. В силу ст.295 ГК РФ собственник, которым в данном случае является публичное образование, принимает решение о создании, реорганизации, ликвидации государственного или муниципального предприятия. </w:t>
      </w:r>
    </w:p>
    <w:p w:rsidR="009E3E3E" w:rsidRDefault="009E3E3E">
      <w:r>
        <w:t xml:space="preserve">Права предприятия по владению, пользованию и распоряжению имуществом. Правомочие владения реализуется предприятием путем закрепления переданного имущества на самостоятельном балансе. Правомочие пользования осуществляется в соответствии с целями деятельности и назначением имущества. </w:t>
      </w:r>
    </w:p>
    <w:p w:rsidR="009E3E3E" w:rsidRDefault="009E3E3E">
      <w:r>
        <w:t xml:space="preserve">Государственные и муниципальные предприятия пользуются всеми правами, предоставленными законом собственнику, на судебную защиту закрепленного за ними на праве хозяйственного ведения имущества, включая право на предъявление виндикационного и негаторного исков, в том числе и в отношении собственника указанного имущества. </w:t>
      </w:r>
    </w:p>
    <w:p w:rsidR="009E3E3E" w:rsidRDefault="009E3E3E">
      <w:r>
        <w:t xml:space="preserve">Реализация правомочия распоряжения закрепленным имуществом имеет следующие особенности. В соответствии со ст.295 ГК РФ предприятие вправе самостоятельно, без согласия собственника, распоряжаться движимым имуществом, за исключением случаев, установленных законом или иными правовыми актами. Что же касается недвижимого имущества, то предприятие вправе его продавать, сдавать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им только с согласия собственника. Порядок получения согласия должен быть урегулирован в уставе предприятия или договоре о передаче имущества. В любом случае согласие должно быть предварительным и облечено в письменную форму. </w:t>
      </w:r>
    </w:p>
    <w:p w:rsidR="009E3E3E" w:rsidRDefault="009E3E3E">
      <w:r>
        <w:t xml:space="preserve">В соответствии со ст.299 ГК РФ плоды, продукция и доходы от использования имущества, находящегося в хозяйственном ведении, а также имущество, приобретенное унитарным предприятием по договору или иным основаниям, поступают в хозяйственное ведение предприятия. </w:t>
      </w:r>
    </w:p>
    <w:p w:rsidR="009E3E3E" w:rsidRDefault="009E3E3E">
      <w:r>
        <w:t xml:space="preserve">Определяя в ст.294, 295 ГК РФ правомочия унитарного предприятия по владению, пользованию и распоряжению государственным (муниципальным) имуществом, находящимся в хозяйственном ведении, законодатель не предусматривает обязательности заключения договоров между собственником соответствующего имущества и предприятием. Однако это не лишает сторон права такой договор заключить, конкретизировав в нем состав имущества, права, обязанности, ответственность сторон. </w:t>
      </w:r>
    </w:p>
    <w:p w:rsidR="009E3E3E" w:rsidRDefault="009E3E3E">
      <w:r>
        <w:t xml:space="preserve">Право оперативного управления представляет собой производное от права собственности вещное право. Субъектами права оперативного управления могут быть только казенные предприятия и учреждения. </w:t>
      </w:r>
    </w:p>
    <w:p w:rsidR="009E3E3E" w:rsidRDefault="009E3E3E">
      <w:r>
        <w:t xml:space="preserve">Собственником имущества казенного предприятия является Российская Федерация. Полномочия собственника имущества казенного предприятия в основном совпадают с полномочиями собственников предприятий, основанных на праве хозяйственного ведения. Как дополнительное можно выделить предусмотренное законодательством право собственника изъять излишнее, неиспользуемое или используемое не по назначению имущество и распорядиться им по своему усмотрению. </w:t>
      </w:r>
    </w:p>
    <w:p w:rsidR="009E3E3E" w:rsidRDefault="009E3E3E">
      <w:r>
        <w:t xml:space="preserve">Так, в силу ст.297 ГК РФ казенное предприятие вправе распоряжаться имуществом, как движимым, так и недвижимым, лишь с согласия собственника. Самостоятельно предприятие вправе реализовать только производимую им готовую продукцию, если иное не установлено законом или иными правовыми актами. Собственником определен порядок использования прибыли предприятия. За счет прибыли от реализации продукции (работ, услуг), произведенной в соответствии с планом-заказом и в результате разрешенной самостоятельной хозяйственной деятельности, предприятие создает фонды. Средства фондов могут использоваться на финансирование мероприятий, обеспечивающих выполнение плана-заказа, плана развития завода и на другие производственные цели, а также социальное развитие. Фонды создаются по нормативам, ежегодно устанавливаемым уполномоченным органом. Свободный остаток прибыли, остающейся после ее направления на указанные цели, подлежит изъятию в доход федерального бюджета. Гражданским кодексом РФ предусмотрена обязанность Российской Федерации как собственника нести субсидиарную ответственность по обязательствам предприятия в случае недостаточности его имущества. Право оперативного управления возникает с момента передачи имущества. Закон не устанавливает обязанности заключения договора между собственником и казенным предприятием, однако и не ограничивает их. </w:t>
      </w:r>
    </w:p>
    <w:p w:rsidR="009E3E3E" w:rsidRDefault="009E3E3E">
      <w:r>
        <w:t xml:space="preserve">Для использования в хозяйственной деятельности в целях получения прибыли государственное и муниципальное имущество передаваться во временное пользование организациям. Основной правовой формой передачи имущества во временное пользование является договор аренды (имущественного найма). Глава 34 ГК РФ содержит общие положения, применяемые ко всем договорам аренды независимо от вида арендуемого имущества, а также нормы, относящиеся к разновидностям данного договора. </w:t>
      </w:r>
    </w:p>
    <w:p w:rsidR="009E3E3E" w:rsidRDefault="009E3E3E">
      <w:r>
        <w:t xml:space="preserve">Важнейшим источником формирования имущественной самостоятельности хозяйствующих субъектов является прибыль. Именно в результате распределения прибыли предприятия образуются внутрихозяйственные фонды, которые используются на самые различные нужды. Источником формирования фондов предприятия помимо прибыли предприятия являются амортизационные отчисления, бюджетные ассигнования, кредиты банков, и прочие поступления, не противоречащие законодательству. </w:t>
      </w:r>
    </w:p>
    <w:p w:rsidR="009E3E3E" w:rsidRDefault="009E3E3E">
      <w:r>
        <w:t xml:space="preserve">Амортизационные отчисления-средства, накапливаемые на предприятии в результате переноса стоимости основных фондов по определенным нормам на текущие издержки производства и обращения. </w:t>
      </w:r>
    </w:p>
    <w:p w:rsidR="009E3E3E" w:rsidRDefault="009E3E3E">
      <w:r>
        <w:t xml:space="preserve">Бюджетный кредит согласно ст.6 Бюджетного кодекса РФ - это форма финансирования бюджетных расходов, которая предусматривает предоставление средств на возвратной и возмездной основе. Бюджетные кредиты предоставляются хозяйствующим субъектам на условиях и в пределах лимитов, которые предусмотрены соответствующими бюджетами. Государственным и муниципальным унитарным предприятиям бюджетные кредиты могут быть предоставлены как процентные, так и беспроцентные (ст.77 БК РФ). </w:t>
      </w:r>
    </w:p>
    <w:p w:rsidR="009E3E3E" w:rsidRDefault="009E3E3E">
      <w:r>
        <w:t xml:space="preserve">Бюджетный кредит должен быть возвращен в установленный срок. Получатели бюджетного кредита обязаны предоставлять информацию и отчет об использовании бюджетного кредита в органы, исполняющие бюджет, и контрольные органы соответствующих законодательных (представительных) органов. </w:t>
      </w:r>
    </w:p>
    <w:p w:rsidR="009E3E3E" w:rsidRDefault="009E3E3E">
      <w:r>
        <w:t xml:space="preserve">Источником финансовых ресурсов предприятий являются кредиты банков. Коммерческие банки предоставляют кредиты на самые различные цели: для осуществления планов технической реконструкции, расширения производства и т.д. </w:t>
      </w:r>
    </w:p>
    <w:p w:rsidR="009E3E3E" w:rsidRDefault="009E3E3E">
      <w:r>
        <w:t xml:space="preserve">Особенностью банковского кредита как источника формирования финансовых ресурсов является его возвратность и платность. </w:t>
      </w:r>
    </w:p>
    <w:p w:rsidR="009E3E3E" w:rsidRDefault="009E3E3E">
      <w:r>
        <w:t xml:space="preserve">Источником формирования ресурсов могут быть целевые средства, выделяемые из отраслевых фондов на возвратной основе. </w:t>
      </w:r>
    </w:p>
    <w:p w:rsidR="009E3E3E" w:rsidRDefault="009E3E3E"/>
    <w:p w:rsidR="009E3E3E" w:rsidRDefault="009E3E3E">
      <w:pPr>
        <w:pStyle w:val="2"/>
        <w:rPr>
          <w:kern w:val="0"/>
        </w:rPr>
      </w:pPr>
      <w:r>
        <w:br w:type="page"/>
      </w:r>
      <w:bookmarkStart w:id="1" w:name="_Toc217685159"/>
      <w:r>
        <w:rPr>
          <w:kern w:val="0"/>
        </w:rPr>
        <w:t>2. Система органов, осуществляющих стандартизацию и сертификацию продукции</w:t>
      </w:r>
      <w:bookmarkEnd w:id="1"/>
    </w:p>
    <w:p w:rsidR="009E3E3E" w:rsidRDefault="009E3E3E"/>
    <w:p w:rsidR="009E3E3E" w:rsidRDefault="009E3E3E">
      <w:r>
        <w:t xml:space="preserve">Стандартизация осуществляется в целях: • повышения уровня безопасности жизни или здоровья граждан, имущества физических или юридических лиц, государственного или муниципального имущества, экологической безопасности, безопасности жизни или здоровья животных и растений и содействия соблюдению требований технических регламентов; </w:t>
      </w:r>
    </w:p>
    <w:p w:rsidR="009E3E3E" w:rsidRDefault="009E3E3E">
      <w:r>
        <w:t xml:space="preserve">• повышения уровня безопасности объектов с учетом риска возникновения чрезвычайных ситуаций природного и техногенного характера; </w:t>
      </w:r>
    </w:p>
    <w:p w:rsidR="009E3E3E" w:rsidRDefault="009E3E3E">
      <w:r>
        <w:t xml:space="preserve">• обеспечения научно-технического прогресса; </w:t>
      </w:r>
    </w:p>
    <w:p w:rsidR="009E3E3E" w:rsidRDefault="009E3E3E">
      <w:r>
        <w:t xml:space="preserve">• повышения конкурентоспособности продукции, работ, услуг; </w:t>
      </w:r>
    </w:p>
    <w:p w:rsidR="009E3E3E" w:rsidRDefault="009E3E3E">
      <w:r>
        <w:t xml:space="preserve">• рационального использования ресурсов; </w:t>
      </w:r>
    </w:p>
    <w:p w:rsidR="009E3E3E" w:rsidRDefault="009E3E3E">
      <w:r>
        <w:t xml:space="preserve">• технической и информационной совместимости; </w:t>
      </w:r>
    </w:p>
    <w:p w:rsidR="009E3E3E" w:rsidRDefault="009E3E3E">
      <w:r>
        <w:t xml:space="preserve">• сопоставимости результатов исследований (испытаний) и измерений, технических и экономико-статистических данных; </w:t>
      </w:r>
    </w:p>
    <w:p w:rsidR="009E3E3E" w:rsidRDefault="009E3E3E">
      <w:r>
        <w:t xml:space="preserve">• взаимозаменяемости продукции. </w:t>
      </w:r>
    </w:p>
    <w:p w:rsidR="009E3E3E" w:rsidRDefault="009E3E3E">
      <w:r>
        <w:t xml:space="preserve">Принципы стандартизации. Стандартизация осуществляется в соответствии с принципами: </w:t>
      </w:r>
    </w:p>
    <w:p w:rsidR="009E3E3E" w:rsidRDefault="009E3E3E">
      <w:r>
        <w:t xml:space="preserve">• добровольного применения стандартов; </w:t>
      </w:r>
    </w:p>
    <w:p w:rsidR="009E3E3E" w:rsidRDefault="009E3E3E">
      <w:r>
        <w:t xml:space="preserve">• максимального учета при разработке стандартов законных интересов заинтересованных лиц; </w:t>
      </w:r>
    </w:p>
    <w:p w:rsidR="009E3E3E" w:rsidRDefault="009E3E3E">
      <w:r>
        <w:t xml:space="preserve">• 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 </w:t>
      </w:r>
    </w:p>
    <w:p w:rsidR="009E3E3E" w:rsidRDefault="009E3E3E">
      <w:r>
        <w:t xml:space="preserve">• 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 указанных в статье 11 настоящего Федерального закона; </w:t>
      </w:r>
    </w:p>
    <w:p w:rsidR="009E3E3E" w:rsidRDefault="009E3E3E">
      <w:r>
        <w:t xml:space="preserve">• недопустимости установления таких стандартов, которые противоречат техническим регламентам; </w:t>
      </w:r>
    </w:p>
    <w:p w:rsidR="009E3E3E" w:rsidRDefault="009E3E3E">
      <w:r>
        <w:t xml:space="preserve">• обеспечения условий для единообразного применения стандартов. К документам в области стандартизации, используемым на территории Российской Федерации, относятся: </w:t>
      </w:r>
    </w:p>
    <w:p w:rsidR="009E3E3E" w:rsidRDefault="009E3E3E">
      <w:r>
        <w:t xml:space="preserve">• национальные стандарты; </w:t>
      </w:r>
    </w:p>
    <w:p w:rsidR="009E3E3E" w:rsidRDefault="009E3E3E">
      <w:r>
        <w:t xml:space="preserve">• правила стандартизации, нормы и рекомендации в области стандартизации; </w:t>
      </w:r>
    </w:p>
    <w:p w:rsidR="009E3E3E" w:rsidRDefault="009E3E3E">
      <w:r>
        <w:t xml:space="preserve">• применяемые в установленном порядке классификации, общероссийские классификаторы технико-экономической и социальной информации; </w:t>
      </w:r>
    </w:p>
    <w:p w:rsidR="009E3E3E" w:rsidRDefault="009E3E3E">
      <w:r>
        <w:t xml:space="preserve">• стандарты организаций. </w:t>
      </w:r>
    </w:p>
    <w:p w:rsidR="009E3E3E" w:rsidRDefault="009E3E3E">
      <w:r>
        <w:t xml:space="preserve">Национальный орган Российской Федерации по стандартизации (далее - национальный орган по стандартизации): </w:t>
      </w:r>
    </w:p>
    <w:p w:rsidR="009E3E3E" w:rsidRDefault="009E3E3E">
      <w:r>
        <w:t xml:space="preserve">• утверждает национальные стандарты; </w:t>
      </w:r>
    </w:p>
    <w:p w:rsidR="009E3E3E" w:rsidRDefault="009E3E3E">
      <w:r>
        <w:t xml:space="preserve">• принимает программу разработки национальных стандартов; </w:t>
      </w:r>
    </w:p>
    <w:p w:rsidR="009E3E3E" w:rsidRDefault="009E3E3E">
      <w:r>
        <w:t xml:space="preserve">• организует экспертизу проектов национальных стандартов; </w:t>
      </w:r>
    </w:p>
    <w:p w:rsidR="009E3E3E" w:rsidRDefault="009E3E3E">
      <w:r>
        <w:t xml:space="preserve">• 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 </w:t>
      </w:r>
    </w:p>
    <w:p w:rsidR="009E3E3E" w:rsidRDefault="009E3E3E">
      <w:r>
        <w:t xml:space="preserve">• 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 </w:t>
      </w:r>
    </w:p>
    <w:p w:rsidR="009E3E3E" w:rsidRDefault="009E3E3E">
      <w:r>
        <w:t xml:space="preserve">• создает технические комитеты по стандартизации и координирует их деятельность; </w:t>
      </w:r>
    </w:p>
    <w:p w:rsidR="009E3E3E" w:rsidRDefault="009E3E3E">
      <w:r>
        <w:t xml:space="preserve">• организует опубликование национальных стандартов и их распространение; </w:t>
      </w:r>
    </w:p>
    <w:p w:rsidR="009E3E3E" w:rsidRDefault="009E3E3E">
      <w:r>
        <w:t xml:space="preserve">• 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 </w:t>
      </w:r>
    </w:p>
    <w:p w:rsidR="009E3E3E" w:rsidRDefault="009E3E3E">
      <w:r>
        <w:t xml:space="preserve">• утверждает изображение знака соответствия национальным стандартам; </w:t>
      </w:r>
    </w:p>
    <w:p w:rsidR="009E3E3E" w:rsidRDefault="009E3E3E">
      <w:r>
        <w:t xml:space="preserve">• представляет Российскую Федерацию в международных организациях, осуществляющих деятельность в области стандартизации. </w:t>
      </w:r>
    </w:p>
    <w:p w:rsidR="009E3E3E" w:rsidRDefault="009E3E3E">
      <w:r>
        <w:t xml:space="preserve">Постановлением Правительства РФ от 2 июня 2003 г. № 316 Государственный комитет РФ по стандартизации и метрологии определен органом, уполномоченным исполнять функции национального органа Российской Федерации по стандартизации. </w:t>
      </w:r>
    </w:p>
    <w:p w:rsidR="009E3E3E" w:rsidRDefault="009E3E3E">
      <w:r>
        <w:t xml:space="preserve">Национальные стандарты и общероссийские классификаторы технико-экономической и социальной информации, в том числе правила их разработки и применения, представляют собой национальную систему стандартизации. </w:t>
      </w:r>
    </w:p>
    <w:p w:rsidR="009E3E3E" w:rsidRDefault="009E3E3E">
      <w:r>
        <w:t xml:space="preserve">Национальные стандарты разрабатываются в порядке, установленном Федеральным законом. Национальные стандарты утверждаются национальным органом по стандартизации в соответствии с правилами стандартизации, нормами и рекомендациями в этой области. </w:t>
      </w:r>
    </w:p>
    <w:p w:rsidR="009E3E3E" w:rsidRDefault="009E3E3E">
      <w:r>
        <w:t xml:space="preserve">Общероссийские классификаторы технико-экономической и социальной информации - нормативные документы, распределяющие технико-экономическую и социальную информацию в соответствии с ее классификацией (классами, группами, видами и другим) и являющиеся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 </w:t>
      </w:r>
    </w:p>
    <w:p w:rsidR="009E3E3E" w:rsidRDefault="009E3E3E">
      <w:r>
        <w:t xml:space="preserve">Стандарты организаций, в том числе коммерческих, общественных, научных организаций, саморегулируемых организаций, объединений юридических лиц могут разрабатываться и утверждаться ими самостоятельно исходя из необходимости применения этих стандартов для целей, указанных в статье 11 настоящего Федерального закона, для совершенствования производства и обеспечения качества продукции, выполнения работ, оказания услуг, а также для распространения и использования полученных в различных областях знаний результатов исследований (испытаний), измерений и разработок. </w:t>
      </w:r>
    </w:p>
    <w:p w:rsidR="009E3E3E" w:rsidRDefault="009E3E3E">
      <w:r>
        <w:t xml:space="preserve">Обязательная сертификация.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w:t>
      </w:r>
    </w:p>
    <w:p w:rsidR="009E3E3E" w:rsidRDefault="009E3E3E">
      <w:r>
        <w:t xml:space="preserve">Соответствие продукции требованиям технических регламентов подтверждается сертификатом соответствия, выдаваемым заявителю органом по сертификации. </w:t>
      </w:r>
    </w:p>
    <w:p w:rsidR="009E3E3E" w:rsidRDefault="009E3E3E">
      <w:r>
        <w:t xml:space="preserve">Сертификат соответствия включает в себя: </w:t>
      </w:r>
    </w:p>
    <w:p w:rsidR="009E3E3E" w:rsidRDefault="009E3E3E">
      <w:r>
        <w:t xml:space="preserve">• наименование и местонахождение заявителя; </w:t>
      </w:r>
    </w:p>
    <w:p w:rsidR="009E3E3E" w:rsidRDefault="009E3E3E">
      <w:r>
        <w:t xml:space="preserve">• наименование и местонахождение изготовителя продукции, прошедшей сертификацию; </w:t>
      </w:r>
    </w:p>
    <w:p w:rsidR="009E3E3E" w:rsidRDefault="009E3E3E">
      <w:r>
        <w:t xml:space="preserve">• наименование и местонахождение органа по сертификации, выдавшего сертификат соответствия; </w:t>
      </w:r>
    </w:p>
    <w:p w:rsidR="009E3E3E" w:rsidRDefault="009E3E3E">
      <w:r>
        <w:t xml:space="preserve">• информацию об объекте сертификации, позволяющую идентифицировать этот объект; </w:t>
      </w:r>
    </w:p>
    <w:p w:rsidR="009E3E3E" w:rsidRDefault="009E3E3E">
      <w:r>
        <w:t xml:space="preserve">• наименование технического регламента, на соответствие требованиям которого проводилась сертификация; </w:t>
      </w:r>
    </w:p>
    <w:p w:rsidR="009E3E3E" w:rsidRDefault="009E3E3E">
      <w:r>
        <w:t xml:space="preserve">• информацию о проведенных исследованиях (испытаниях) и измерениях; </w:t>
      </w:r>
    </w:p>
    <w:p w:rsidR="009E3E3E" w:rsidRDefault="009E3E3E">
      <w:r>
        <w:t xml:space="preserve">• 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 </w:t>
      </w:r>
    </w:p>
    <w:p w:rsidR="009E3E3E" w:rsidRDefault="009E3E3E">
      <w:r>
        <w:t xml:space="preserve">• срок действия сертификата соответствия. </w:t>
      </w:r>
    </w:p>
    <w:p w:rsidR="009E3E3E" w:rsidRDefault="009E3E3E">
      <w:r>
        <w:t xml:space="preserve">Срок действия сертификата соответствия определяется соответствующим техническим регламентом. </w:t>
      </w:r>
    </w:p>
    <w:p w:rsidR="009E3E3E" w:rsidRDefault="009E3E3E">
      <w:r>
        <w:t xml:space="preserve">Форма сертификата соответствия утверждается федеральным органом исполнительной власти по техническому регулированию. </w:t>
      </w:r>
    </w:p>
    <w:p w:rsidR="009E3E3E" w:rsidRDefault="009E3E3E">
      <w:r>
        <w:t xml:space="preserve">Организация обязательной сертификации. Обязательная сертификация осуществляется органом по сертификации, аккредитованным в порядке, установленном Правительством Российской Федерации. </w:t>
      </w:r>
    </w:p>
    <w:p w:rsidR="009E3E3E" w:rsidRDefault="009E3E3E">
      <w:r>
        <w:t xml:space="preserve">Орган по сертификации: </w:t>
      </w:r>
    </w:p>
    <w:p w:rsidR="009E3E3E" w:rsidRDefault="009E3E3E">
      <w:r>
        <w:t xml:space="preserve">• привлекает на договорной основе для проведения исследований (испытаний) и измерений испытательные лаборатории (центры), аккредитованные в порядке, установленном Правительством Российской Федерации (далее - аккредитованные испытательные лаборатории (центры)); </w:t>
      </w:r>
    </w:p>
    <w:p w:rsidR="009E3E3E" w:rsidRDefault="009E3E3E">
      <w:r>
        <w:t xml:space="preserve">• осуществляет контроль за объектами сертификации, если такой контроль предусмотрен соответствующей схемой обязательной сертификации и договором; </w:t>
      </w:r>
    </w:p>
    <w:p w:rsidR="009E3E3E" w:rsidRDefault="009E3E3E">
      <w:r>
        <w:t xml:space="preserve">• ведет реестр выданных им сертификатов соответствия; </w:t>
      </w:r>
    </w:p>
    <w:p w:rsidR="009E3E3E" w:rsidRDefault="009E3E3E">
      <w:r>
        <w:t xml:space="preserve">• 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 </w:t>
      </w:r>
    </w:p>
    <w:p w:rsidR="009E3E3E" w:rsidRDefault="009E3E3E">
      <w:r>
        <w:t xml:space="preserve">• приостанавливает или прекращает действие выданного им сертификата соответствия; </w:t>
      </w:r>
    </w:p>
    <w:p w:rsidR="009E3E3E" w:rsidRDefault="009E3E3E">
      <w:r>
        <w:t xml:space="preserve">• обеспечивает предоставление заявителям информации о порядке проведения обязательной сертификации; </w:t>
      </w:r>
    </w:p>
    <w:p w:rsidR="009E3E3E" w:rsidRDefault="009E3E3E">
      <w:r>
        <w:t xml:space="preserve">• устанавливает стоимость работ по сертификации на основе утвержденной Правительством Российской Федерации методики определения стоимости таких работ. </w:t>
      </w:r>
    </w:p>
    <w:p w:rsidR="009E3E3E" w:rsidRDefault="009E3E3E">
      <w:r>
        <w:t xml:space="preserve">Федеральный орган исполнительной власти по техническому регулированию ведет единый реестр выданных сертификатов соответствия. </w:t>
      </w:r>
    </w:p>
    <w:p w:rsidR="009E3E3E" w:rsidRDefault="009E3E3E">
      <w:r>
        <w:t xml:space="preserve">Порядок ведения единого реестра выданных сертификатов соответствия, порядок предоставления содержащихся в едином реестре сведений и порядок оплаты за предоставление содержащихся в указанном реестре сведений устанавливаются Правительством Российской Федерации. </w:t>
      </w:r>
    </w:p>
    <w:p w:rsidR="009E3E3E" w:rsidRDefault="009E3E3E">
      <w:r>
        <w:t xml:space="preserve">Порядок передачи сведений о выданных сертификатах соответствия в единый реестр выданных сертификатов устанавливается федеральным органом исполнительной власти по техническому регулированию. </w:t>
      </w:r>
    </w:p>
    <w:p w:rsidR="009E3E3E" w:rsidRDefault="009E3E3E">
      <w:r>
        <w:t xml:space="preserve">Задача. </w:t>
      </w:r>
    </w:p>
    <w:p w:rsidR="009E3E3E" w:rsidRDefault="009E3E3E">
      <w:r>
        <w:t xml:space="preserve">В одном из жилых домов в Санкт-Петербурге освободилась квартира. Между комитетом по жилищной политике администрации Санкт-Петербурга и администрации Центрального района возник спор: кто имеет право заселить эту квартиру и выдать ордер? По мнению комитета по жилищной политике, жилой дом является собственностью города, а потому именно ему принадлежит право распоряжения квартирой. </w:t>
      </w:r>
    </w:p>
    <w:p w:rsidR="009E3E3E" w:rsidRDefault="009E3E3E">
      <w:r>
        <w:t xml:space="preserve">Администрация Центрального района считала, что дом относится к муниципальной собственности. При этом она ссылалась на то, что заселение дома происходит по ордерам, выдаваемым в районе, и дом значится на балансе одной из районных жилищно-эксплутационных организаций. </w:t>
      </w:r>
    </w:p>
    <w:p w:rsidR="009E3E3E" w:rsidRDefault="009E3E3E">
      <w:r>
        <w:t xml:space="preserve">Решите дело. </w:t>
      </w:r>
    </w:p>
    <w:p w:rsidR="009E3E3E" w:rsidRDefault="009E3E3E">
      <w:r>
        <w:t xml:space="preserve">По каким основаниям происходит разграничение государственной и муниципальной собственности? </w:t>
      </w:r>
    </w:p>
    <w:p w:rsidR="009E3E3E" w:rsidRDefault="009E3E3E">
      <w:r>
        <w:t xml:space="preserve">Ответ. </w:t>
      </w:r>
    </w:p>
    <w:p w:rsidR="009E3E3E" w:rsidRDefault="009E3E3E">
      <w:r>
        <w:t xml:space="preserve">Право государственной собственности характеризуется множественностью субъектов, в роли которых выступает Российская Федерация в целом (в отношении имущества, составляющего федеральную собственность) и ее субъекты – республики, края, области и т.д. (в отношении имущества, составляющего их собственность). Следовательно, субъектом права государственной собственности выступают именно соответствующие государственные (публично-правовые) образования в целом, т.е. Российская Федерация и входящие в ее состав республики, края, области и т.д., но не их органы власти или управления (п.3 ст.214). </w:t>
      </w:r>
    </w:p>
    <w:p w:rsidR="009E3E3E" w:rsidRDefault="009E3E3E">
      <w:r>
        <w:t xml:space="preserve">Муниципальная собственность относится к публичной частной собственности, поскольку ее субъекты являются публично-правовыми образованиями. Муниципальная собственность является разновидностью государственной собственности и представляет собой самостоятельный вид публичной собственности. </w:t>
      </w:r>
    </w:p>
    <w:p w:rsidR="009E3E3E" w:rsidRDefault="009E3E3E">
      <w:r>
        <w:t xml:space="preserve">Субъектами права в муниципальной собственности в п.1 ст.2 ГК РФ объявлены городские и сельские поселения и другие муниципальные образования в целом. От имени соответствующего муниципального образования – собственника его правомочия в соответствии со своей компетенцией могут осуществлять те или иные его органы (ст.125 п.2 ст.215 ГК РФ), что не делает их собственниками соответствующего имущества. </w:t>
      </w:r>
    </w:p>
    <w:p w:rsidR="009E3E3E" w:rsidRDefault="009E3E3E">
      <w:r>
        <w:t xml:space="preserve">Находясь в государственной или муниципальной собственности имущество подразделяется, на две части. Одна часть закрепляется за государственными или муниципальными предприятиями и учреждениями на праве хозяйственного ведения или оперативного управления. </w:t>
      </w:r>
    </w:p>
    <w:p w:rsidR="009E3E3E" w:rsidRDefault="009E3E3E">
      <w:r>
        <w:t xml:space="preserve">Я считаю, что дом относится к муниципальной собственности так как в ст.215 п.1 сказано: " Имущество, принадлежащее на праве собственности городским и сельским поселениям, а так же другим муниципальным образованиям, является муниципальной собственностью". </w:t>
      </w:r>
    </w:p>
    <w:p w:rsidR="009E3E3E" w:rsidRDefault="009E3E3E"/>
    <w:p w:rsidR="009E3E3E" w:rsidRDefault="009E3E3E">
      <w:pPr>
        <w:pStyle w:val="1"/>
      </w:pPr>
      <w:r>
        <w:br w:type="page"/>
      </w:r>
      <w:bookmarkStart w:id="2" w:name="_Toc217685160"/>
      <w:r>
        <w:t>Литература</w:t>
      </w:r>
      <w:bookmarkEnd w:id="2"/>
      <w:r>
        <w:t xml:space="preserve"> </w:t>
      </w:r>
    </w:p>
    <w:p w:rsidR="009E3E3E" w:rsidRDefault="009E3E3E"/>
    <w:p w:rsidR="009E3E3E" w:rsidRDefault="009E3E3E">
      <w:pPr>
        <w:pStyle w:val="a0"/>
      </w:pPr>
      <w:r>
        <w:t xml:space="preserve">Т.А. Гусева "Предпринимательское право", издательство "Экзамен", г. Москва, 2006 год. </w:t>
      </w:r>
    </w:p>
    <w:p w:rsidR="009E3E3E" w:rsidRDefault="009E3E3E">
      <w:pPr>
        <w:pStyle w:val="a0"/>
      </w:pPr>
      <w:r>
        <w:t xml:space="preserve">И.В. Ершова, Т.М. Иванова "Предпринимательское право", издательство "Юриспруденция", г. Москва, 2000 год. </w:t>
      </w:r>
    </w:p>
    <w:p w:rsidR="009E3E3E" w:rsidRDefault="009E3E3E">
      <w:pPr>
        <w:pStyle w:val="a0"/>
      </w:pPr>
      <w:r>
        <w:t xml:space="preserve">М.Б. Смоленский, А.А. Новикова "Гражданское право", издательский центр "МарТ", Москва – Ростов-на-Дону, 2005 год. </w:t>
      </w:r>
    </w:p>
    <w:p w:rsidR="009E3E3E" w:rsidRDefault="009E3E3E">
      <w:pPr>
        <w:pStyle w:val="a0"/>
      </w:pPr>
      <w:r>
        <w:t xml:space="preserve">Гражданский Кодекс Российской Федерации ТОО "МЕДИУМ-КОММ" 1995 год. </w:t>
      </w:r>
      <w:bookmarkStart w:id="3" w:name="_GoBack"/>
      <w:bookmarkEnd w:id="3"/>
    </w:p>
    <w:sectPr w:rsidR="009E3E3E">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3E" w:rsidRDefault="009E3E3E">
      <w:r>
        <w:separator/>
      </w:r>
    </w:p>
  </w:endnote>
  <w:endnote w:type="continuationSeparator" w:id="0">
    <w:p w:rsidR="009E3E3E" w:rsidRDefault="009E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3E" w:rsidRDefault="00665C48">
    <w:pPr>
      <w:pStyle w:val="a5"/>
      <w:framePr w:wrap="auto" w:vAnchor="text" w:hAnchor="margin" w:xAlign="right" w:y="1"/>
      <w:rPr>
        <w:rStyle w:val="a7"/>
      </w:rPr>
    </w:pPr>
    <w:r>
      <w:rPr>
        <w:rStyle w:val="a7"/>
        <w:noProof/>
      </w:rPr>
      <w:t>2</w:t>
    </w:r>
  </w:p>
  <w:p w:rsidR="009E3E3E" w:rsidRDefault="009E3E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3E" w:rsidRDefault="009E3E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3E" w:rsidRDefault="009E3E3E">
      <w:r>
        <w:separator/>
      </w:r>
    </w:p>
  </w:footnote>
  <w:footnote w:type="continuationSeparator" w:id="0">
    <w:p w:rsidR="009E3E3E" w:rsidRDefault="009E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3E" w:rsidRDefault="00665C48">
    <w:pPr>
      <w:pStyle w:val="a8"/>
      <w:framePr w:wrap="auto" w:vAnchor="text" w:hAnchor="margin" w:xAlign="right" w:y="1"/>
      <w:rPr>
        <w:rStyle w:val="a7"/>
      </w:rPr>
    </w:pPr>
    <w:r>
      <w:rPr>
        <w:rStyle w:val="a7"/>
      </w:rPr>
      <w:t>2</w:t>
    </w:r>
  </w:p>
  <w:p w:rsidR="009E3E3E" w:rsidRDefault="009E3E3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3E" w:rsidRDefault="009E3E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9CADA9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6EE20BD"/>
    <w:multiLevelType w:val="hybridMultilevel"/>
    <w:tmpl w:val="43F225D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34130CFD"/>
    <w:multiLevelType w:val="hybridMultilevel"/>
    <w:tmpl w:val="FBA4737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6FBB2C2D"/>
    <w:multiLevelType w:val="hybridMultilevel"/>
    <w:tmpl w:val="A8A44E24"/>
    <w:lvl w:ilvl="0" w:tplc="65784782">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78F263A4"/>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C48"/>
    <w:rsid w:val="00217BE0"/>
    <w:rsid w:val="00665C48"/>
    <w:rsid w:val="009E3E3E"/>
    <w:rsid w:val="00E7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0EB53F-8FEF-4811-B2D3-AE644FFD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ПЗ-531-2006г</vt:lpstr>
    </vt:vector>
  </TitlesOfParts>
  <Company>Увалпроминдустрия</Company>
  <LinksUpToDate>false</LinksUpToDate>
  <CharactersWithSpaces>18915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ПЗ-531-2006г</dc:title>
  <dc:subject/>
  <dc:creator>Дмитрий</dc:creator>
  <cp:keywords/>
  <dc:description/>
  <cp:lastModifiedBy>admin</cp:lastModifiedBy>
  <cp:revision>2</cp:revision>
  <cp:lastPrinted>2006-03-07T10:35:00Z</cp:lastPrinted>
  <dcterms:created xsi:type="dcterms:W3CDTF">2014-03-07T11:47:00Z</dcterms:created>
  <dcterms:modified xsi:type="dcterms:W3CDTF">2014-03-07T11:47:00Z</dcterms:modified>
</cp:coreProperties>
</file>