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2469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D91" w:rsidRPr="006A6A07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6A07" w:rsidRPr="007D173F" w:rsidRDefault="00182469" w:rsidP="006A6A07">
      <w:pPr>
        <w:widowControl/>
        <w:tabs>
          <w:tab w:val="left" w:pos="198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7D173F">
        <w:rPr>
          <w:rFonts w:ascii="Times New Roman" w:hAnsi="Times New Roman" w:cs="Times New Roman"/>
          <w:sz w:val="28"/>
          <w:szCs w:val="36"/>
        </w:rPr>
        <w:t>К</w:t>
      </w:r>
      <w:r w:rsidR="000B2D91" w:rsidRPr="007D173F">
        <w:rPr>
          <w:rFonts w:ascii="Times New Roman" w:hAnsi="Times New Roman" w:cs="Times New Roman"/>
          <w:sz w:val="28"/>
          <w:szCs w:val="36"/>
        </w:rPr>
        <w:t>урсовая работа</w:t>
      </w:r>
    </w:p>
    <w:p w:rsidR="00182469" w:rsidRPr="007D173F" w:rsidRDefault="00182469" w:rsidP="006A6A07">
      <w:pPr>
        <w:widowControl/>
        <w:tabs>
          <w:tab w:val="left" w:pos="198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7D173F">
        <w:rPr>
          <w:rFonts w:ascii="Times New Roman" w:hAnsi="Times New Roman" w:cs="Times New Roman"/>
          <w:sz w:val="28"/>
          <w:szCs w:val="36"/>
        </w:rPr>
        <w:t>по</w:t>
      </w:r>
      <w:r w:rsidR="000B2D91" w:rsidRPr="007D173F">
        <w:rPr>
          <w:rFonts w:ascii="Times New Roman" w:hAnsi="Times New Roman" w:cs="Times New Roman"/>
          <w:sz w:val="28"/>
          <w:szCs w:val="36"/>
        </w:rPr>
        <w:t xml:space="preserve"> </w:t>
      </w:r>
      <w:r w:rsidRPr="007D173F">
        <w:rPr>
          <w:rFonts w:ascii="Times New Roman" w:hAnsi="Times New Roman" w:cs="Times New Roman"/>
          <w:sz w:val="28"/>
          <w:szCs w:val="36"/>
        </w:rPr>
        <w:t>хозяйственному</w:t>
      </w:r>
      <w:r w:rsidR="000B2D91" w:rsidRPr="007D173F">
        <w:rPr>
          <w:rFonts w:ascii="Times New Roman" w:hAnsi="Times New Roman" w:cs="Times New Roman"/>
          <w:sz w:val="28"/>
          <w:szCs w:val="36"/>
        </w:rPr>
        <w:t xml:space="preserve"> </w:t>
      </w:r>
      <w:r w:rsidRPr="007D173F">
        <w:rPr>
          <w:rFonts w:ascii="Times New Roman" w:hAnsi="Times New Roman" w:cs="Times New Roman"/>
          <w:sz w:val="28"/>
          <w:szCs w:val="36"/>
        </w:rPr>
        <w:t>праву</w:t>
      </w:r>
      <w:r w:rsidR="000B2D91" w:rsidRPr="007D173F">
        <w:rPr>
          <w:rFonts w:ascii="Times New Roman" w:hAnsi="Times New Roman" w:cs="Times New Roman"/>
          <w:sz w:val="28"/>
          <w:szCs w:val="36"/>
        </w:rPr>
        <w:t xml:space="preserve"> </w:t>
      </w:r>
      <w:r w:rsidRPr="007D173F">
        <w:rPr>
          <w:rFonts w:ascii="Times New Roman" w:hAnsi="Times New Roman" w:cs="Times New Roman"/>
          <w:sz w:val="28"/>
          <w:szCs w:val="28"/>
        </w:rPr>
        <w:t>на</w:t>
      </w:r>
      <w:r w:rsidR="000B2D91" w:rsidRPr="007D173F">
        <w:rPr>
          <w:rFonts w:ascii="Times New Roman" w:hAnsi="Times New Roman" w:cs="Times New Roman"/>
          <w:sz w:val="28"/>
          <w:szCs w:val="28"/>
        </w:rPr>
        <w:t xml:space="preserve"> </w:t>
      </w:r>
      <w:r w:rsidRPr="007D173F">
        <w:rPr>
          <w:rFonts w:ascii="Times New Roman" w:hAnsi="Times New Roman" w:cs="Times New Roman"/>
          <w:sz w:val="28"/>
          <w:szCs w:val="28"/>
        </w:rPr>
        <w:t>тему:</w:t>
      </w:r>
    </w:p>
    <w:p w:rsidR="00182469" w:rsidRPr="000B2D91" w:rsidRDefault="00C37C5C" w:rsidP="006A6A07">
      <w:pPr>
        <w:pStyle w:val="1"/>
        <w:widowControl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B2D9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ставной</w:t>
      </w:r>
      <w:r w:rsidR="000B2D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лица</w:t>
      </w:r>
      <w:r w:rsidR="000B2D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B2D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0B2D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0B2D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color w:val="auto"/>
          <w:sz w:val="28"/>
          <w:szCs w:val="28"/>
        </w:rPr>
        <w:t>формирования</w:t>
      </w:r>
    </w:p>
    <w:p w:rsidR="00182469" w:rsidRPr="000B2D91" w:rsidRDefault="00182469" w:rsidP="00986112">
      <w:pPr>
        <w:widowControl/>
        <w:tabs>
          <w:tab w:val="left" w:pos="1980"/>
        </w:tabs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182469" w:rsidRPr="000B2D91" w:rsidRDefault="00182469" w:rsidP="00986112">
      <w:pPr>
        <w:widowControl/>
        <w:tabs>
          <w:tab w:val="left" w:pos="1980"/>
        </w:tabs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185331" w:rsidRPr="000B2D91" w:rsidRDefault="000B2D91" w:rsidP="00986112">
      <w:pPr>
        <w:widowControl/>
        <w:tabs>
          <w:tab w:val="left" w:pos="198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C37C5C" w:rsidRPr="000B2D9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85331" w:rsidRPr="000B2D91" w:rsidRDefault="0018533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5331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Введение</w:t>
      </w:r>
    </w:p>
    <w:p w:rsidR="005C6508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1.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 w:rsidRPr="000B2D91">
        <w:rPr>
          <w:rFonts w:ascii="Times New Roman" w:hAnsi="Times New Roman" w:cs="Times New Roman"/>
          <w:sz w:val="28"/>
          <w:szCs w:val="28"/>
        </w:rPr>
        <w:t>ставной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sz w:val="28"/>
          <w:szCs w:val="28"/>
        </w:rPr>
        <w:t>основа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0B2D91" w:rsidRPr="000B2D91">
        <w:rPr>
          <w:rFonts w:ascii="Times New Roman" w:hAnsi="Times New Roman" w:cs="Times New Roman"/>
          <w:sz w:val="28"/>
          <w:szCs w:val="28"/>
        </w:rPr>
        <w:t>лица</w:t>
      </w:r>
    </w:p>
    <w:p w:rsidR="005C6508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1.1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5C6508"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5C6508"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5C6508"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5C6508"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5C6508"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5C6508" w:rsidRPr="000B2D91">
        <w:rPr>
          <w:rFonts w:ascii="Times New Roman" w:hAnsi="Times New Roman" w:cs="Times New Roman"/>
          <w:sz w:val="28"/>
          <w:szCs w:val="28"/>
        </w:rPr>
        <w:t>лица</w:t>
      </w:r>
    </w:p>
    <w:p w:rsidR="005C6508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1.2.</w:t>
      </w:r>
      <w:r w:rsidR="000B2D91">
        <w:rPr>
          <w:rFonts w:ascii="Times New Roman" w:hAnsi="Times New Roman" w:cs="Times New Roman"/>
          <w:sz w:val="28"/>
          <w:szCs w:val="28"/>
        </w:rPr>
        <w:t xml:space="preserve"> Ф</w:t>
      </w:r>
      <w:r w:rsidRPr="000B2D91">
        <w:rPr>
          <w:rFonts w:ascii="Times New Roman" w:hAnsi="Times New Roman" w:cs="Times New Roman"/>
          <w:sz w:val="28"/>
          <w:szCs w:val="28"/>
        </w:rPr>
        <w:t>ормативно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регулирование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</w:p>
    <w:p w:rsidR="00C37C5C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2.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</w:t>
      </w:r>
      <w:r w:rsidR="006A6A07" w:rsidRPr="000B2D91">
        <w:rPr>
          <w:rFonts w:ascii="Times New Roman" w:hAnsi="Times New Roman" w:cs="Times New Roman"/>
          <w:sz w:val="28"/>
          <w:szCs w:val="28"/>
        </w:rPr>
        <w:t>ормирование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6A6A07"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6A6A07"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6A6A07"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6A6A07"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6A6A07" w:rsidRPr="000B2D91">
        <w:rPr>
          <w:rFonts w:ascii="Times New Roman" w:hAnsi="Times New Roman" w:cs="Times New Roman"/>
          <w:sz w:val="28"/>
          <w:szCs w:val="28"/>
        </w:rPr>
        <w:t>лица</w:t>
      </w:r>
    </w:p>
    <w:p w:rsidR="00C37C5C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2.1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</w:p>
    <w:p w:rsidR="00C37C5C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2.2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</w:p>
    <w:p w:rsidR="00C37C5C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Заключение</w:t>
      </w:r>
    </w:p>
    <w:p w:rsidR="00C37C5C" w:rsidRPr="000B2D91" w:rsidRDefault="00C37C5C" w:rsidP="00986112">
      <w:pPr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Список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используемой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литературы</w:t>
      </w:r>
    </w:p>
    <w:p w:rsidR="00C37C5C" w:rsidRPr="000B2D91" w:rsidRDefault="00C37C5C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2469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  <w:t>Введение</w:t>
      </w:r>
    </w:p>
    <w:p w:rsidR="000B2D91" w:rsidRP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Основу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обособленности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паевой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фонд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т.д.),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определяющий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являющийся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стартовым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развития.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гарантируются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унитарных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обладают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учитываемое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самостоятельном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балансе.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(учредителям)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предоставлены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количеством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принадлежащих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(паев,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совершенно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справедливо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замечает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Рутман,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эквивалентом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утраты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возникновение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связывающих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вновь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возникшей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личностью</w:t>
      </w:r>
      <w:r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"/>
      </w:r>
      <w:r w:rsidRPr="000B2D91">
        <w:rPr>
          <w:rFonts w:ascii="Times New Roman" w:hAnsi="Times New Roman" w:cs="Times New Roman"/>
          <w:sz w:val="28"/>
          <w:szCs w:val="28"/>
        </w:rPr>
        <w:t>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Российское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исходит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статье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90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прямо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заявляется: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гарантирующего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интересы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кредиторов".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"имущество"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рассматривается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совокупность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301),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деньги,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128).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Единого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найдем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литературе.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Г.Н.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Савичев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Е.А.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Суханов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подчеркивают: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строгом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смысле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слова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входят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принадлежащие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долги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(обязательства),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пассив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охватывает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совокупность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принадлежащих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вещей,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обязанностей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(долгов)"</w:t>
      </w:r>
      <w:r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2"/>
      </w:r>
      <w:r w:rsidRPr="000B2D91">
        <w:rPr>
          <w:rFonts w:ascii="Times New Roman" w:hAnsi="Times New Roman" w:cs="Times New Roman"/>
          <w:sz w:val="28"/>
          <w:szCs w:val="28"/>
        </w:rPr>
        <w:t>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авторы: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В.А.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Рахмилович.</w:t>
      </w:r>
    </w:p>
    <w:p w:rsidR="00185331" w:rsidRPr="000B2D91" w:rsidRDefault="0018533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Всё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обуславливает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актуальность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курсовой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работы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теоретический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анализ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особенностей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sz w:val="28"/>
          <w:szCs w:val="28"/>
        </w:rPr>
        <w:t>поставленной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sz w:val="28"/>
          <w:szCs w:val="28"/>
        </w:rPr>
        <w:t>цели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sz w:val="28"/>
          <w:szCs w:val="28"/>
        </w:rPr>
        <w:t>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sz w:val="28"/>
          <w:szCs w:val="28"/>
        </w:rPr>
        <w:t>сформулированы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sz w:val="28"/>
          <w:szCs w:val="28"/>
        </w:rPr>
        <w:t>следующие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sz w:val="28"/>
          <w:szCs w:val="28"/>
        </w:rPr>
        <w:t>задачи:</w:t>
      </w:r>
    </w:p>
    <w:p w:rsidR="00C37C5C" w:rsidRPr="000B2D91" w:rsidRDefault="00C37C5C" w:rsidP="00986112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дать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лица;</w:t>
      </w:r>
    </w:p>
    <w:p w:rsidR="00C37C5C" w:rsidRPr="000B2D91" w:rsidRDefault="00C37C5C" w:rsidP="00986112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нормативную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базу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лица;</w:t>
      </w:r>
    </w:p>
    <w:p w:rsidR="00C37C5C" w:rsidRPr="000B2D91" w:rsidRDefault="00C37C5C" w:rsidP="00986112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рассмотреть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лица;</w:t>
      </w:r>
    </w:p>
    <w:p w:rsidR="00C37C5C" w:rsidRPr="000B2D91" w:rsidRDefault="00C37C5C" w:rsidP="00986112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определить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лица.</w:t>
      </w:r>
    </w:p>
    <w:p w:rsidR="00C37C5C" w:rsidRPr="000B2D91" w:rsidRDefault="00C37C5C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Рассмотрению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уделялось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внимание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Каминки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А.И.,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бушева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А.Ю.,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Суханова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Е.А.,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Нарышкина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Р.Л.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др.</w:t>
      </w:r>
    </w:p>
    <w:p w:rsidR="00185331" w:rsidRPr="000B2D91" w:rsidRDefault="0018533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–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складывающиеся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процессе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лица.</w:t>
      </w:r>
    </w:p>
    <w:p w:rsidR="00185331" w:rsidRPr="000B2D91" w:rsidRDefault="0018533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Предмет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–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направленные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регулирование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отношений.</w:t>
      </w:r>
    </w:p>
    <w:p w:rsidR="00C37C5C" w:rsidRPr="000B2D91" w:rsidRDefault="00C37C5C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2469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Уставной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(складочный)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капитал,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основа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b/>
          <w:sz w:val="28"/>
          <w:szCs w:val="28"/>
        </w:rPr>
        <w:t>юридического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b/>
          <w:sz w:val="28"/>
          <w:szCs w:val="28"/>
        </w:rPr>
        <w:t>лица</w:t>
      </w:r>
    </w:p>
    <w:p w:rsidR="000B2D91" w:rsidRP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5331" w:rsidRPr="000B2D91" w:rsidRDefault="0018533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D91">
        <w:rPr>
          <w:rFonts w:ascii="Times New Roman" w:hAnsi="Times New Roman" w:cs="Times New Roman"/>
          <w:b/>
          <w:sz w:val="28"/>
          <w:szCs w:val="28"/>
        </w:rPr>
        <w:t>1.1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лица</w:t>
      </w:r>
    </w:p>
    <w:p w:rsidR="00185331" w:rsidRPr="000B2D91" w:rsidRDefault="0018533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функционирующим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капиталом.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отграничивается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совокупностью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частью.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зафиксированный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никогда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отличается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во-первых,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величина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отражается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балансу,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закрепляется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во-вторых,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Средства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отграничиваются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корреспондентском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счете,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хранятся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поступивших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источников.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обезличиваются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исследования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интерес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анализ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классических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описанных,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Р.Л.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Нарышкиной</w:t>
      </w:r>
      <w:r w:rsidR="005F79D6" w:rsidRPr="00DE4409">
        <w:t>../AppData/Local/Temp/Rar$DI00.007/работа/2007-2008 у.г/Формирование уставного (складочного) капитала коммерческой организации .rtf - sub_5#sub_5</w:t>
      </w:r>
      <w:r w:rsidRPr="000B2D91">
        <w:rPr>
          <w:rFonts w:ascii="Times New Roman" w:hAnsi="Times New Roman" w:cs="Times New Roman"/>
          <w:sz w:val="28"/>
          <w:szCs w:val="28"/>
        </w:rPr>
        <w:t>.</w:t>
      </w:r>
      <w:r w:rsidR="00BE1D74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3"/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Первой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традиционной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материальной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базы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возникновении.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Однако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выполнения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представляется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необходимым,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материальную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базу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займа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экономическая.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точки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зрения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представляется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следующей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принимает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достаточных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Вторая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гарантийная.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Состоит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уменьшении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уведомить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потребовать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возмещения,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убытков.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обычно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уровне,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разрешая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дивидендов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Третью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правоопределяющую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(акционеров).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зависимости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(количества)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(акций)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различны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управлении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получаемых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дивидендов.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Гражданским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Федерации</w:t>
      </w:r>
      <w:r w:rsidR="00BE1D74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4"/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обществах"</w:t>
      </w:r>
      <w:r w:rsidR="00BE1D74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5"/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жесткое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чистых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конец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второго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каждого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последующего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финансового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хотя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величине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объявленного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(зарегистрированного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оплаченного)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объявить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уменьшение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чистых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окажется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меньше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ликвидации.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Предполагалось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подразумевалось,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введение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послужит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дополнительной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гарантией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отметить,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жесткой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концепции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большинства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штатов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США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специального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корпорации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многих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европейских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странах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допускается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специальных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чистых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окажется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меньше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принятии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выносится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рассмотрение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собрания,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решает,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ликвидировать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компанию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принять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какие-либо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меры.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жесткая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концепция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смогла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интересы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причинам: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Во-первых,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экономической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точки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зрения,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выполняет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выполнять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интересов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претендовать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Во-вторых,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заинтересованы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увеличении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чистые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меньше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всегда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экономически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обоснованное)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предъявления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обязанностей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ними.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величина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многократно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превышать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сложившийся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дефицит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между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величиной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чистых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активов.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жесткая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концепция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выполняет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"поручены".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выполнять,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подтверждается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мировыми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тенденциями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развития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корпоративного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построенного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запрещающих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механизмах.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словами,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многие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запреты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теряют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смысл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обнаруживаются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обхода.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Классическим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англо-американского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отмирание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этим,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нашему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мнению,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нецелесообразно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бессмысленно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государством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направлены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дальнейшее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ужесточение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предъявляемых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увеличение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Рассматриваемое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осложняет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несущего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убытки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объективным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причинам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краткосрочном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периоде.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вышеизложенным,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представляется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целесообразным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изменения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дополнения,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смягчающие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концепцию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концепции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отличается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американская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доктрина.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Революционные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изменения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сфере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корпоративного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произошли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1980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изменений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Примерный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предпринимательских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корпорациях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1969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(Model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Business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Corporation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Act).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Примерный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редакции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1984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ликвидировал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традиционные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номинальная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(par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value).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Официальный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комментарий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объясняет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новеллу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"ученые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давно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пришли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выводу,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связанные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"номинальной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капитала",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очень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сложными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запутанными,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выполнить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первоначальной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акционеров-владельцев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привилегированных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Напротив,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вводят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заблуждение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держателей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ложное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впечатление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защиты</w:t>
      </w:r>
      <w:r w:rsidR="00BE1D74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6"/>
      </w:r>
      <w:r w:rsidRPr="000B2D91">
        <w:rPr>
          <w:rFonts w:ascii="Times New Roman" w:hAnsi="Times New Roman" w:cs="Times New Roman"/>
          <w:sz w:val="28"/>
          <w:szCs w:val="28"/>
        </w:rPr>
        <w:t>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Примерном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отменено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поддержание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Вместо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введены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жесткие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"распределения"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главным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выплата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дивидендов.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участия)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делает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освобождение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зачета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допускается.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словами,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участия)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безвозмездно,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кроме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запрещается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погашения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долгов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(участниками).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Каждый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(акционер)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уплата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обществе.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D74" w:rsidRP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Нормативное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регулирование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уставного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(складочного)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капитала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юридического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лица</w:t>
      </w: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Российское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европейской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традиции,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наличие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«твердого»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обязательным.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настоящее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достаточных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оснований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отказываться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категории,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выполнение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осуществления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(обеспечение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стартового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гарантии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кредиторов).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Современное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регулирование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решает.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1000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(100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тыс.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руб.)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открытого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(10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тыс.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руб.)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закрытого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недостаточно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зарубежных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правопорядках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нормативных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Второй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директиве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1976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значительно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высокие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Применительно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страховым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организациям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настоящее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определяющими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специфику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статуса,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высокий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рынка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управляющих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компаний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инвестиционных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фондов,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паевых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инвестиционных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фондов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негосударственных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пенсионных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фондов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специальные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–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нормативу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достаточности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(установлены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приказом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ФСФР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«О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рынке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бумаг»).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способствуют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осуществлению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Существующее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помимо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оценку.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весьма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широкое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нуждается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конкретизации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сформулированы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специальных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применительно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сферам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страховая.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ряде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зарубежных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определенной,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существенной,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(порядка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30-50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процентов).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отсутствуют</w:t>
      </w:r>
      <w:r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7"/>
      </w:r>
      <w:r w:rsidRPr="000B2D91">
        <w:rPr>
          <w:rFonts w:ascii="Times New Roman" w:hAnsi="Times New Roman" w:cs="Times New Roman"/>
          <w:sz w:val="28"/>
          <w:szCs w:val="28"/>
        </w:rPr>
        <w:t>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эффективно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регулирует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применительно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страховых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недостаточно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эффективно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–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пересмотр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очередь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содержащихся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посвященных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обществ.</w:t>
      </w:r>
    </w:p>
    <w:p w:rsidR="00BE1D74" w:rsidRPr="000B2D91" w:rsidRDefault="00BE1D74" w:rsidP="00986112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предназначены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конструкции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крупных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заинтересованностью,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режим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кардинально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пересмотреть.</w:t>
      </w:r>
    </w:p>
    <w:p w:rsidR="00BE1D74" w:rsidRPr="000B2D91" w:rsidRDefault="00BE1D74" w:rsidP="00986112">
      <w:pPr>
        <w:widowControl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Многолетняя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сделках,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прежде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содержащихся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«Об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показала,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способствуют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интересов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миноритариев,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широко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используются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отказа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совершенных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сделок.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подрывает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оборот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находится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противоречии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интересами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контрагентов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(кредиторов)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последних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фактически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перекладывается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(риск)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последствий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недобросовестных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незаконных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выборных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представляется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необоснованным.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2469" w:rsidRP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82469" w:rsidRPr="000B2D9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уставного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(складочного)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капитала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юридического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лица</w:t>
      </w: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5331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D91">
        <w:rPr>
          <w:rFonts w:ascii="Times New Roman" w:hAnsi="Times New Roman" w:cs="Times New Roman"/>
          <w:b/>
          <w:sz w:val="28"/>
          <w:szCs w:val="28"/>
        </w:rPr>
        <w:t>2.1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(складочного)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лица</w:t>
      </w: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Действующее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частичной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предварительной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50%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оставшаяся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наполовину,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оставшаяся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90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действовавшее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утвержденного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постановлением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Совета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Министров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РСФСР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декабря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1990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601,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дней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50%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оставшиеся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происходило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Гражданский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РСФСР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1922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ныне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частичную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предварительную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327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РСФСР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1922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четверть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оставшийся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многих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европейских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частичную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Германии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(Gesellschaft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mit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beschrankter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haftung,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GmBH)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тысяч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немецких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марок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переходом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единой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валюте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Европейского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Союза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евро)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каждый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четверти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Франции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(SARL)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распределены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между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делаются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натуре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наличными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деньгами.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Венгрии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Торговый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Чехословакии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содержат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30%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Известный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русский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юрист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А.И.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Каминка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неоднократно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подчеркивал,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"обеспечение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возникновения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существования"</w:t>
      </w:r>
      <w:r w:rsidR="00BE1D74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8"/>
      </w:r>
      <w:r w:rsidRPr="000B2D91">
        <w:rPr>
          <w:rFonts w:ascii="Times New Roman" w:hAnsi="Times New Roman" w:cs="Times New Roman"/>
          <w:sz w:val="28"/>
          <w:szCs w:val="28"/>
        </w:rPr>
        <w:t>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предварительной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подкреплено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четкой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процедурой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проведения.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50%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Значит,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регистрирующие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подтвердить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1/2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еще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участвовать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обороте,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следовательно,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принимать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Еще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большие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проблемы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вызывает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предварительное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последнее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еще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обладает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О.Н.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Сыродоева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категоричной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утверждает,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невозможно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подписать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приемки-передачи,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заключить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вновь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помещениями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литературе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высказываются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устанавливаться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подписанным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подтверждающим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предоставление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РСФСР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1922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возлагалась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поступившее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правлению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солидарно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отвечали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сохранность.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проблема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заключается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правомочны,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заключать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какие-либо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сделки,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подписывать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акты.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состоит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обособление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лишь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позволяющую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осуществить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обособление: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бухгалтерский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несомненно,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включать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сведения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поступающих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1043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1041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(договору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несколько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(товарищей)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обязуются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соединить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извлечения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достижения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противоречащей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Однако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заключения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извлечении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прибыли,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ставит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Остановимся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предметом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распределение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являющихся,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несомненно,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объединяя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рассчитывают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лишь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заранее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неизвестного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прибыли,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количество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приобретение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(вклады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предмет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купли-продажи,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"внесенное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обладали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долевой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вытекает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обязательства"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1043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становится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складочным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Отсюда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вывода.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Во-первых,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каждый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выделения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Во-вторых,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достижения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израсходовано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еще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вызывает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сомнения,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последующая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расходов.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покрываются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расходы?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нашему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мнению,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источником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перечисляемые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потратив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выполнить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перечислении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50%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Следовательно,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потребуются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дополнительные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покрытия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расходов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рассматриваются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вполне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естественные,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товарищества...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обязуются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соединить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вклады...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достижения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1041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нашему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мнению,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покрывают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расходы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Итак,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различать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статус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объединенного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покрытия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расходов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статуса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объединяемого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Объединение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регулируется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регулироваться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предмет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(отдельных)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(договоров),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нельзя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разграничить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складочный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существующего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нужен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лишь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достижения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1050,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1052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влечет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дальнейшей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судьбе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достигнута,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прекратил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сторон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(т.е.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считать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исполненными.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Однако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влечет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приобретенных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капитал?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отрицательно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50%)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сохранилась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остаток.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Получается,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утратил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силу,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возникшие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сохраняются.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невозможно,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противоречие.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Неверным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утверждение,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разновидности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Ведь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появляются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купли-продажи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существующее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теории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отождествление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складочного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существующего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простого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делает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невозможным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раздел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находившегося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1050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Избежать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раздела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состоящего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разновидности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совместной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однозначный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вывод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существуют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различных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комплекса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Во-первых,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регулируемые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Во-вторых,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деньги,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видим,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перечень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чрезвычайно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широк.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делает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применительно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занимающимся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банковской).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допускается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нематериальными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количественные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декабря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1990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395-1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банках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банковской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деятельности"</w:t>
      </w:r>
      <w:r w:rsidR="00A61218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9"/>
      </w:r>
      <w:r w:rsidRPr="000B2D91">
        <w:rPr>
          <w:rFonts w:ascii="Times New Roman" w:hAnsi="Times New Roman" w:cs="Times New Roman"/>
          <w:sz w:val="28"/>
          <w:szCs w:val="28"/>
        </w:rPr>
        <w:t>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Банк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устанавливать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предельный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Помимо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добровольно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показывает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редко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пользуются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заинтересованы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настоящее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обладают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правоспособностью,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зависимости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устанавливаться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существовало,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РСФСР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1922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320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заключаться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материальных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ценностях,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операции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входят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дальнейшей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предпочтительным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несомненно,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деньги,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легко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обращены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любое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деньги,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обобщающее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"неденежные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(вклады)".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Рассмотрим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разновидности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категория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характер,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назначение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количество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различным.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являющиеся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разновидностью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прямых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организаций),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хотя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анализа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прийти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выводу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невозможности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векселей.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согласиться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М.Н.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Израэлита,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допускавшим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векселей,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выданных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вексель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"единоличным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подписчика,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каковое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выданной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подписке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любой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вексель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векселедателя,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векселя,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взгляд,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формализованное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векселе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абстрактное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превращается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себе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влияет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иностранная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валюта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Вложение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резидентом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иностранной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валюты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извлечения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дохода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управлении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валютной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операцией,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связанной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движением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осуществляться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резидентами,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валютным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разрешения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Центрального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нерезидентами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иностранная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валюта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конвертации,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зачисление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рублях.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Гражданский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128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Когда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передающего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прекращается,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создаваемого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возникает.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здесь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правопреемство.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результате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получившего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кроме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денег,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подлежат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оценке.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нормативные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определяют,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относятся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оценку.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Пожалуй,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единственное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сделано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пользователю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ответственностью").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отличие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правопреемство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Постановлении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Пленума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Верховного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Пленума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Высшего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Арбитражного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июля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1996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6/8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применением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Федерации"</w:t>
      </w:r>
      <w:r w:rsidR="00A61218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0"/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отмечается,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натуре,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(участником)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становится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лишь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когда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содержатся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свидетельствующие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(участником)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передавалось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натуре,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лишь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(или)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17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Постановления).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передавшего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Правовой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209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силу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отчуждать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оставаясь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распоряжения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Лицо,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получившее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становится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титульным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владельцем.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приобретает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предъявления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третьих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305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Арендатор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арендуемое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имущество;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титульное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носят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характер.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Однако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арендатор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арендодателя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паевого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кооператив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615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арендодателем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арендатор.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Статья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615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перенайма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обязанностей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аренды.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результате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арендатором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становится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лицо.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статья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запрещает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арендодателя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(перенайма).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Земельный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понимает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перенаем.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Получившее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становится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арендатором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земельного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участка.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земельного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требуется.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Достаточно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уведомления,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земельного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заключение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ЗК).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Некоторые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противоречия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(хозяйственные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потребительские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кооперативы)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(государственные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муниципальные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унитарные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финансируемые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учреждения).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передавшее,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приобретая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Юридическое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ведении,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оперативном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управлении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обособленное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отвечает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буквальному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смыслу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ведения,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оперативного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управления).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Однако,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исключительное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изобретения.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выше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Постановлении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Пленума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6/8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разъяснено,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(патент,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авторского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17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Постановления).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исключительным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исключительного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переданы,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исключительного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(иного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возникает.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проблема,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отвечать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кредиторами?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Интересно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отметить,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исполнительном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производстве"</w:t>
      </w:r>
      <w:r w:rsidR="00A61218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1"/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говорит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обращения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взыскания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недостаточности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погашения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задолженности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взыскание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обращается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принадлежащее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должнику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оперативного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управления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этими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отвечает,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запретить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прав?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Такое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ограничивало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степени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свободу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деле,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начале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осуществления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отсутствовать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приобретения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оборудования,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помещений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аренды.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Поэтому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предоставление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способствуя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рассматриваемой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проблемы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изменения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процессуальное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обращать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взыскание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исключительные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пределах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судебные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приставы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продажи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порядке,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недвижимость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продажи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торгах.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распределенные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90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ответственностью"</w:t>
      </w:r>
      <w:r w:rsidR="00A61218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2"/>
      </w:r>
      <w:r w:rsidRPr="000B2D91">
        <w:rPr>
          <w:rFonts w:ascii="Times New Roman" w:hAnsi="Times New Roman" w:cs="Times New Roman"/>
          <w:sz w:val="28"/>
          <w:szCs w:val="28"/>
        </w:rPr>
        <w:t>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A61218"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A61218" w:rsidRPr="000B2D91">
        <w:rPr>
          <w:rFonts w:ascii="Times New Roman" w:hAnsi="Times New Roman" w:cs="Times New Roman"/>
          <w:sz w:val="28"/>
          <w:szCs w:val="28"/>
        </w:rPr>
        <w:t>АО</w:t>
      </w:r>
      <w:r w:rsidRPr="000B2D91">
        <w:rPr>
          <w:rFonts w:ascii="Times New Roman" w:hAnsi="Times New Roman" w:cs="Times New Roman"/>
          <w:sz w:val="28"/>
          <w:szCs w:val="28"/>
        </w:rPr>
        <w:t>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Передача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денег,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вещей,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эквивалентных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размещаемых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номинальной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погашает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вкладов;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внесенным.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Совершенно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ситуация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складывается,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когда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здания,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плата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пользователя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взимается.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Пользователь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материальную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выгоду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экономии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Участник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постепенно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Итак,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противоречие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между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90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требующей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ответственностью",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допускающим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выкуп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сколь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угодно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продолжительного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времени,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императивное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завершении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размещаемых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неоплаченные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поступают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никаких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Отсюда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вывод,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учетный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расчета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эквивалент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превышать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складочных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самими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договоре.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анализа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приведенных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носит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срочный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характер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истечением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очередь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расчетов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выходящим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Период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времени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недоиспользования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вследствие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берется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расчета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компенсации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участником</w:t>
      </w:r>
      <w:r w:rsidR="00A61218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3"/>
      </w:r>
      <w:r w:rsidRPr="000B2D91">
        <w:rPr>
          <w:rFonts w:ascii="Times New Roman" w:hAnsi="Times New Roman" w:cs="Times New Roman"/>
          <w:sz w:val="28"/>
          <w:szCs w:val="28"/>
        </w:rPr>
        <w:t>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Срок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бессрочной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считать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несогласованным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силы.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Исключение,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пожалуй,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исключительно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самими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складочный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Условия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включают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заключают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наш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взгляд,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второй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вариант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предпочтительнее,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загромождать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оговорку,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особым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Передача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недвижимости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означает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обременение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известно,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наряду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недвижимость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подлежат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(обременения)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130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недвижимое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ним").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Основанием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прежде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истечении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исполнившим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возврату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соучредителю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возвращает,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обратиться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возврате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прекращено.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дальнейшем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бывшим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пользователем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зависит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заключить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(товариществом)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аренды,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однако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понудить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нельзя.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Надо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Полагаем,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владения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возможно: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инициативе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предоставившего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пользователь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ухудшает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состояние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назначению;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инициативе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пользователя.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причинам,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зависящим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пользователя,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оказалось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состоянии,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непригодном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назначению;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инициативе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третьих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обращено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взыскание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находящееся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пользователя.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силу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59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исполнительном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взыскание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обращено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чьем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фактическом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находится.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уплатить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компенсацию,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равную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аналогичных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оставшегося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компенсации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переходит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выплачивает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действительную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пропорциональной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находилось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утрачивает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статус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Однако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переходит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лишь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неоплаченная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пропорционально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неоплаченной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сумме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компенсации.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статус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долей,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меньшей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первоначально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различать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статуса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утрате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такового.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выходе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возвращается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имущество;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досрочно.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правило: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ответственностью").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Однако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полагаем,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выбывший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исходя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платы,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обычно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взимается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сравнимых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обстоятельствах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424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нематериальные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активы.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Прежде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"нематериальные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активы".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бухгалтерском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учете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отчетности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Приказом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Минфина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26.12.94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170,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нематериальным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используемым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длительного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периода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(свыше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приносящим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доход,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относятся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возникающие: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авторских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науки,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литературы,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искусства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программы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ЭВМ,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базы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др.;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патентов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изобретения,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промышленные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образцы,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селекционные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достижения;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свидетельств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полезные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модели,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обслуживания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лицензионных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др...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Кроме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нематериальным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относятся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земельными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участками,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природными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ресурсами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организационные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расходы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говорилось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выше).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приведенный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перечень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нематериальных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открытым,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отнесены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важно,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относимые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нематериальным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содержали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последних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долгосрочность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(свыше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приносить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доход.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Впервые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принципиальная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введена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1990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вошла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Обобщенное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"интеллектуальная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включает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относящиеся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литературным,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художественным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научным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произведениям,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исполнительской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изобретениям,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научным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открытиям,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промышленным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образцам,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знакам,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знакам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обслуживания,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фирменным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наименованиям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обозначениям,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защите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недобросовестной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конкуренции,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относящиеся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производственной,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научной,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литературной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художественной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областях.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понимается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учитывать,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публиковаться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открытой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печати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становиться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общеизвестными,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(имущественным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правом)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обладать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патентообладатели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получившие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разрешение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(лицензию)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патентообладателей.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состоит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отличие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(нематериальных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материальных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используемых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вложении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переходят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становится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особенность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отмечена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17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Пленума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Верховного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Пленума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Высшего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Арбитражного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6/8,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некоммерческие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кроме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государственных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муниципальных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финансируемых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(взносов)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членами)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48,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213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ГК).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Приобретение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приводит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возникновению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отчуждения.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Поэтому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ситуации,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когда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вложенные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отчуждены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кредиторам.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Объектами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зафиксированные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материальных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носителях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науки,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литературы,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искусства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творческой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сфере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открытия,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изобретения,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промышленные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образцы,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программы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ЭВМ,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базы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экспертные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системы,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торговые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секреты,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знаки,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фирменные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наименования,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обслуживания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результаты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творческой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надо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учитывать,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обобщенное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"объекты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включает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себя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"объекты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промышленной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собственности",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Парижской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конвенцией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понимают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официальные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охранные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"патенты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изобретения,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полезные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модели,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промышленные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образцы,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знаки,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обслуживания,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фирменные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наименования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происхождения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наименования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места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происхождения",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понятие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"объекты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авторского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-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"произведения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науки,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литературы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искусства,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являющиеся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результатом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творческой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назначения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достоинства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выражения"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авторском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правах"),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официальных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охранных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возникают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непосредственно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очередь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проверить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наличия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сфере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долгосрочного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периода.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достигается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проверкой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описан,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изображен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зафиксирован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материальных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носителях,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проверкой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подтверждающих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процессе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подтвердить,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приносить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доход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предприятию.</w:t>
      </w:r>
    </w:p>
    <w:p w:rsidR="00BE1D74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бухгалтерского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учета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выражении)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(собственников)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</w:t>
      </w:r>
      <w:r w:rsidR="00A61218" w:rsidRPr="000B2D91">
        <w:rPr>
          <w:rFonts w:ascii="Times New Roman" w:hAnsi="Times New Roman" w:cs="Times New Roman"/>
          <w:sz w:val="28"/>
          <w:szCs w:val="28"/>
        </w:rPr>
        <w:t>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A61218" w:rsidRPr="000B2D91">
        <w:rPr>
          <w:rFonts w:ascii="Times New Roman" w:hAnsi="Times New Roman" w:cs="Times New Roman"/>
          <w:sz w:val="28"/>
          <w:szCs w:val="28"/>
        </w:rPr>
        <w:t>обеспечения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A61218"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A61218" w:rsidRPr="000B2D91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1D74" w:rsidRP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Пути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уставного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(складочного)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капитала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юридического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74" w:rsidRPr="000B2D91">
        <w:rPr>
          <w:rFonts w:ascii="Times New Roman" w:hAnsi="Times New Roman" w:cs="Times New Roman"/>
          <w:b/>
          <w:sz w:val="28"/>
          <w:szCs w:val="28"/>
        </w:rPr>
        <w:t>лица</w:t>
      </w:r>
    </w:p>
    <w:p w:rsid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порядке,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документах.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Поэтому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механизм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изъятия)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Принципиальным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документальное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оформление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официальной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использования)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авторском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правах"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прямо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считаются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переданными.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учитывать,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оценку.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(патент,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авторского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включая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программу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ЭВМ,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т.п.)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Однако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передаваемое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лицензионным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зарегистрирован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порядке,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4"/>
      </w:r>
      <w:r w:rsidRPr="000B2D91">
        <w:rPr>
          <w:rFonts w:ascii="Times New Roman" w:hAnsi="Times New Roman" w:cs="Times New Roman"/>
          <w:sz w:val="28"/>
          <w:szCs w:val="28"/>
        </w:rPr>
        <w:t>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соглашению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между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(участниками)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случаях,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предусмотренных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экспертной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проверке.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Сложность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обусловлена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обстоятельством,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невозможно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разработать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единую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универсальную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методику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каждый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оригинальным,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неодинаковы.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Поэтому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обычно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проводят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расчет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обоснованной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рыночной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одновременно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нескольким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методикам,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индивидуально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каждого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учтены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ценообразующие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факторы,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прошлые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затраты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приобретение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рыночная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конъюнктура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приносить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доход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предприятию.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остановиться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специфичном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смыслу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6/8,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передаваемое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зарегистрированному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лицензионному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договору.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формулировка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противоречит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природе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института.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тайной)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понимается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научно-техническая,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технологическая,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производственная,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финансово-экономическая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информация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составляющая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секреты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действительную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потенциальную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силу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неизвестности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третьим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свободного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доступа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обладателем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информации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введен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режим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тайны.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отличие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изобретений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охраняется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запрета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разглашение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получивших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доступ.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предмет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(информация),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Поэтому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условием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описание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передаваемого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отличие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лицензионного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какой-либо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специальной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Очень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фактически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означает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отсутствие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какого-либо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термин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(знаний,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опыта,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услуг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комплект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др.).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Е.А.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Суханов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оценил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"необходимо,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имелось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конкретное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удовлетворить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интересы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потенциальных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липовые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интересуют".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деловые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гражданина,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опыт,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квалификация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вложены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нельзя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гражданина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существующих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практически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невозможно,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этапе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обладатель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"ноу-хау"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передаваемой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информации.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выводы: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результатов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(произведений)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творческого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оформление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позволяющих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однозначно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(результат)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творческой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используемое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длительного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периода,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подтверждающих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факт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передачи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предприятию.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Наиболее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сложным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обоснованной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рыночной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Поэтому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рекомендуется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привлекать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соответствующий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опыт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квалификацию.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Одним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перечня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Имущественный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(неденежный)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оценен,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исходя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определить,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количество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(долей)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приходится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внесшему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Особую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(рыночной)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Е.А.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Суханова,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входить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удовлетворить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претензии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потенциальных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Естественно,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конкретные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материальные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авторские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т.д.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конкретную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охраноспособным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объект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аудит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подтверждать,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нематериальный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актив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столько".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большое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наполнения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писал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М.Н.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Израэлит,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"правильная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способствует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правильному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учету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неправильная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несоответствие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между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цифрой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неправильность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находится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обратном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отношении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преувеличенной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действительный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уменьшается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наоборот,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пониженной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возрастает".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Денежная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особенности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зависит,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во-первых,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во-вторых,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увеличении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капитала).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Денежная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принимаемыми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третьими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утверждается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собрания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единогласно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Итак,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увеличении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принимается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собранием.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соглашению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между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дополнительных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советом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директоров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директоров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рыночную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обратить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внимание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единогласно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9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действующего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директоров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большинством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голосов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присутствующих,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наличии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менее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половины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директоров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65,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68,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77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АО).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Большая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либеральность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привлечении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эксперта.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номинальная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(увеличение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номинальной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оплачиваемой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представления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изменений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оцениваться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экспертом,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номинальная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(увеличение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номинальной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оплачиваемой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превышать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сумму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оценщиком.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устанавливает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привлечения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увеличении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когда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превышает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предел.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аналогичная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сформулирована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однозначно,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обойтись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услуг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сожалению,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позволяет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установить,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экспертная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лишь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дополнительно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выпускаемых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увеличении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номинальная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приобретаемых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двухсот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(аудитором)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общества",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гласит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осуществляется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соглашению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привлечения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находят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подтверждение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обоснование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разъяснениях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комментарии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редакцией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Г.С.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Шапкиной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утверждается,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"поскольку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соглашению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между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обращение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любой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место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Аналогичная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формулировка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комментарии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редакцией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М.Ю.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Тихомирова: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создании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оценивают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соглашению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между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собой.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производится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усмотрению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Основанием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утверждений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норма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утверждении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утверждении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других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принимается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единогласно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9).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положение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привлечения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(аудитора)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стадии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проведение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осложняется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проблемами.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Во-первых,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отвечает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оплачивать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услуги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привлеченного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вносящий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общество?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Во-вторых,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неоднозначно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все-таки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подлежит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оценке: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каждого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превышающий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(200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минимальных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труда)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совокупность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всех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участников?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В-третьих,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контролировать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оценщика?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Наиболее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важным,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несомненно,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контроле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следовательно,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степени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достоверности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A61218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5"/>
      </w:r>
      <w:r w:rsidRPr="000B2D91">
        <w:rPr>
          <w:rFonts w:ascii="Times New Roman" w:hAnsi="Times New Roman" w:cs="Times New Roman"/>
          <w:sz w:val="28"/>
          <w:szCs w:val="28"/>
        </w:rPr>
        <w:t>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Например,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РСФСР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1922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регистрирующих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(Наркомфина,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Наркомвнуторга)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проверять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числе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контролировать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наличие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правильность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примечание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336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редакции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ВЦИК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октября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1924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г.)</w:t>
      </w:r>
      <w:r w:rsidR="00A61218" w:rsidRPr="000B2D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6"/>
      </w:r>
      <w:r w:rsidRPr="000B2D91">
        <w:rPr>
          <w:rFonts w:ascii="Times New Roman" w:hAnsi="Times New Roman" w:cs="Times New Roman"/>
          <w:sz w:val="28"/>
          <w:szCs w:val="28"/>
        </w:rPr>
        <w:t>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Действующий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контроля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достоверностью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возлагает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никакой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ошибочность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неточность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высказанного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мнения.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хотя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внешнего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контроля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возлагает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определенную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ошибку.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соответствующих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изменений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солидарно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недостаточности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субсидиарную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обязательствам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завышения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риск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возложения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одной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контроля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достоверностью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заметить,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применение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сохранении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срока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натуре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позволит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провести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повторную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произошедшее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завышение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показывает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история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развития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завышение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(участниками)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получения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большего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количества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неизбежно.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говорил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еще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Л.И.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Петражицкий: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нельзя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задержать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течение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постановкой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столба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реки,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нельзя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предотвратить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гибельного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проявления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оптимистической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надбавки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путем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недопущения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преувеличенной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преувеличения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счета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издержек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учреждению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компании".</w:t>
      </w: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D74" w:rsidRPr="000B2D91" w:rsidRDefault="00BE1D74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2469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B2D91" w:rsidRPr="000B2D91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вышеизложенного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выводы,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цель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состоять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допустить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завышения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оградить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контрагентов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будущих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приобретающие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крайней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мере,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знать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Средством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борьбы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завышением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доступность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информации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каждый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(участник)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узнать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нарушениях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принять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соответствующие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решения.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Действующее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контрагентов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будущих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неведении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относительно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является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единственным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документом,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указывается,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лишь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скрывается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цифрой,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вошло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неизвестно.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порядок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оплаты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определяется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учредителей,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прекращающим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действие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момент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регистрации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протоколом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собрания,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скрыт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посторонних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глаз.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ООО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учредительном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договоре.</w:t>
      </w:r>
    </w:p>
    <w:p w:rsidR="00A61218" w:rsidRPr="000B2D91" w:rsidRDefault="00A61218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Анализ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теории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формирования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показал,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следующие:</w:t>
      </w:r>
    </w:p>
    <w:p w:rsidR="00A61218" w:rsidRPr="000B2D91" w:rsidRDefault="00A61218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1)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выступать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имеющие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оценку;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вноситься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(арендные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т.п.,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время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возможно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лицензионному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договору),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бумаг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(такие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вексель,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облигация)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обществу,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третьему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лицу;</w:t>
      </w:r>
    </w:p>
    <w:p w:rsidR="00A61218" w:rsidRPr="000B2D91" w:rsidRDefault="00A61218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2)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особо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регулируемых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сферах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(банки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организации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др.)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выступать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пригодные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использованию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сфере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деятельности;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могут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установлены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дополнительные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видам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может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предметом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вклада;</w:t>
      </w:r>
    </w:p>
    <w:p w:rsidR="00A61218" w:rsidRPr="000B2D91" w:rsidRDefault="00A61218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3)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осуществляться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независимым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органами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соглашению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иными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способами,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рыночной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ценности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самого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оценщик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должен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субсидиарную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размере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допущенного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завышения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вклада.</w:t>
      </w:r>
    </w:p>
    <w:p w:rsidR="00A61218" w:rsidRPr="000B2D91" w:rsidRDefault="00A61218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4)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качестве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будет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последующем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виндицирована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третьим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лицом,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установить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обязанность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внесшего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данный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«заместить»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вещь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причем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денежной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форме.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Это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же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следует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распространить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случаи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виде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требования),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впоследствии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изъято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результате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признания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сделки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недействительной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подобным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основаниям.</w:t>
      </w:r>
    </w:p>
    <w:p w:rsidR="00182469" w:rsidRPr="000B2D91" w:rsidRDefault="00A61218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Именно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названных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изменений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обеспечит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реальные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гарантии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Кроме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</w:t>
      </w:r>
      <w:r w:rsidR="00182469" w:rsidRPr="000B2D91">
        <w:rPr>
          <w:rFonts w:ascii="Times New Roman" w:hAnsi="Times New Roman" w:cs="Times New Roman"/>
          <w:sz w:val="28"/>
          <w:szCs w:val="28"/>
        </w:rPr>
        <w:t>йствующее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только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обеспечивает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контроля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за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действиями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оценке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вкладов,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и,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более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того,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не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требует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предоставлять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информацию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имущественном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характере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взносов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порядке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оценки.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Г.Ф.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Шершеневич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писал,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что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"предупредить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злоупотребления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учредителей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этом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направлении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составляет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задачу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законодательств,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требуют,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чтобы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вещественные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взносы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были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указаны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самом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уставе,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определением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sz w:val="28"/>
          <w:szCs w:val="28"/>
        </w:rPr>
        <w:t>ценности".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обязательное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предоставление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сведений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Так,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172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Торгового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Болгарии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1991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требует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указывать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"виды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неденежных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взносов,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если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они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имеются,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вносят,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число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номинальную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стоимость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акций,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предоставляются".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Аналогичные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правила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содержатся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27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ФРГ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1965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80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Французского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торговых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товариществах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1966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Указанная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недоработка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существенно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нарушает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ущемляет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кредиторов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участников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поэтому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необходимо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закрепить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требование,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согласно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которому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имущественные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вклады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хозяйственных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должны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быть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перечислены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указанием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произведенной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оценки.</w:t>
      </w:r>
    </w:p>
    <w:p w:rsidR="00182469" w:rsidRPr="000B2D91" w:rsidRDefault="00182469" w:rsidP="0098611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182469" w:rsidRDefault="000B2D91" w:rsidP="0098611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182469" w:rsidRPr="000B2D91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469" w:rsidRPr="000B2D91">
        <w:rPr>
          <w:rFonts w:ascii="Times New Roman" w:hAnsi="Times New Roman" w:cs="Times New Roman"/>
          <w:b/>
          <w:sz w:val="28"/>
          <w:szCs w:val="28"/>
        </w:rPr>
        <w:t>используемой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7D173F" w:rsidRPr="003911E0" w:rsidRDefault="007D173F" w:rsidP="007D173F">
      <w:pPr>
        <w:spacing w:line="36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3911E0">
        <w:rPr>
          <w:rFonts w:ascii="Times New Roman" w:hAnsi="Times New Roman" w:cs="Times New Roman"/>
          <w:color w:val="FFFFFF"/>
          <w:sz w:val="28"/>
          <w:szCs w:val="28"/>
        </w:rPr>
        <w:t>уставной складочный капитал правовой</w:t>
      </w:r>
    </w:p>
    <w:p w:rsidR="005C6508" w:rsidRPr="000B2D91" w:rsidRDefault="005C6508" w:rsidP="00986112">
      <w:pPr>
        <w:widowControl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B2D91">
        <w:rPr>
          <w:rFonts w:ascii="Times New Roman" w:hAnsi="Times New Roman" w:cs="Times New Roman"/>
          <w:b/>
          <w:sz w:val="28"/>
          <w:szCs w:val="28"/>
        </w:rPr>
        <w:t>Нормативно-правовые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акты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sub_16"/>
      <w:r w:rsidRPr="000B2D91">
        <w:rPr>
          <w:rFonts w:ascii="Times New Roman" w:hAnsi="Times New Roman" w:cs="Times New Roman"/>
          <w:sz w:val="28"/>
          <w:szCs w:val="28"/>
        </w:rPr>
        <w:t>Гражданский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(часть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первая)"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30.11.1994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51-ФЗ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газета,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238-239,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08.12.1994.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Федеральный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26.12.1995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208-ФЗ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Собрание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01.01.1996,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1.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Федеральный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02.12.1990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395-1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банках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банковской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деятельности"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Собрание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05.02.1996,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492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Федеральный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08.02.1998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14-ФЗ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Собрание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16.02.1998,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7,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785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Федеральный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02.10.2007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229-ФЗ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исполнительном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производстве"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Российская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газета,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223,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06.10.2007</w:t>
      </w:r>
    </w:p>
    <w:p w:rsidR="005C6508" w:rsidRPr="000B2D91" w:rsidRDefault="005C6508" w:rsidP="00986112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B2D91">
        <w:rPr>
          <w:rFonts w:ascii="Times New Roman" w:hAnsi="Times New Roman" w:cs="Times New Roman"/>
          <w:b/>
          <w:sz w:val="28"/>
          <w:szCs w:val="28"/>
        </w:rPr>
        <w:t>Судебная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Постановлении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Пленума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Верховного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Пленума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Высшего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Арбитражного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июля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1996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6/8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некоторых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вопросах,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связанных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применением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части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первой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кодекса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Российской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Федерации"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Система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КонсультантПлюс</w:t>
      </w:r>
    </w:p>
    <w:p w:rsidR="005C6508" w:rsidRPr="000B2D91" w:rsidRDefault="005C6508" w:rsidP="00986112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B2D91">
        <w:rPr>
          <w:rFonts w:ascii="Times New Roman" w:hAnsi="Times New Roman" w:cs="Times New Roman"/>
          <w:b/>
          <w:sz w:val="28"/>
          <w:szCs w:val="28"/>
        </w:rPr>
        <w:t>Специальная</w:t>
      </w:r>
      <w:r w:rsidR="000B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bookmarkEnd w:id="1"/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Андреев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В.К.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Предпринимательское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России: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Научные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очерки.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М.: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РАП,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2008.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367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с.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Бушев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А.Ю.,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Макарова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О.А.,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Попондопуло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В.Ф.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Коммерческое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зарубежных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стран.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СПб.: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Питер,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2003.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Гражданское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редактор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Е.А.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Суханов.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М.: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БЕК,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2008.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112.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Зенин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И.А.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Предпринимательское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Учебник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для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вузов.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М.: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Высшее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образование,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2009.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629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с.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Каминка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А.И.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Акционерные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теория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практика.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–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М.: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Юрист,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2005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Концепция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развития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юридических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(утверждена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Протоколом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№6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16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марта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2009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года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Советом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Президенте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кодификации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гражданского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законодательства)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B2D91">
          <w:rPr>
            <w:rStyle w:val="a7"/>
            <w:rFonts w:ascii="Times New Roman" w:hAnsi="Times New Roman"/>
            <w:color w:val="auto"/>
            <w:sz w:val="28"/>
            <w:szCs w:val="28"/>
          </w:rPr>
          <w:t>http://www.privlaw.ru/vs_info2.html</w:t>
        </w:r>
      </w:hyperlink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Малумова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А.Ю.,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Шевцов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П.А.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Комментарий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Федеральному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закону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февраля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1998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14-ФЗ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"Об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обществах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ограниченной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ответственностью"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Система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КонсультантПлюс,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2009</w:t>
      </w:r>
    </w:p>
    <w:p w:rsidR="005C6508" w:rsidRPr="000B2D91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Нарышкина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Р.Л.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Функции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Хозяйство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право,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2009.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№6</w:t>
      </w:r>
    </w:p>
    <w:p w:rsidR="005C6508" w:rsidRPr="000B2D91" w:rsidRDefault="005C6508" w:rsidP="00986112">
      <w:pPr>
        <w:widowControl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D91">
        <w:rPr>
          <w:rFonts w:ascii="Times New Roman" w:hAnsi="Times New Roman" w:cs="Times New Roman"/>
          <w:sz w:val="28"/>
          <w:szCs w:val="28"/>
        </w:rPr>
        <w:t>Отнюкова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Внесение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в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уставный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(складочный)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капитал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права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пользования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имуществом.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Законность,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2003,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</w:t>
      </w:r>
    </w:p>
    <w:p w:rsidR="006F1668" w:rsidRPr="00B75CCD" w:rsidRDefault="005C6508" w:rsidP="0098611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B2D91">
        <w:rPr>
          <w:rFonts w:ascii="Times New Roman" w:hAnsi="Times New Roman" w:cs="Times New Roman"/>
          <w:sz w:val="28"/>
          <w:szCs w:val="28"/>
        </w:rPr>
        <w:t>Рутман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Юридические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лица: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отдельные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заметки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на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полях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нового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ГК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РФ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//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Закон.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1995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г.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N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12.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С.</w:t>
      </w:r>
      <w:r w:rsidR="000B2D91">
        <w:rPr>
          <w:rFonts w:ascii="Times New Roman" w:hAnsi="Times New Roman" w:cs="Times New Roman"/>
          <w:sz w:val="28"/>
          <w:szCs w:val="28"/>
        </w:rPr>
        <w:t xml:space="preserve"> </w:t>
      </w:r>
      <w:r w:rsidRPr="000B2D91">
        <w:rPr>
          <w:rFonts w:ascii="Times New Roman" w:hAnsi="Times New Roman" w:cs="Times New Roman"/>
          <w:sz w:val="28"/>
          <w:szCs w:val="28"/>
        </w:rPr>
        <w:t>104.</w:t>
      </w:r>
    </w:p>
    <w:p w:rsidR="00B75CCD" w:rsidRDefault="00B75CCD" w:rsidP="00B75CC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5CCD" w:rsidRPr="004D2368" w:rsidRDefault="00B75CCD" w:rsidP="00B75CCD">
      <w:pPr>
        <w:jc w:val="center"/>
        <w:rPr>
          <w:rFonts w:ascii="Times New Roman" w:hAnsi="Times New Roman" w:cs="Times New Roman"/>
          <w:color w:val="FFFFFF"/>
          <w:sz w:val="28"/>
          <w:szCs w:val="28"/>
          <w:lang w:val="en-US"/>
        </w:rPr>
      </w:pPr>
      <w:bookmarkStart w:id="2" w:name="_GoBack"/>
      <w:bookmarkEnd w:id="2"/>
    </w:p>
    <w:sectPr w:rsidR="00B75CCD" w:rsidRPr="004D2368" w:rsidSect="005F79D6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E0" w:rsidRDefault="003911E0">
      <w:r>
        <w:separator/>
      </w:r>
    </w:p>
  </w:endnote>
  <w:endnote w:type="continuationSeparator" w:id="0">
    <w:p w:rsidR="003911E0" w:rsidRDefault="0039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E0" w:rsidRDefault="003911E0">
      <w:r>
        <w:separator/>
      </w:r>
    </w:p>
  </w:footnote>
  <w:footnote w:type="continuationSeparator" w:id="0">
    <w:p w:rsidR="003911E0" w:rsidRDefault="003911E0">
      <w:r>
        <w:continuationSeparator/>
      </w:r>
    </w:p>
  </w:footnote>
  <w:footnote w:id="1">
    <w:p w:rsidR="003911E0" w:rsidRDefault="000B2D91" w:rsidP="007D173F">
      <w:pPr>
        <w:spacing w:line="360" w:lineRule="auto"/>
        <w:ind w:firstLine="0"/>
      </w:pPr>
      <w:r w:rsidRPr="00185331">
        <w:rPr>
          <w:rStyle w:val="a6"/>
          <w:rFonts w:ascii="Times New Roman" w:hAnsi="Times New Roman"/>
        </w:rPr>
        <w:footnoteRef/>
      </w:r>
      <w:r w:rsidRPr="00185331">
        <w:rPr>
          <w:rFonts w:ascii="Times New Roman" w:hAnsi="Times New Roman" w:cs="Times New Roman"/>
        </w:rPr>
        <w:t xml:space="preserve"> Рутман Л. Юридические лица: отдельные заметки на полях нового ГК РФ // Закон. </w:t>
      </w:r>
      <w:smartTag w:uri="urn:schemas-microsoft-com:office:smarttags" w:element="metricconverter">
        <w:smartTagPr>
          <w:attr w:name="ProductID" w:val="1995 г"/>
        </w:smartTagPr>
        <w:r w:rsidRPr="00185331">
          <w:rPr>
            <w:rFonts w:ascii="Times New Roman" w:hAnsi="Times New Roman" w:cs="Times New Roman"/>
          </w:rPr>
          <w:t>1995 г</w:t>
        </w:r>
      </w:smartTag>
      <w:r>
        <w:rPr>
          <w:rFonts w:ascii="Times New Roman" w:hAnsi="Times New Roman" w:cs="Times New Roman"/>
        </w:rPr>
        <w:t xml:space="preserve">. N 12. С. </w:t>
      </w:r>
    </w:p>
  </w:footnote>
  <w:footnote w:id="2">
    <w:p w:rsidR="003911E0" w:rsidRDefault="000B2D91" w:rsidP="007D173F">
      <w:pPr>
        <w:spacing w:line="360" w:lineRule="auto"/>
        <w:ind w:firstLine="0"/>
      </w:pPr>
      <w:r>
        <w:rPr>
          <w:rStyle w:val="a6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Гражданское право / отв. редактор Е.А. Суханов. Т. </w:t>
      </w:r>
      <w:smartTag w:uri="urn:schemas-microsoft-com:office:smarttags" w:element="metricconverter">
        <w:smartTagPr>
          <w:attr w:name="ProductID" w:val="1. М"/>
        </w:smartTagPr>
        <w:r>
          <w:rPr>
            <w:rFonts w:ascii="Times New Roman" w:hAnsi="Times New Roman" w:cs="Times New Roman"/>
          </w:rPr>
          <w:t>1. М</w:t>
        </w:r>
      </w:smartTag>
      <w:r>
        <w:rPr>
          <w:rFonts w:ascii="Times New Roman" w:hAnsi="Times New Roman" w:cs="Times New Roman"/>
        </w:rPr>
        <w:t>.: БЕК, 2008. С. 112.</w:t>
      </w:r>
    </w:p>
  </w:footnote>
  <w:footnote w:id="3">
    <w:p w:rsidR="003911E0" w:rsidRDefault="000B2D91" w:rsidP="007D173F">
      <w:pPr>
        <w:pStyle w:val="a3"/>
        <w:spacing w:line="360" w:lineRule="auto"/>
        <w:ind w:firstLine="0"/>
      </w:pPr>
      <w:r w:rsidRPr="00BE1D74">
        <w:rPr>
          <w:rStyle w:val="a6"/>
          <w:rFonts w:ascii="Times New Roman" w:hAnsi="Times New Roman"/>
        </w:rPr>
        <w:footnoteRef/>
      </w:r>
      <w:r w:rsidRPr="00BE1D74">
        <w:rPr>
          <w:rFonts w:ascii="Times New Roman" w:hAnsi="Times New Roman" w:cs="Times New Roman"/>
        </w:rPr>
        <w:t xml:space="preserve"> Нарышкина Р.Л. Функции уставного капитала юридического лица // Хозяйство и право, 2009. №6</w:t>
      </w:r>
    </w:p>
  </w:footnote>
  <w:footnote w:id="4">
    <w:p w:rsidR="003911E0" w:rsidRDefault="000B2D91" w:rsidP="000B2D91">
      <w:pPr>
        <w:pStyle w:val="ConsPlusNormal"/>
        <w:widowControl/>
        <w:spacing w:line="360" w:lineRule="auto"/>
        <w:ind w:firstLine="0"/>
        <w:jc w:val="both"/>
      </w:pPr>
      <w:r w:rsidRPr="00BE1D74">
        <w:rPr>
          <w:rStyle w:val="a6"/>
          <w:rFonts w:ascii="Times New Roman" w:hAnsi="Times New Roman"/>
        </w:rPr>
        <w:footnoteRef/>
      </w:r>
      <w:r w:rsidRPr="00BE1D74">
        <w:rPr>
          <w:rFonts w:ascii="Times New Roman" w:hAnsi="Times New Roman" w:cs="Times New Roman"/>
        </w:rPr>
        <w:t xml:space="preserve"> Гражданский кодекс Российской Федерации (часть первая)" от 30.11.1994 N 51-ФЗ // Российская газета, N 238-239, 08.12.1994.</w:t>
      </w:r>
    </w:p>
  </w:footnote>
  <w:footnote w:id="5">
    <w:p w:rsidR="003911E0" w:rsidRDefault="000B2D91" w:rsidP="000B2D91">
      <w:pPr>
        <w:pStyle w:val="ConsPlusNormal"/>
        <w:widowControl/>
        <w:spacing w:line="360" w:lineRule="auto"/>
        <w:ind w:firstLine="0"/>
        <w:jc w:val="both"/>
      </w:pPr>
      <w:r w:rsidRPr="00BE1D74">
        <w:rPr>
          <w:rStyle w:val="a6"/>
          <w:rFonts w:ascii="Times New Roman" w:hAnsi="Times New Roman"/>
        </w:rPr>
        <w:footnoteRef/>
      </w:r>
      <w:r w:rsidRPr="00BE1D74">
        <w:rPr>
          <w:rFonts w:ascii="Times New Roman" w:hAnsi="Times New Roman" w:cs="Times New Roman"/>
        </w:rPr>
        <w:t xml:space="preserve"> Федеральный закон от 26.12.1995 N 208-ФЗ "Об акционерных обществах" // Собрание законодательс</w:t>
      </w:r>
      <w:r>
        <w:rPr>
          <w:rFonts w:ascii="Times New Roman" w:hAnsi="Times New Roman" w:cs="Times New Roman"/>
        </w:rPr>
        <w:t>тва РФ, 01.01.1996, N 1, ст. 1.</w:t>
      </w:r>
    </w:p>
  </w:footnote>
  <w:footnote w:id="6">
    <w:p w:rsidR="003911E0" w:rsidRDefault="000B2D91" w:rsidP="007D173F">
      <w:pPr>
        <w:pStyle w:val="ConsPlusNormal"/>
        <w:widowControl/>
        <w:spacing w:line="360" w:lineRule="auto"/>
        <w:ind w:firstLine="0"/>
        <w:jc w:val="both"/>
      </w:pPr>
      <w:r w:rsidRPr="00BE1D74">
        <w:rPr>
          <w:rStyle w:val="a6"/>
          <w:rFonts w:ascii="Times New Roman" w:hAnsi="Times New Roman"/>
        </w:rPr>
        <w:footnoteRef/>
      </w:r>
      <w:r w:rsidRPr="00BE1D74">
        <w:rPr>
          <w:rFonts w:ascii="Times New Roman" w:hAnsi="Times New Roman" w:cs="Times New Roman"/>
        </w:rPr>
        <w:t xml:space="preserve"> Зенин И.А. Предпринимательское право: Учебник для вузов. М.: Вы</w:t>
      </w:r>
      <w:r>
        <w:rPr>
          <w:rFonts w:ascii="Times New Roman" w:hAnsi="Times New Roman" w:cs="Times New Roman"/>
        </w:rPr>
        <w:t xml:space="preserve">сшее образование, 2009. 629 с. </w:t>
      </w:r>
    </w:p>
  </w:footnote>
  <w:footnote w:id="7">
    <w:p w:rsidR="003911E0" w:rsidRDefault="000B2D91" w:rsidP="007D173F">
      <w:pPr>
        <w:pStyle w:val="ConsPlusNormal"/>
        <w:widowControl/>
        <w:spacing w:line="360" w:lineRule="auto"/>
        <w:ind w:firstLine="0"/>
        <w:jc w:val="both"/>
      </w:pPr>
      <w:r w:rsidRPr="00BE1D74">
        <w:rPr>
          <w:rStyle w:val="a6"/>
          <w:rFonts w:ascii="Times New Roman" w:hAnsi="Times New Roman"/>
        </w:rPr>
        <w:footnoteRef/>
      </w:r>
      <w:r w:rsidRPr="00BE1D74">
        <w:rPr>
          <w:rFonts w:ascii="Times New Roman" w:hAnsi="Times New Roman" w:cs="Times New Roman"/>
        </w:rPr>
        <w:t xml:space="preserve"> Концепция развития законодательства о юридических лицах (утверждена Протоколом №6 от 16 марта 2009 года Советом при Президенте РФ по кодификации и совершенствованию гражданского законодательства) // </w:t>
      </w:r>
      <w:r w:rsidRPr="000B2D91">
        <w:rPr>
          <w:rFonts w:ascii="Times New Roman" w:hAnsi="Times New Roman" w:cs="Times New Roman"/>
        </w:rPr>
        <w:t>http://www.privlaw.ru/vs_info2.html</w:t>
      </w:r>
    </w:p>
  </w:footnote>
  <w:footnote w:id="8">
    <w:p w:rsidR="003911E0" w:rsidRDefault="000B2D91" w:rsidP="007D173F">
      <w:pPr>
        <w:pStyle w:val="a3"/>
        <w:spacing w:line="360" w:lineRule="auto"/>
        <w:ind w:firstLine="0"/>
      </w:pPr>
      <w:r w:rsidRPr="00BE1D74">
        <w:rPr>
          <w:rStyle w:val="a6"/>
          <w:rFonts w:ascii="Times New Roman" w:hAnsi="Times New Roman"/>
        </w:rPr>
        <w:footnoteRef/>
      </w:r>
      <w:r w:rsidRPr="00BE1D74">
        <w:rPr>
          <w:rFonts w:ascii="Times New Roman" w:hAnsi="Times New Roman" w:cs="Times New Roman"/>
        </w:rPr>
        <w:t xml:space="preserve"> Каминка А.И. Акционерные общества: теория и практика. – М.: Юрист, 2005</w:t>
      </w:r>
    </w:p>
  </w:footnote>
  <w:footnote w:id="9">
    <w:p w:rsidR="003911E0" w:rsidRDefault="000B2D91" w:rsidP="007D173F">
      <w:pPr>
        <w:spacing w:line="360" w:lineRule="auto"/>
        <w:ind w:left="539" w:firstLine="0"/>
      </w:pPr>
      <w:r w:rsidRPr="00A61218">
        <w:rPr>
          <w:rStyle w:val="a6"/>
          <w:rFonts w:ascii="Times New Roman" w:hAnsi="Times New Roman"/>
        </w:rPr>
        <w:footnoteRef/>
      </w:r>
      <w:r w:rsidRPr="00A61218">
        <w:rPr>
          <w:rFonts w:ascii="Times New Roman" w:hAnsi="Times New Roman" w:cs="Times New Roman"/>
        </w:rPr>
        <w:t xml:space="preserve"> Федеральный закон от 02.12.1990 N 395-1 "О банках и банковской деятельности" // Собрание законодательства РФ, 05.02.1996, N 6, ст. 492</w:t>
      </w:r>
    </w:p>
  </w:footnote>
  <w:footnote w:id="10">
    <w:p w:rsidR="003911E0" w:rsidRDefault="000B2D91" w:rsidP="007D173F">
      <w:pPr>
        <w:pStyle w:val="a3"/>
        <w:spacing w:line="360" w:lineRule="auto"/>
        <w:ind w:firstLine="0"/>
      </w:pPr>
      <w:r>
        <w:rPr>
          <w:rStyle w:val="a6"/>
          <w:rFonts w:cs="Arial"/>
        </w:rPr>
        <w:footnoteRef/>
      </w:r>
      <w:r>
        <w:t xml:space="preserve"> </w:t>
      </w:r>
      <w:r w:rsidRPr="00A61218">
        <w:rPr>
          <w:rFonts w:ascii="Times New Roman" w:hAnsi="Times New Roman" w:cs="Times New Roman"/>
        </w:rPr>
        <w:t xml:space="preserve">Постановлении Пленума Верховного Суда РФ и Пленума Высшего Арбитражного Суда РФ от 1 июля </w:t>
      </w:r>
      <w:smartTag w:uri="urn:schemas-microsoft-com:office:smarttags" w:element="metricconverter">
        <w:smartTagPr>
          <w:attr w:name="ProductID" w:val="1996 г"/>
        </w:smartTagPr>
        <w:r w:rsidRPr="00A61218">
          <w:rPr>
            <w:rFonts w:ascii="Times New Roman" w:hAnsi="Times New Roman" w:cs="Times New Roman"/>
          </w:rPr>
          <w:t>1996 г</w:t>
        </w:r>
      </w:smartTag>
      <w:r w:rsidRPr="00A61218">
        <w:rPr>
          <w:rFonts w:ascii="Times New Roman" w:hAnsi="Times New Roman" w:cs="Times New Roman"/>
        </w:rPr>
        <w:t>. N 6/8 "О некоторых вопросах, связанных с применением части первой Гражданского кодекса Российской Федерации"</w:t>
      </w:r>
      <w:r>
        <w:rPr>
          <w:rFonts w:ascii="Times New Roman" w:hAnsi="Times New Roman" w:cs="Times New Roman"/>
        </w:rPr>
        <w:t xml:space="preserve"> // Система КонсультантПлюс</w:t>
      </w:r>
    </w:p>
  </w:footnote>
  <w:footnote w:id="11">
    <w:p w:rsidR="003911E0" w:rsidRDefault="000B2D91" w:rsidP="007D173F">
      <w:pPr>
        <w:spacing w:line="360" w:lineRule="auto"/>
        <w:ind w:left="539" w:firstLine="0"/>
      </w:pPr>
      <w:r w:rsidRPr="00A61218">
        <w:rPr>
          <w:rStyle w:val="a6"/>
          <w:rFonts w:ascii="Times New Roman" w:hAnsi="Times New Roman"/>
        </w:rPr>
        <w:footnoteRef/>
      </w:r>
      <w:r w:rsidRPr="00A61218">
        <w:rPr>
          <w:rFonts w:ascii="Times New Roman" w:hAnsi="Times New Roman" w:cs="Times New Roman"/>
        </w:rPr>
        <w:t xml:space="preserve"> Федеральный закон от 02.10.2007 N 229-ФЗ "Об исполнительном производстве" // Российская газета, N 223, 06.10.2007</w:t>
      </w:r>
    </w:p>
  </w:footnote>
  <w:footnote w:id="12">
    <w:p w:rsidR="003911E0" w:rsidRDefault="000B2D91" w:rsidP="007D173F">
      <w:pPr>
        <w:pStyle w:val="a3"/>
        <w:spacing w:line="360" w:lineRule="auto"/>
        <w:ind w:firstLine="0"/>
      </w:pPr>
      <w:r w:rsidRPr="00A61218">
        <w:rPr>
          <w:rStyle w:val="a6"/>
          <w:rFonts w:cs="Arial"/>
        </w:rPr>
        <w:footnoteRef/>
      </w:r>
      <w:r w:rsidRPr="00A61218">
        <w:t xml:space="preserve"> </w:t>
      </w:r>
      <w:r w:rsidRPr="00A61218">
        <w:rPr>
          <w:rFonts w:ascii="Times New Roman" w:hAnsi="Times New Roman" w:cs="Times New Roman"/>
        </w:rPr>
        <w:t>Федеральный закон от 08.02.1998 N 14-ФЗ "Об обществах с ограниченной ответственностью" // Собрание законодательства РФ, 16.02.1998, N 7, ст. 785</w:t>
      </w:r>
    </w:p>
  </w:footnote>
  <w:footnote w:id="13">
    <w:p w:rsidR="003911E0" w:rsidRDefault="000B2D91" w:rsidP="007D173F">
      <w:pPr>
        <w:pStyle w:val="ConsPlusNormal"/>
        <w:widowControl/>
        <w:spacing w:line="360" w:lineRule="auto"/>
        <w:ind w:firstLine="0"/>
        <w:jc w:val="both"/>
      </w:pPr>
      <w:r w:rsidRPr="00A61218">
        <w:rPr>
          <w:rStyle w:val="a6"/>
          <w:rFonts w:ascii="Times New Roman" w:hAnsi="Times New Roman"/>
        </w:rPr>
        <w:footnoteRef/>
      </w:r>
      <w:r w:rsidRPr="00A61218">
        <w:rPr>
          <w:rFonts w:ascii="Times New Roman" w:hAnsi="Times New Roman" w:cs="Times New Roman"/>
        </w:rPr>
        <w:t xml:space="preserve"> Малумова А.Ю., Шевцов П.А. Комментарий к Федеральному закону от 8 февраля </w:t>
      </w:r>
      <w:smartTag w:uri="urn:schemas-microsoft-com:office:smarttags" w:element="metricconverter">
        <w:smartTagPr>
          <w:attr w:name="ProductID" w:val="1998 Г"/>
        </w:smartTagPr>
        <w:r w:rsidRPr="00A61218">
          <w:rPr>
            <w:rFonts w:ascii="Times New Roman" w:hAnsi="Times New Roman" w:cs="Times New Roman"/>
          </w:rPr>
          <w:t>1998 г</w:t>
        </w:r>
      </w:smartTag>
      <w:r w:rsidRPr="00A61218">
        <w:rPr>
          <w:rFonts w:ascii="Times New Roman" w:hAnsi="Times New Roman" w:cs="Times New Roman"/>
        </w:rPr>
        <w:t>. N 14-ФЗ "Об обществах с ограниченной ответственностью" /</w:t>
      </w:r>
      <w:r>
        <w:rPr>
          <w:rFonts w:ascii="Times New Roman" w:hAnsi="Times New Roman" w:cs="Times New Roman"/>
        </w:rPr>
        <w:t>/ Система КонсультантПлюс, 2009</w:t>
      </w:r>
    </w:p>
  </w:footnote>
  <w:footnote w:id="14">
    <w:p w:rsidR="003911E0" w:rsidRDefault="000B2D91" w:rsidP="007D173F">
      <w:pPr>
        <w:pStyle w:val="a3"/>
        <w:spacing w:line="360" w:lineRule="auto"/>
        <w:ind w:firstLine="0"/>
      </w:pPr>
      <w:r>
        <w:rPr>
          <w:rStyle w:val="a6"/>
          <w:rFonts w:cs="Arial"/>
        </w:rPr>
        <w:footnoteRef/>
      </w:r>
      <w:r>
        <w:t xml:space="preserve"> </w:t>
      </w:r>
      <w:r w:rsidRPr="00185331">
        <w:rPr>
          <w:rFonts w:ascii="Times New Roman" w:hAnsi="Times New Roman" w:cs="Times New Roman"/>
        </w:rPr>
        <w:t>п. 17 постановления Пленума Верховного Суда РФ и Пленума Высшего Арбитражного Суда РФ N 6/8</w:t>
      </w:r>
      <w:r>
        <w:rPr>
          <w:rFonts w:ascii="Times New Roman" w:hAnsi="Times New Roman" w:cs="Times New Roman"/>
        </w:rPr>
        <w:t xml:space="preserve"> // Система Консультант Плюс</w:t>
      </w:r>
    </w:p>
  </w:footnote>
  <w:footnote w:id="15">
    <w:p w:rsidR="003911E0" w:rsidRDefault="000B2D91" w:rsidP="000B2D91">
      <w:pPr>
        <w:pStyle w:val="ConsPlusNormal"/>
        <w:widowControl/>
        <w:spacing w:line="360" w:lineRule="auto"/>
        <w:ind w:firstLine="0"/>
        <w:jc w:val="both"/>
      </w:pPr>
      <w:r w:rsidRPr="00A61218">
        <w:rPr>
          <w:rStyle w:val="a6"/>
          <w:rFonts w:ascii="Times New Roman" w:hAnsi="Times New Roman"/>
        </w:rPr>
        <w:footnoteRef/>
      </w:r>
      <w:r w:rsidRPr="00A61218">
        <w:rPr>
          <w:rFonts w:ascii="Times New Roman" w:hAnsi="Times New Roman" w:cs="Times New Roman"/>
        </w:rPr>
        <w:t xml:space="preserve"> Андреев В.К. Предпринимательское законодательство в России: Научные очерки. М.: РАП, 2008. 367 с.</w:t>
      </w:r>
    </w:p>
  </w:footnote>
  <w:footnote w:id="16">
    <w:p w:rsidR="003911E0" w:rsidRDefault="000B2D91" w:rsidP="000B2D91">
      <w:pPr>
        <w:spacing w:line="360" w:lineRule="auto"/>
        <w:ind w:firstLine="0"/>
      </w:pPr>
      <w:r w:rsidRPr="00A61218">
        <w:rPr>
          <w:rStyle w:val="a6"/>
          <w:rFonts w:ascii="Times New Roman" w:hAnsi="Times New Roman"/>
        </w:rPr>
        <w:footnoteRef/>
      </w:r>
      <w:r w:rsidRPr="00A61218">
        <w:rPr>
          <w:rFonts w:ascii="Times New Roman" w:hAnsi="Times New Roman" w:cs="Times New Roman"/>
        </w:rPr>
        <w:t xml:space="preserve"> </w:t>
      </w:r>
      <w:bookmarkStart w:id="0" w:name="sub_7"/>
      <w:r w:rsidRPr="00A61218">
        <w:rPr>
          <w:rFonts w:ascii="Times New Roman" w:hAnsi="Times New Roman" w:cs="Times New Roman"/>
        </w:rPr>
        <w:t xml:space="preserve">Бушев А.Ю., Макарова О.А., Попондопуло В.Ф. Коммерческое право зарубежных стран. СПб.: Питер, 2003.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CD" w:rsidRPr="00B75CCD" w:rsidRDefault="00B75CCD" w:rsidP="00B75CCD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7A16"/>
    <w:multiLevelType w:val="hybridMultilevel"/>
    <w:tmpl w:val="C54E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024396"/>
    <w:multiLevelType w:val="hybridMultilevel"/>
    <w:tmpl w:val="2BF23B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41D7B72"/>
    <w:multiLevelType w:val="multilevel"/>
    <w:tmpl w:val="E47CFA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76FC6F20"/>
    <w:multiLevelType w:val="multilevel"/>
    <w:tmpl w:val="E47CFA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7E25364C"/>
    <w:multiLevelType w:val="hybridMultilevel"/>
    <w:tmpl w:val="64F6C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469"/>
    <w:rsid w:val="000B2D91"/>
    <w:rsid w:val="000F62D7"/>
    <w:rsid w:val="00182469"/>
    <w:rsid w:val="00185331"/>
    <w:rsid w:val="002637CD"/>
    <w:rsid w:val="002B02D0"/>
    <w:rsid w:val="003911E0"/>
    <w:rsid w:val="004B177A"/>
    <w:rsid w:val="004D2368"/>
    <w:rsid w:val="005C6508"/>
    <w:rsid w:val="005E2CC2"/>
    <w:rsid w:val="005F0DEE"/>
    <w:rsid w:val="005F79D6"/>
    <w:rsid w:val="006232E0"/>
    <w:rsid w:val="00651E83"/>
    <w:rsid w:val="006A1079"/>
    <w:rsid w:val="006A6A07"/>
    <w:rsid w:val="006F1668"/>
    <w:rsid w:val="007110AA"/>
    <w:rsid w:val="00731A16"/>
    <w:rsid w:val="007D173F"/>
    <w:rsid w:val="007D439E"/>
    <w:rsid w:val="00872BAA"/>
    <w:rsid w:val="0092554D"/>
    <w:rsid w:val="00986112"/>
    <w:rsid w:val="00A57B70"/>
    <w:rsid w:val="00A61218"/>
    <w:rsid w:val="00B75CCD"/>
    <w:rsid w:val="00BE1D74"/>
    <w:rsid w:val="00C37C5C"/>
    <w:rsid w:val="00CC0D6C"/>
    <w:rsid w:val="00D66310"/>
    <w:rsid w:val="00DE4409"/>
    <w:rsid w:val="00E911ED"/>
    <w:rsid w:val="00F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7F1919-7340-4709-A15A-951E994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6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18246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182469"/>
  </w:style>
  <w:style w:type="character" w:customStyle="1" w:styleId="a4">
    <w:name w:val="Текст сноски Знак"/>
    <w:link w:val="a3"/>
    <w:uiPriority w:val="99"/>
    <w:semiHidden/>
    <w:locked/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182469"/>
    <w:pPr>
      <w:ind w:firstLine="0"/>
    </w:pPr>
    <w:rPr>
      <w:rFonts w:ascii="Courier New" w:hAnsi="Courier New" w:cs="Courier New"/>
    </w:rPr>
  </w:style>
  <w:style w:type="character" w:styleId="a6">
    <w:name w:val="footnote reference"/>
    <w:uiPriority w:val="99"/>
    <w:semiHidden/>
    <w:rsid w:val="00182469"/>
    <w:rPr>
      <w:rFonts w:cs="Times New Roman"/>
      <w:vertAlign w:val="superscript"/>
    </w:rPr>
  </w:style>
  <w:style w:type="character" w:styleId="a7">
    <w:name w:val="Hyperlink"/>
    <w:uiPriority w:val="99"/>
    <w:rsid w:val="00182469"/>
    <w:rPr>
      <w:rFonts w:cs="Times New Roman"/>
      <w:color w:val="0000FF"/>
      <w:u w:val="single"/>
    </w:rPr>
  </w:style>
  <w:style w:type="paragraph" w:customStyle="1" w:styleId="ConsPlusNormal">
    <w:name w:val="ConsPlusNormal"/>
    <w:rsid w:val="00BE1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BE1D7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rsid w:val="00B75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75CCD"/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B75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75CC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vlaw.ru/vs_info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10790</Words>
  <Characters>61507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Reanimator Extreme Edition</Company>
  <LinksUpToDate>false</LinksUpToDate>
  <CharactersWithSpaces>72153</CharactersWithSpaces>
  <SharedDoc>false</SharedDoc>
  <HLinks>
    <vt:vector size="6" baseType="variant"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http://www.privlaw.ru/vs_info2.html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Home</dc:creator>
  <cp:keywords/>
  <dc:description/>
  <cp:lastModifiedBy>admin</cp:lastModifiedBy>
  <cp:revision>2</cp:revision>
  <cp:lastPrinted>2010-05-29T11:53:00Z</cp:lastPrinted>
  <dcterms:created xsi:type="dcterms:W3CDTF">2014-03-26T22:40:00Z</dcterms:created>
  <dcterms:modified xsi:type="dcterms:W3CDTF">2014-03-26T22:40:00Z</dcterms:modified>
</cp:coreProperties>
</file>