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F3" w:rsidRDefault="00C329F3">
      <w:pPr>
        <w:pStyle w:val="af2"/>
      </w:pPr>
      <w:r>
        <w:t>МИНИСТЕРСТВО ОБРАЗОВАНИЯ РФ</w:t>
      </w:r>
    </w:p>
    <w:p w:rsidR="00C329F3" w:rsidRDefault="00C329F3">
      <w:pPr>
        <w:pStyle w:val="af2"/>
      </w:pPr>
      <w:r>
        <w:t>СЫКТЫВКАРСКИЙ ГОСУДАРСТВЕННЫЙ УНИВЕРСИТЕТ</w:t>
      </w:r>
    </w:p>
    <w:p w:rsidR="00C329F3" w:rsidRDefault="00C329F3">
      <w:pPr>
        <w:pStyle w:val="af2"/>
      </w:pPr>
      <w:r>
        <w:t>ЮРИДИЧЕСКИЙ ФАКУЛЬТЕТ</w:t>
      </w:r>
    </w:p>
    <w:p w:rsidR="00C329F3" w:rsidRDefault="00C329F3">
      <w:pPr>
        <w:pStyle w:val="af2"/>
      </w:pPr>
      <w:r>
        <w:t>КАФЕДРА ГРАЖДАНСКОГО ПРАВА И ПРОЦЕССА</w:t>
      </w:r>
    </w:p>
    <w:p w:rsidR="00C329F3" w:rsidRDefault="00C329F3">
      <w:pPr>
        <w:pStyle w:val="af2"/>
      </w:pPr>
    </w:p>
    <w:p w:rsidR="00C329F3" w:rsidRDefault="00C329F3">
      <w:pPr>
        <w:pStyle w:val="af2"/>
      </w:pPr>
    </w:p>
    <w:p w:rsidR="00C329F3" w:rsidRDefault="00C329F3">
      <w:pPr>
        <w:pStyle w:val="af2"/>
      </w:pPr>
    </w:p>
    <w:p w:rsidR="00C329F3" w:rsidRDefault="00C329F3">
      <w:pPr>
        <w:pStyle w:val="af2"/>
      </w:pPr>
    </w:p>
    <w:p w:rsidR="00C329F3" w:rsidRDefault="00C329F3">
      <w:pPr>
        <w:pStyle w:val="af2"/>
      </w:pPr>
      <w:r>
        <w:t>КОНТРОЛЬНАЯ РАБОТА</w:t>
      </w:r>
    </w:p>
    <w:p w:rsidR="00C329F3" w:rsidRDefault="00C329F3">
      <w:pPr>
        <w:pStyle w:val="af2"/>
      </w:pPr>
    </w:p>
    <w:p w:rsidR="00C329F3" w:rsidRDefault="00C329F3">
      <w:pPr>
        <w:pStyle w:val="af2"/>
      </w:pPr>
      <w:r>
        <w:t>По предмету: Гражданское процессуальное право</w:t>
      </w:r>
    </w:p>
    <w:p w:rsidR="00C329F3" w:rsidRDefault="00C329F3">
      <w:pPr>
        <w:pStyle w:val="af2"/>
      </w:pPr>
    </w:p>
    <w:p w:rsidR="00C329F3" w:rsidRDefault="00C329F3">
      <w:pPr>
        <w:pStyle w:val="af2"/>
      </w:pPr>
    </w:p>
    <w:p w:rsidR="00C329F3" w:rsidRDefault="00C329F3">
      <w:pPr>
        <w:pStyle w:val="af2"/>
      </w:pPr>
      <w:r>
        <w:t>На тему: Вещественные доказательства</w:t>
      </w:r>
    </w:p>
    <w:p w:rsidR="00C329F3" w:rsidRDefault="00C329F3">
      <w:pPr>
        <w:pStyle w:val="af2"/>
      </w:pPr>
    </w:p>
    <w:p w:rsidR="00C329F3" w:rsidRDefault="00C329F3">
      <w:pPr>
        <w:pStyle w:val="af2"/>
      </w:pPr>
    </w:p>
    <w:p w:rsidR="00C329F3" w:rsidRDefault="00C329F3">
      <w:pPr>
        <w:pStyle w:val="af2"/>
      </w:pPr>
    </w:p>
    <w:p w:rsidR="00C329F3" w:rsidRDefault="00C329F3">
      <w:pPr>
        <w:pStyle w:val="af2"/>
      </w:pPr>
    </w:p>
    <w:p w:rsidR="00C329F3" w:rsidRDefault="00C329F3">
      <w:pPr>
        <w:pStyle w:val="af2"/>
        <w:ind w:left="4956"/>
        <w:jc w:val="left"/>
      </w:pPr>
      <w:r>
        <w:t xml:space="preserve">Преподаватель: Арапов Н.Т. </w:t>
      </w:r>
    </w:p>
    <w:p w:rsidR="00C329F3" w:rsidRDefault="00C329F3">
      <w:pPr>
        <w:pStyle w:val="af2"/>
        <w:ind w:left="4956"/>
        <w:jc w:val="left"/>
      </w:pPr>
      <w:r>
        <w:t>Исполнитель: студентка гр.6310</w:t>
      </w:r>
    </w:p>
    <w:p w:rsidR="00C329F3" w:rsidRDefault="00C329F3">
      <w:pPr>
        <w:pStyle w:val="af2"/>
        <w:ind w:left="4956"/>
        <w:jc w:val="left"/>
      </w:pPr>
      <w:r>
        <w:t xml:space="preserve">Дементьева Т.Е. </w:t>
      </w:r>
    </w:p>
    <w:p w:rsidR="00C329F3" w:rsidRDefault="00C329F3">
      <w:pPr>
        <w:pStyle w:val="af2"/>
      </w:pPr>
    </w:p>
    <w:p w:rsidR="00C329F3" w:rsidRDefault="00C329F3">
      <w:pPr>
        <w:pStyle w:val="af2"/>
      </w:pPr>
    </w:p>
    <w:p w:rsidR="00C329F3" w:rsidRDefault="00C329F3">
      <w:pPr>
        <w:pStyle w:val="af2"/>
      </w:pPr>
    </w:p>
    <w:p w:rsidR="00C329F3" w:rsidRDefault="00C329F3">
      <w:pPr>
        <w:pStyle w:val="af2"/>
      </w:pPr>
    </w:p>
    <w:p w:rsidR="00C329F3" w:rsidRDefault="00C329F3">
      <w:pPr>
        <w:pStyle w:val="af2"/>
      </w:pPr>
    </w:p>
    <w:p w:rsidR="00C329F3" w:rsidRDefault="00C329F3">
      <w:pPr>
        <w:pStyle w:val="af2"/>
      </w:pPr>
    </w:p>
    <w:p w:rsidR="00C329F3" w:rsidRDefault="00C329F3">
      <w:pPr>
        <w:pStyle w:val="af2"/>
      </w:pPr>
    </w:p>
    <w:p w:rsidR="00C329F3" w:rsidRDefault="00C329F3">
      <w:pPr>
        <w:pStyle w:val="af2"/>
      </w:pPr>
      <w:r>
        <w:t>Сыктывкар 2004</w:t>
      </w:r>
    </w:p>
    <w:p w:rsidR="00C329F3" w:rsidRPr="00C329F3" w:rsidRDefault="00C329F3">
      <w:pPr>
        <w:pStyle w:val="af2"/>
        <w:rPr>
          <w:b/>
          <w:bCs/>
          <w:lang w:val="en-US"/>
        </w:rPr>
      </w:pPr>
      <w:r>
        <w:br w:type="page"/>
      </w:r>
      <w:r w:rsidRPr="00C329F3">
        <w:rPr>
          <w:b/>
          <w:bCs/>
        </w:rPr>
        <w:t>СОДЕРЖАНИЕ</w:t>
      </w:r>
    </w:p>
    <w:p w:rsidR="00C329F3" w:rsidRDefault="00C329F3">
      <w:pPr>
        <w:pStyle w:val="af2"/>
        <w:jc w:val="both"/>
        <w:rPr>
          <w:lang w:val="en-US"/>
        </w:rPr>
      </w:pPr>
    </w:p>
    <w:p w:rsidR="00C329F3" w:rsidRDefault="00C329F3" w:rsidP="00C329F3">
      <w:pPr>
        <w:pStyle w:val="21"/>
        <w:ind w:left="0" w:firstLine="0"/>
        <w:rPr>
          <w:smallCaps w:val="0"/>
          <w:sz w:val="24"/>
          <w:szCs w:val="24"/>
        </w:rPr>
      </w:pPr>
      <w:r w:rsidRPr="00C81246">
        <w:rPr>
          <w:rStyle w:val="af3"/>
          <w:lang w:val="en-US"/>
        </w:rPr>
        <w:t>I</w:t>
      </w:r>
      <w:r w:rsidRPr="00C81246">
        <w:rPr>
          <w:rStyle w:val="af3"/>
        </w:rPr>
        <w:t>. Понятие вещественных доказательств</w:t>
      </w:r>
      <w:r>
        <w:rPr>
          <w:webHidden/>
        </w:rPr>
        <w:tab/>
        <w:t>3</w:t>
      </w:r>
    </w:p>
    <w:p w:rsidR="00C329F3" w:rsidRDefault="00C329F3" w:rsidP="00C329F3">
      <w:pPr>
        <w:pStyle w:val="21"/>
        <w:ind w:left="0" w:firstLine="0"/>
        <w:rPr>
          <w:smallCaps w:val="0"/>
          <w:sz w:val="24"/>
          <w:szCs w:val="24"/>
        </w:rPr>
      </w:pPr>
      <w:r w:rsidRPr="00C81246">
        <w:rPr>
          <w:rStyle w:val="af3"/>
          <w:lang w:val="en-US"/>
        </w:rPr>
        <w:t>II</w:t>
      </w:r>
      <w:r w:rsidRPr="00C81246">
        <w:rPr>
          <w:rStyle w:val="af3"/>
        </w:rPr>
        <w:t>. Хранение вещественных доказательств</w:t>
      </w:r>
      <w:r>
        <w:rPr>
          <w:webHidden/>
        </w:rPr>
        <w:tab/>
        <w:t>5</w:t>
      </w:r>
    </w:p>
    <w:p w:rsidR="00C329F3" w:rsidRDefault="00C329F3" w:rsidP="00C329F3">
      <w:pPr>
        <w:pStyle w:val="21"/>
        <w:ind w:left="0" w:firstLine="0"/>
        <w:rPr>
          <w:smallCaps w:val="0"/>
          <w:sz w:val="24"/>
          <w:szCs w:val="24"/>
        </w:rPr>
      </w:pPr>
      <w:r w:rsidRPr="00C81246">
        <w:rPr>
          <w:rStyle w:val="af3"/>
          <w:lang w:val="en-US"/>
        </w:rPr>
        <w:t>III</w:t>
      </w:r>
      <w:r w:rsidRPr="00C81246">
        <w:rPr>
          <w:rStyle w:val="af3"/>
        </w:rPr>
        <w:t>. Осмотр и исследование вещественных доказательств, подвергающихся быстрой порче</w:t>
      </w:r>
      <w:r>
        <w:rPr>
          <w:webHidden/>
        </w:rPr>
        <w:tab/>
        <w:t>9</w:t>
      </w:r>
    </w:p>
    <w:p w:rsidR="00C329F3" w:rsidRDefault="00C329F3" w:rsidP="00C329F3">
      <w:pPr>
        <w:pStyle w:val="21"/>
        <w:ind w:left="0" w:firstLine="0"/>
        <w:rPr>
          <w:smallCaps w:val="0"/>
          <w:sz w:val="24"/>
          <w:szCs w:val="24"/>
        </w:rPr>
      </w:pPr>
      <w:r w:rsidRPr="00C81246">
        <w:rPr>
          <w:rStyle w:val="af3"/>
          <w:lang w:val="en-US"/>
        </w:rPr>
        <w:t>IV</w:t>
      </w:r>
      <w:r w:rsidRPr="00C81246">
        <w:rPr>
          <w:rStyle w:val="af3"/>
        </w:rPr>
        <w:t>. Распоряжение вещественными доказательсвами</w:t>
      </w:r>
      <w:r>
        <w:rPr>
          <w:webHidden/>
        </w:rPr>
        <w:tab/>
        <w:t>11</w:t>
      </w:r>
    </w:p>
    <w:p w:rsidR="00C329F3" w:rsidRDefault="00C329F3" w:rsidP="00C329F3">
      <w:pPr>
        <w:pStyle w:val="11"/>
        <w:tabs>
          <w:tab w:val="right" w:leader="dot" w:pos="9345"/>
        </w:tabs>
        <w:ind w:firstLine="0"/>
        <w:rPr>
          <w:b w:val="0"/>
          <w:bCs w:val="0"/>
          <w:caps w:val="0"/>
          <w:noProof/>
          <w:sz w:val="24"/>
          <w:szCs w:val="24"/>
        </w:rPr>
      </w:pPr>
      <w:r w:rsidRPr="00C81246">
        <w:rPr>
          <w:rStyle w:val="af3"/>
          <w:noProof/>
        </w:rPr>
        <w:t>ИСПОЛЬЗУЕМАЯ ЛИТЕРАТУРА</w:t>
      </w:r>
      <w:r>
        <w:rPr>
          <w:noProof/>
          <w:webHidden/>
        </w:rPr>
        <w:tab/>
        <w:t>13</w:t>
      </w:r>
    </w:p>
    <w:p w:rsidR="00C329F3" w:rsidRDefault="00C329F3" w:rsidP="00C329F3">
      <w:pPr>
        <w:pStyle w:val="af2"/>
        <w:jc w:val="both"/>
        <w:rPr>
          <w:lang w:val="en-US"/>
        </w:rPr>
      </w:pPr>
    </w:p>
    <w:p w:rsidR="00C329F3" w:rsidRDefault="00C329F3">
      <w:pPr>
        <w:pStyle w:val="2"/>
        <w:rPr>
          <w:kern w:val="0"/>
        </w:rPr>
      </w:pPr>
      <w:r>
        <w:br w:type="page"/>
      </w:r>
      <w:bookmarkStart w:id="0" w:name="_Toc218372218"/>
      <w:r>
        <w:rPr>
          <w:kern w:val="0"/>
          <w:lang w:val="en-US"/>
        </w:rPr>
        <w:t>I</w:t>
      </w:r>
      <w:r>
        <w:rPr>
          <w:kern w:val="0"/>
        </w:rPr>
        <w:t>. Понятие вещественных доказательств</w:t>
      </w:r>
      <w:bookmarkEnd w:id="0"/>
    </w:p>
    <w:p w:rsidR="00C329F3" w:rsidRDefault="00C329F3"/>
    <w:p w:rsidR="00C329F3" w:rsidRDefault="00C329F3">
      <w:r>
        <w:t xml:space="preserve">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 (ст.73 ГПК РФ). </w:t>
      </w:r>
    </w:p>
    <w:p w:rsidR="00C329F3" w:rsidRDefault="00C329F3">
      <w:r>
        <w:t xml:space="preserve">По обстоятельствам конкретных дел вещественными доказательствами могут быть различные предметы материального мира, например автомобиль или иное имущество, поврежденное в результате аварии, вещи, испорченная при химчистке или в ателье индпошива, мебель, поврежденная при перевозке транспортно-экспедиционной организацией и т.п. </w:t>
      </w:r>
    </w:p>
    <w:p w:rsidR="00C329F3" w:rsidRDefault="00C329F3">
      <w:r>
        <w:t xml:space="preserve">В процессе взаимодействия предметов материального мира одни предметы не только действуют на другие, но и воспринимают действие последних. Такой процесс хорошо прослеживается в период формирования и исследования вещественных доказательств. Так, на соответствующих материальных объектах (автомобиле или ином предмете, документе и т.д.) остаются следы в результате причинения вреда, попытки подделки подписи. В зависимости от характера следов-отражений суд может "прочитать" их непосредственно либо с помощью эксперта. </w:t>
      </w:r>
    </w:p>
    <w:p w:rsidR="00C329F3" w:rsidRDefault="00C329F3">
      <w:r>
        <w:t xml:space="preserve">Предметы материального мира, используемые в качестве вещественных доказательств, суд должен иметь возможность познавать непосредственно, а в соответствующих случаях – через специалистов и экспертов. Не могут рассматриваться в качестве доказательств сведения об обстоятельствах дела, извлеченные из таких материальных объектов, которые в случае необходимости не могут быть исследованы с помощью научного знания. </w:t>
      </w:r>
    </w:p>
    <w:p w:rsidR="00C329F3" w:rsidRDefault="00C329F3">
      <w:r>
        <w:t xml:space="preserve">В силу тех или иных причин иногда суд не в состоянии непосредственно исследовать вещественное доказательство, а вынужден получать информацию производного, вторичного характера. Например, "суд осматривает не материально-правовой объект спора, а его фотографию. Вместо поврежденного имущества и оставшихся на нем в результате повреждения следов суд может осмотреть соответствующую фотографию либо слепок следов". </w:t>
      </w:r>
      <w:r>
        <w:rPr>
          <w:rStyle w:val="aa"/>
        </w:rPr>
        <w:footnoteReference w:id="1"/>
      </w:r>
      <w:r>
        <w:t xml:space="preserve"> </w:t>
      </w:r>
    </w:p>
    <w:p w:rsidR="00C329F3" w:rsidRDefault="00C329F3">
      <w:r>
        <w:t xml:space="preserve">Производные вещественные доказательства, например фотографии, в некоторых случаях используются из-за невозможности приобщения к делу первоначальных. Однако нередко они используются и наряду с первоначальными. Так, в деле может находиться документ или иной предмет, являющийся объектом экспертного исследования, а также изготовленные экспертом фототаблицы, на которых те или иные признаки объекта представлены более наглядно. </w:t>
      </w:r>
    </w:p>
    <w:p w:rsidR="00C329F3" w:rsidRDefault="00C329F3">
      <w:r>
        <w:t xml:space="preserve">Письменные и вещественные доказательства отличаются друг от друга по следующим признакам. </w:t>
      </w:r>
    </w:p>
    <w:p w:rsidR="00C329F3" w:rsidRDefault="00C329F3">
      <w:r>
        <w:t xml:space="preserve">Доказательственное значение документов – вещественных доказательств определяется двумя моментами: </w:t>
      </w:r>
    </w:p>
    <w:p w:rsidR="00C329F3" w:rsidRDefault="00C329F3">
      <w:r>
        <w:t xml:space="preserve">1) внешними признаками, свойствами, формой, местом обнаружения; </w:t>
      </w:r>
    </w:p>
    <w:p w:rsidR="00C329F3" w:rsidRDefault="00C329F3">
      <w:r>
        <w:t xml:space="preserve">2) их содержанием. </w:t>
      </w:r>
    </w:p>
    <w:p w:rsidR="00C329F3" w:rsidRDefault="00C329F3">
      <w:r>
        <w:t xml:space="preserve">Напротив, значение письменных доказательств определяется исключительно их содержанием. </w:t>
      </w:r>
    </w:p>
    <w:p w:rsidR="00C329F3" w:rsidRDefault="00C329F3">
      <w:r>
        <w:t xml:space="preserve">Анализ судебной практики свидетельствует о том, что документ будет вещественным доказательством в том случае, если доказательственное значение имеют главным образом его внешние признаки, свойства, отличительные особенности или местонахождение. И, наоборот, документ является письменным доказательством, если суд интересует в основном его содержание. </w:t>
      </w:r>
    </w:p>
    <w:p w:rsidR="00C329F3" w:rsidRDefault="00C329F3">
      <w:r>
        <w:t xml:space="preserve">Лицо, представляющее вещественное доказательство или ходатайствующее о его истребовании, обязано указать, какие имеющие значение для правильного рассмотрения и разрешения дела обстоятельства могут быть подтверждены или опровергнуты этим доказательством, указать причины, препятствующие получению доказательства, и место его нахождения (ч.2 ст.57 ГПК). </w:t>
      </w:r>
    </w:p>
    <w:p w:rsidR="00C329F3" w:rsidRDefault="00C329F3">
      <w:r>
        <w:t xml:space="preserve">Вещественные доказательства должны отвечать требованию относимости. Если вещественное доказательство, представленное участником процесса, к делу не относится, то оно не должно исследоваться в судебном заседании. </w:t>
      </w:r>
    </w:p>
    <w:p w:rsidR="00C329F3" w:rsidRDefault="00C329F3">
      <w:r>
        <w:t xml:space="preserve">Вещественные доказательства, требуемые судом от организаций, доставляются непосредственно в суд. Суд может также выдать лицу, ходатайствующему об истребовании вещественного доказательства, запрос на право его получения для последующего представления в суд. Исполнение этих требований является обязательным для всех организаций и граждан (ст.57 ГПК). </w:t>
      </w:r>
    </w:p>
    <w:p w:rsidR="00C329F3" w:rsidRDefault="00C329F3"/>
    <w:p w:rsidR="00C329F3" w:rsidRDefault="00C329F3">
      <w:pPr>
        <w:pStyle w:val="2"/>
        <w:rPr>
          <w:kern w:val="0"/>
        </w:rPr>
      </w:pPr>
      <w:bookmarkStart w:id="1" w:name="_Toc218372219"/>
      <w:r>
        <w:rPr>
          <w:kern w:val="0"/>
          <w:lang w:val="en-US"/>
        </w:rPr>
        <w:t>II</w:t>
      </w:r>
      <w:r>
        <w:rPr>
          <w:kern w:val="0"/>
        </w:rPr>
        <w:t>. Хранение вещественных доказательств</w:t>
      </w:r>
      <w:bookmarkEnd w:id="1"/>
    </w:p>
    <w:p w:rsidR="00C329F3" w:rsidRDefault="00C329F3"/>
    <w:p w:rsidR="00C329F3" w:rsidRDefault="00C329F3">
      <w:r>
        <w:t xml:space="preserve">Предметы, приобщенные судом в качестве вещественных доказательств по конкретному гражданскому делу, до момента его разрешения по существу должны сохраняться в том же виде, в каком они были первоначально представлены в суд. Только при этом условии вещественные доказательства могут объективно служить средством установления обстоятельств, имеющих значение для рассмотрения и разрешения гражданского дела, как того требует ГПК (ст.73 ГПК). Положения ст.74 ГПК определяют способы хранения предметов, являющихся вещественными доказательствами, с учетом особенностей присущих им свойств. </w:t>
      </w:r>
    </w:p>
    <w:p w:rsidR="00C329F3" w:rsidRDefault="00C329F3">
      <w:r>
        <w:t xml:space="preserve">В ч.1 ст.74 ГПК закреплено общее правило о порядке хранения вещественных доказательств по гражданскому делу, представленных суду лицами, участвующими в деле, или истребованных судом от граждан и организаций в соответствии со ст.57 ГПК, определяющей представление и истребование доказательств. </w:t>
      </w:r>
    </w:p>
    <w:p w:rsidR="00C329F3" w:rsidRDefault="00C329F3">
      <w:r>
        <w:t xml:space="preserve">Предметы небольшого размера, приобщенные в качестве доказательств, хранятся непосредственно в материалах гражданского дела. Более крупные предметы хранятся в специально оборудованных в здании суда помещениях для хранения вещественных доказательств. При этом должен соблюдаться порядок хранения, установленный правилами делопроизводства в судах общей юрисдикции. </w:t>
      </w:r>
      <w:r>
        <w:rPr>
          <w:rStyle w:val="aa"/>
        </w:rPr>
        <w:footnoteReference w:id="2"/>
      </w:r>
      <w:r>
        <w:t xml:space="preserve"> </w:t>
      </w:r>
    </w:p>
    <w:p w:rsidR="00C329F3" w:rsidRDefault="00C329F3">
      <w:r>
        <w:t xml:space="preserve">В частности, 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 На упаковке указываются: наименование вложения, его количество, номер дела, к которому вещественные доказательства приобщены, а после регистрации в журнале учета вещественных доказательств – номер по порядку записей в журнале. Опечатывание вещественных доказательств производит судья, под председательством которого рассматривается соответствующее дело. Печать ставится таким образом, чтобы вещественные доказательства не могли быть заменены или изъяты без ее повреждения. </w:t>
      </w:r>
    </w:p>
    <w:p w:rsidR="00C329F3" w:rsidRDefault="00C329F3">
      <w:r>
        <w:t xml:space="preserve">Поскольку целью хранения вещественных доказательств является обеспечение их неизменности до разрешения дела по существу, то запрещается использование вещественных доказательств судьями, работниками аппарата суда и другими лицами для каких-либо служебных или иных целей. На документах, письмах и других бумагах, являющихся вещественными доказательствами, нельзя делать какие-либо отметки, надписи, новые складки и перегибы. Кроме того, запрещается выносить из помещения суда для выполнения работы на дому судебные дела и документы, за исключением случаев рассмотрения дела на выездной сессии. </w:t>
      </w:r>
    </w:p>
    <w:p w:rsidR="00C329F3" w:rsidRDefault="00C329F3">
      <w:r>
        <w:t xml:space="preserve">За сохранность вещественных доказательств, находящихся в деле, несет ответственность судья, под председательством которого оно рассматривается. За сохранность вещественных доказательств, которые хранятся в суде отдельно от дела, несет ответственность секретарь суда или другой работник, на которого приказом председателя суда возложена обязанность по учету и хранению вещественных доказательств. При смене работника, ответственного за учет и хранение вещественных доказательств, их прием и передача оформляются актом, при составлении которого проверяется соответствие записей в журнале фактическому наличию вещей. Акт подписывается председателем суда (его заместителем), лицом, сдающим журнал и вещественные доказательства, и лицом, принимающим их. </w:t>
      </w:r>
    </w:p>
    <w:p w:rsidR="00C329F3" w:rsidRDefault="00C329F3">
      <w:r>
        <w:t xml:space="preserve">Председатель суда или его заместитель не реже одного раза в квартал проверяет правильность ведения журнала учета вещественных доказательств, соответствие записей фактическому наличию вещей, своевременность и правильность исполнения решения суда в отношении вещественных доказательств. По результатам проверки составляется акт. </w:t>
      </w:r>
    </w:p>
    <w:p w:rsidR="00C329F3" w:rsidRDefault="00C329F3">
      <w:r>
        <w:t xml:space="preserve">Из установленного ч.1 ст.74 ГПК общего правила о хранении вещественных доказательств в суде могут быть сделаны исключения в соответствии с федеральным законом в отношении предметов, которые с учетом их свойств не представляется возможным хранить в материалах дела либо в помещении суда, а также когда гражданский оборот предметов, являющихся вещественными доказательствами, ограничен законом. </w:t>
      </w:r>
    </w:p>
    <w:p w:rsidR="00C329F3" w:rsidRDefault="00C329F3">
      <w:r>
        <w:t xml:space="preserve">Так, в соответствии с Федеральным законом от 13.12.96 г. №150-ФЗ "Об оружии" юридическим лицам и гражданам запрещается хранение переданного им огнестрельного оружия, собственниками которого они не являются: такое оружие подлежит сдаче в органы внутренних дел (ст.22 Федерального закона). Следовательно, в силу приведенного предписания данного Федерального закона являющееся доказательством по гражданскому делу огнестрельное оружие после его оформления в соответствии с ч.2 ст.74 ГПК и регистрации в журнале учета вещественных доказательств подлежит сдаче в орган внутренних дел, расположенный в месте нахождения суда. </w:t>
      </w:r>
    </w:p>
    <w:p w:rsidR="00C329F3" w:rsidRDefault="00C329F3">
      <w:r>
        <w:t xml:space="preserve">В порядке, предусмотренном ч.2 ст.74 ГПК, осуществляется хранение являющихся вещественными доказательствами недвижимого имущества, транспортных средств и иного крупногабаритного имущества, а также предметов, которые в силу значительности по количеству не могут быть доставлены в суд или их хранение в суде не представляется возможным и целесообразным. Осмотр таких доказательств производится судом по правилам, установленным ст.58 и 184 ГПК, определяющими осмотр и исследование доказательств по месту их нахождения и осмотр на месте. Если указанные вещественные доказательства находятся в другом городе или районе, то предписанные ч.2 ст.74 ГПК действия совершаются соответствующим судом в порядке выполнения судебного поручения. (ст.63 ГПК). </w:t>
      </w:r>
    </w:p>
    <w:p w:rsidR="00C329F3" w:rsidRDefault="00C329F3">
      <w:r>
        <w:t xml:space="preserve">После оформления указанных вещественных доказательств в соответствии с ч.2 ст.74 ГПК (с обязательной последующей их регистрацией в журнале учета вещественных доказательств) судья, принимая решение об их хранении по месту нахождения или в ином месте, разъясняет ответственному лицу о необходимости сохранения этих вещественных доказательств в неизменном виде до момента разрешения дела по существу и об ответственности за неисполнение этого обязательства. В частности, ст.312 УК РФ предусматривает уголовную ответственность за растрату, отчуждение, сокрытие или незаконную передачу имущества, подвергнутого описи, совершенные лицом, которому это имущество вверено. Кроме того, не обеспечившее сохранность вещественных доказательств лицо обязано в порядке гражданско-правовой ответственности возместить собственнику соответствующего имущества причиненные ему в результате этого убытки. </w:t>
      </w:r>
    </w:p>
    <w:p w:rsidR="00C329F3" w:rsidRDefault="00C329F3">
      <w:r>
        <w:t xml:space="preserve">В случае, если в качестве доказательства приобщается вещь, являющаяся предметом спора по гражданскому делу, то в соответствии со ст.926 ГК РФ по решению суда в порядке секвестра эта вещь может быть предана на хранение третьему лицу, принимающему на себя обязанность по разрешении спора возвратить вещь тому лицу, которому она будет присуждена по решению суда (судебный секвестр). Хранителем по судебному секвестру может быть как лицо, назначенное судом, так и лицо, определяемое по взаимному согласию спорящих сторон. В указанном случае хранение вещественных доказательств осуществляется также с соблюдением правил гл.47 ГК "Хранение". </w:t>
      </w:r>
    </w:p>
    <w:p w:rsidR="00C329F3" w:rsidRDefault="00C329F3">
      <w:r>
        <w:t xml:space="preserve">При рассмотрении вопроса о распределении между сторонами расходов на хранение вещественных доказательств в соответствии со ст.98 ГПК "Распределение судебных расходов между сторонами", как это предписывает ч.3 ст.74 ГПК, следует отметить некоторые особенности, возникающие из указанных оснований такого хранения. </w:t>
      </w:r>
    </w:p>
    <w:p w:rsidR="00C329F3" w:rsidRDefault="00C329F3">
      <w:r>
        <w:t xml:space="preserve">В случае когда вещественное доказательство не может быть доставлено в суд и в соответствии с ч.2 ст.74 ГПК хранится по месту его нахождения, то распределение соответствующих расходов осуществляется в общем порядке, предусмотренном ГПК (ст.98 ГПК). Если же место хранения указанного вещественного доказательства определяется судом, в том числе в порядке судебного секвестра, с возложением обязанности по обеспечению сохранности этого доказательства на конкретное лицо, то расходы по хранению возмещаются за счет средств федерального бюджета, как это установлено ч.2 ст.96 ГПК, ссылка на которую содержится в ч.1 ст.98 ГПК. </w:t>
      </w:r>
    </w:p>
    <w:p w:rsidR="00C329F3" w:rsidRDefault="00C329F3"/>
    <w:p w:rsidR="00C329F3" w:rsidRDefault="00C329F3">
      <w:pPr>
        <w:pStyle w:val="2"/>
      </w:pPr>
      <w:bookmarkStart w:id="2" w:name="_Toc218372220"/>
      <w:r>
        <w:rPr>
          <w:kern w:val="0"/>
          <w:lang w:val="en-US"/>
        </w:rPr>
        <w:t>III</w:t>
      </w:r>
      <w:r>
        <w:rPr>
          <w:kern w:val="0"/>
        </w:rPr>
        <w:t>. Осмотр и исследование вещественных доказательств, подвергающихся быстрой порче</w:t>
      </w:r>
      <w:bookmarkEnd w:id="2"/>
    </w:p>
    <w:p w:rsidR="00C329F3" w:rsidRDefault="00C329F3"/>
    <w:p w:rsidR="00C329F3" w:rsidRDefault="00C329F3">
      <w:r>
        <w:t xml:space="preserve">Любые предметы, которые могут являться вещественными доказательствами по делу, но не могут быть исследованы в судебном заседании, приобщены к материалам дела или иным образом сохранены до разрешения дела по существу в силу их подверженности быстрой порче, должны быть осмотрены и исследованы судом с той степенью срочности, которая позволяет зафиксировать их в неиспорченном состоянии. К таким вещественным доказательствам, в частности, относятся продукты питания, другие объекты биологического и органического происхождения, свойства которых, имеющие доказательственное значение, могут быть утрачены до момента разрешения дела по существу. </w:t>
      </w:r>
    </w:p>
    <w:p w:rsidR="00C329F3" w:rsidRDefault="00C329F3">
      <w:r>
        <w:t xml:space="preserve">При проведении осмотра и исследования вещественных доказательств, подвергающихся быстрой порче, суд руководствуется не только положениями ст.75 ГПК, но и другими положениями ГПК. В частности, при необходимости суд может привлечь к участию в указанных процессуальных действиях экспертов, специалистов и свидетелей, как это предусмотрено ст.58, 184 ГПК, определяющими осмотр и исследование доказательств по месту их нахождения и осмотр на месте. Кроме того, при составлении протокола по результатам проведенного осмотра и исследования вещественных доказательств суд должен руководствоваться положениями гл.21 ГПК "Протоколы". </w:t>
      </w:r>
    </w:p>
    <w:p w:rsidR="00C329F3" w:rsidRDefault="00C329F3">
      <w:r>
        <w:t xml:space="preserve">Возложение на суд обязанности извещать о времени и месте совершения предусмотренных ст.75 ГПК действий лиц, участвующих в деле, соответствует принципам, которые закреплены в ст.12 ГПК, обеспечивая состязательный характер процесса и равноправие указанных лиц в использовании средств доказывания для подтверждения своих позиций по делу. </w:t>
      </w:r>
    </w:p>
    <w:p w:rsidR="00C329F3" w:rsidRDefault="00C329F3">
      <w:r>
        <w:t xml:space="preserve">Положения ч.1 ст.75 ГПК не конкретизируют, каким именно организациям после проведения осмотра и исследования суд дожжен предавать вещественные доказательства для использования по назначению, если эти доказательства не могут быть возвращены предоставившим их лицам. В то же время такая конкретизация не только способна сформировать механизм реализации приведенной процессуальной нормы, но и обеспечить соблюдении имущественных прав лиц, которые предоставили суду указанные доказательства. </w:t>
      </w:r>
    </w:p>
    <w:p w:rsidR="00C329F3" w:rsidRDefault="00C329F3">
      <w:r>
        <w:t xml:space="preserve">Рассматривая ст.75 ГПК "Осмотр и исследование вещественных доказательств, подвергающихся быстрой порче" в системной связи с другими положениями действующего законодательства, можно сделать вывод о возможности передачи вещественных доказательств для реализации Российскому фонду федерального имущества, к компетенции которого относится реализация имущества в порядке исполнения вступивших в законную силу судебных решений. </w:t>
      </w:r>
      <w:r>
        <w:rPr>
          <w:rStyle w:val="aa"/>
        </w:rPr>
        <w:footnoteReference w:id="3"/>
      </w:r>
      <w:r>
        <w:t xml:space="preserve"> Состоятельность данного вывода может быть подтверждена и тем обстоятельством, что в соответствии с постановлением Правительства РФ от 20.08. 2002 г. №620 указанный фонд является уполномоченным органом по реализации предметов, являющихся вещественными доказательствами, хранение которых при уголовном деле или до его окончания затруднительно. </w:t>
      </w:r>
    </w:p>
    <w:p w:rsidR="00C329F3" w:rsidRDefault="00C329F3"/>
    <w:p w:rsidR="00C329F3" w:rsidRDefault="00C329F3">
      <w:pPr>
        <w:pStyle w:val="2"/>
        <w:rPr>
          <w:kern w:val="0"/>
        </w:rPr>
      </w:pPr>
      <w:bookmarkStart w:id="3" w:name="_Toc218372221"/>
      <w:r>
        <w:rPr>
          <w:kern w:val="0"/>
          <w:lang w:val="en-US"/>
        </w:rPr>
        <w:t>IV</w:t>
      </w:r>
      <w:r>
        <w:rPr>
          <w:kern w:val="0"/>
        </w:rPr>
        <w:t>. Распоряжение вещественными доказательсвами</w:t>
      </w:r>
      <w:bookmarkEnd w:id="3"/>
    </w:p>
    <w:p w:rsidR="00C329F3" w:rsidRDefault="00C329F3"/>
    <w:p w:rsidR="00C329F3" w:rsidRDefault="00C329F3">
      <w:r>
        <w:t xml:space="preserve">Распоряжение вещественными доказательствами имеет особенности по сравнению с распоряжением письменными доказательствами. В отличие от письменных доказательств вещи, за редким исключением, невозможно заменить идентичными копиями. Кроме того, они могут быть, по выражению профессора Жилина Г.А., "громоздкими, требовать места, оплачиваемого хранения, постоянного наблюдения". </w:t>
      </w:r>
      <w:r>
        <w:rPr>
          <w:rStyle w:val="aa"/>
        </w:rPr>
        <w:footnoteReference w:id="4"/>
      </w:r>
      <w:r>
        <w:t xml:space="preserve"> Вещи также подвержены изменениям или быстрой порче, иногда опасны, нередко выступают в рыночном обороте как объекты договоров подряда, купли-продажи, ссуды и т.д. </w:t>
      </w:r>
    </w:p>
    <w:p w:rsidR="00C329F3" w:rsidRDefault="00C329F3">
      <w:r>
        <w:t xml:space="preserve">Все эти факторы в совокупности требуют от суда интенсификации работы с вещественными доказательствами, ориентируют на устранение каких-либо задержек с определением их дальнейшей судьбы. </w:t>
      </w:r>
    </w:p>
    <w:p w:rsidR="00C329F3" w:rsidRDefault="00C329F3">
      <w:r>
        <w:t xml:space="preserve">Вещественные доказательства могут быть после их осмотра и исследования судом возвращены собственникам. Однако суд вправе хранить вещественные доказательства до вступления вынесенного по делу решения в законную силу. </w:t>
      </w:r>
    </w:p>
    <w:p w:rsidR="00C329F3" w:rsidRDefault="00C329F3">
      <w:r>
        <w:t xml:space="preserve">В случаях если владелец вещи отказывается забрать ее из-за утраты интереса, ненужности, непригодности вследствие разрушения потребительских качеств и т.п., суд вправе самостоятельно избавиться от вещи, исполнившей свою процессуальную роль (предать другим субъектам, уничтожить и т.д.). Суд также вправе предать вещественные доказательства торговым или иным организациям для реализации с зачислением вырученных сумм на депозитный счет суда с последующим их переводом владельцу. </w:t>
      </w:r>
    </w:p>
    <w:p w:rsidR="00C329F3" w:rsidRDefault="00C329F3">
      <w:r>
        <w:t xml:space="preserve">В данном случае суд должен вынести соответствующее определение, составить необходимые документы (акт сдачи-приемки, платежные поручения и пр). </w:t>
      </w:r>
    </w:p>
    <w:p w:rsidR="00C329F3" w:rsidRDefault="00C329F3">
      <w:r>
        <w:t xml:space="preserve">В соответствии со ст.213, 216 ГК в собственности или владении граждан и юридических лиц может находиться любое имущество, за исключением отдельных его видов, которые согласно закону не могут им принадлежать. Эти исключения суд должен учитывать при определении судьбы вещественных доказательств. </w:t>
      </w:r>
    </w:p>
    <w:p w:rsidR="00C329F3" w:rsidRDefault="00C329F3">
      <w:r>
        <w:t xml:space="preserve">Перечень этих изъятий меняется с течением времени и не одинаков для разных групп субъектов (разрешение иметь огнестрельное оружие, иные средства защиты и т.д.). Данные вещи, изъятые из оборота вообще или частично и не подлежащие возврату тем, от кого были получены, предаются соответствующим учреждениям (как правило, органам МВД). </w:t>
      </w:r>
    </w:p>
    <w:p w:rsidR="00C329F3" w:rsidRDefault="00C329F3">
      <w:pPr>
        <w:pStyle w:val="1"/>
        <w:rPr>
          <w:kern w:val="0"/>
        </w:rPr>
      </w:pPr>
      <w:r>
        <w:br w:type="page"/>
      </w:r>
      <w:bookmarkStart w:id="4" w:name="_Toc218372222"/>
      <w:r>
        <w:rPr>
          <w:kern w:val="0"/>
        </w:rPr>
        <w:t>ИСПОЛЬЗУЕМАЯ ЛИТЕРАТУРА</w:t>
      </w:r>
      <w:bookmarkEnd w:id="4"/>
    </w:p>
    <w:p w:rsidR="00C329F3" w:rsidRDefault="00C329F3"/>
    <w:p w:rsidR="00C329F3" w:rsidRDefault="00C329F3">
      <w:r>
        <w:t>1. Гражданский процессуальный кодекс РФ.</w:t>
      </w:r>
    </w:p>
    <w:p w:rsidR="00C329F3" w:rsidRDefault="00C329F3">
      <w:r>
        <w:t>2. Гражданский кодекс РФ.</w:t>
      </w:r>
    </w:p>
    <w:p w:rsidR="00C329F3" w:rsidRDefault="00C329F3">
      <w:r>
        <w:t>3. Уголовный кодекс РФ.</w:t>
      </w:r>
    </w:p>
    <w:p w:rsidR="00C329F3" w:rsidRDefault="00C329F3">
      <w:r>
        <w:t>4. Федеральный закон от 13.12.96 г. №150-ФЗ "Об оружии".</w:t>
      </w:r>
    </w:p>
    <w:p w:rsidR="00C329F3" w:rsidRDefault="00C329F3">
      <w:r>
        <w:t xml:space="preserve">5. Постановление Правительства РФ от 21.12. 2000 г. №980 "О передаче функций Федерального долгового центра при Правительстве РФ Российскому фонду федерального имущества" (с изменениями и дополнениями от 19.04. 2002 г. №260). </w:t>
      </w:r>
    </w:p>
    <w:p w:rsidR="00C329F3" w:rsidRDefault="00C329F3">
      <w:r>
        <w:t xml:space="preserve">6. Временная инструкция по делопроизводству в районном суде, утвержденная приказом Судебном департамента при ВС РФ от 29.01.99 г. №8 (с изменениями и дополнениями на 15.10. 2001 г). </w:t>
      </w:r>
    </w:p>
    <w:p w:rsidR="00C329F3" w:rsidRDefault="00C329F3">
      <w:r>
        <w:t xml:space="preserve">7. Временная инструкция по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утвержденная приказом Судебного департамента при ВС РФ от 28.12.99 г. №169. </w:t>
      </w:r>
    </w:p>
    <w:p w:rsidR="00C329F3" w:rsidRDefault="00C329F3">
      <w:r>
        <w:t>8. Жилин Г.А. Комментарий к ГПК РФ (постатейный) "ТК Велби" М., 2003.</w:t>
      </w:r>
    </w:p>
    <w:p w:rsidR="00C329F3" w:rsidRDefault="00C329F3">
      <w:bookmarkStart w:id="5" w:name="_GoBack"/>
      <w:bookmarkEnd w:id="5"/>
    </w:p>
    <w:sectPr w:rsidR="00C329F3">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41F" w:rsidRDefault="006E741F">
      <w:r>
        <w:separator/>
      </w:r>
    </w:p>
  </w:endnote>
  <w:endnote w:type="continuationSeparator" w:id="0">
    <w:p w:rsidR="006E741F" w:rsidRDefault="006E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9F3" w:rsidRDefault="00C329F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41F" w:rsidRDefault="006E741F">
      <w:r>
        <w:separator/>
      </w:r>
    </w:p>
  </w:footnote>
  <w:footnote w:type="continuationSeparator" w:id="0">
    <w:p w:rsidR="006E741F" w:rsidRDefault="006E741F">
      <w:r>
        <w:continuationSeparator/>
      </w:r>
    </w:p>
  </w:footnote>
  <w:footnote w:id="1">
    <w:p w:rsidR="00C329F3" w:rsidRDefault="00C329F3">
      <w:r>
        <w:rPr>
          <w:rStyle w:val="aa"/>
        </w:rPr>
        <w:footnoteRef/>
      </w:r>
      <w:r>
        <w:t>Жилин Г.А. Комментарий к ГПК РФ (постатейный) «ТК Велби» М., 2003 – с.162.</w:t>
      </w:r>
    </w:p>
    <w:p w:rsidR="006E741F" w:rsidRDefault="006E741F"/>
  </w:footnote>
  <w:footnote w:id="2">
    <w:p w:rsidR="006E741F" w:rsidRDefault="00C329F3">
      <w:pPr>
        <w:pStyle w:val="a8"/>
      </w:pPr>
      <w:r>
        <w:rPr>
          <w:rStyle w:val="aa"/>
        </w:rPr>
        <w:footnoteRef/>
      </w:r>
      <w:r>
        <w:t xml:space="preserve"> В настоящее время действует Временная инструкция по делопроизводству в районном суде, утвержденная приказом Судебном департамента при ВС РФ от 29.01.99 г. №8 (с изменениями и дополнениями на 15.10. 2001 г.) и Временная инструкция по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утвержденная приказом Судебного департамента при ВС РФ от 28.12.99 г. №169. </w:t>
      </w:r>
    </w:p>
  </w:footnote>
  <w:footnote w:id="3">
    <w:p w:rsidR="006E741F" w:rsidRDefault="00C329F3">
      <w:pPr>
        <w:pStyle w:val="a8"/>
      </w:pPr>
      <w:r>
        <w:rPr>
          <w:rStyle w:val="aa"/>
        </w:rPr>
        <w:footnoteRef/>
      </w:r>
      <w:r>
        <w:t xml:space="preserve"> См. постановление Правительства РФ от 21.12.2000 г. №980 «О передаче функций Федерального долгового центра при Правительстве РФ Российскому фонду федерального имущества» (с изменениями и дополнениями от 19.04.2002 г. №260).</w:t>
      </w:r>
    </w:p>
  </w:footnote>
  <w:footnote w:id="4">
    <w:p w:rsidR="00C329F3" w:rsidRDefault="00C329F3">
      <w:r>
        <w:rPr>
          <w:rStyle w:val="aa"/>
        </w:rPr>
        <w:footnoteRef/>
      </w:r>
      <w:r>
        <w:t xml:space="preserve"> Жилин Г.А. Комментарий к ГПК РФ (постатейный) «ТК Велби» М., 2003 – с.169.</w:t>
      </w:r>
    </w:p>
    <w:p w:rsidR="006E741F" w:rsidRDefault="006E74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9F3" w:rsidRDefault="00C81246">
    <w:pPr>
      <w:pStyle w:val="ab"/>
      <w:framePr w:wrap="auto" w:vAnchor="text" w:hAnchor="margin" w:xAlign="right" w:y="1"/>
      <w:rPr>
        <w:rStyle w:val="a7"/>
      </w:rPr>
    </w:pPr>
    <w:r>
      <w:rPr>
        <w:rStyle w:val="a7"/>
      </w:rPr>
      <w:t>2</w:t>
    </w:r>
  </w:p>
  <w:p w:rsidR="00C329F3" w:rsidRDefault="00C329F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A740BA7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8BD41A9"/>
    <w:multiLevelType w:val="hybridMultilevel"/>
    <w:tmpl w:val="51D0F918"/>
    <w:lvl w:ilvl="0" w:tplc="3BAA5B2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8C6CF0"/>
    <w:multiLevelType w:val="hybridMultilevel"/>
    <w:tmpl w:val="745EAABA"/>
    <w:lvl w:ilvl="0" w:tplc="08C490E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F954A2D"/>
    <w:multiLevelType w:val="hybridMultilevel"/>
    <w:tmpl w:val="5CAE06F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E22B52"/>
    <w:multiLevelType w:val="hybridMultilevel"/>
    <w:tmpl w:val="6B90CD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6F10F1"/>
    <w:multiLevelType w:val="hybridMultilevel"/>
    <w:tmpl w:val="688052EA"/>
    <w:lvl w:ilvl="0" w:tplc="F40C120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D34BEA"/>
    <w:multiLevelType w:val="singleLevel"/>
    <w:tmpl w:val="4B94BC64"/>
    <w:lvl w:ilvl="0">
      <w:start w:val="1"/>
      <w:numFmt w:val="decimal"/>
      <w:pStyle w:val="a0"/>
      <w:lvlText w:val="%1."/>
      <w:lvlJc w:val="left"/>
      <w:pPr>
        <w:tabs>
          <w:tab w:val="num" w:pos="1080"/>
        </w:tabs>
        <w:ind w:firstLine="720"/>
      </w:p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DB1"/>
    <w:rsid w:val="006E741F"/>
    <w:rsid w:val="00A01DD6"/>
    <w:rsid w:val="00B22C72"/>
    <w:rsid w:val="00C329F3"/>
    <w:rsid w:val="00C81246"/>
    <w:rsid w:val="00CE2DB1"/>
    <w:rsid w:val="00D04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457E6D-1DF6-4DF3-8BF1-A68591CA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styleId="a8">
    <w:name w:val="footnote text"/>
    <w:basedOn w:val="a1"/>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sz w:val="28"/>
      <w:szCs w:val="28"/>
      <w:vertAlign w:val="superscript"/>
    </w:rPr>
  </w:style>
  <w:style w:type="paragraph" w:styleId="ab">
    <w:name w:val="header"/>
    <w:basedOn w:val="a1"/>
    <w:next w:val="ac"/>
    <w:link w:val="ad"/>
    <w:uiPriority w:val="99"/>
    <w:pPr>
      <w:tabs>
        <w:tab w:val="center" w:pos="4677"/>
        <w:tab w:val="right" w:pos="9355"/>
      </w:tabs>
      <w:jc w:val="right"/>
    </w:pPr>
    <w:rPr>
      <w:noProof/>
      <w:kern w:val="16"/>
    </w:rPr>
  </w:style>
  <w:style w:type="character" w:customStyle="1" w:styleId="ad">
    <w:name w:val="Верхний колонтитул Знак"/>
    <w:link w:val="ab"/>
    <w:uiPriority w:val="99"/>
    <w:rPr>
      <w:kern w:val="16"/>
      <w:sz w:val="24"/>
      <w:szCs w:val="24"/>
    </w:rPr>
  </w:style>
  <w:style w:type="paragraph" w:styleId="ac">
    <w:name w:val="Body Text"/>
    <w:basedOn w:val="a1"/>
    <w:link w:val="ae"/>
    <w:uiPriority w:val="99"/>
  </w:style>
  <w:style w:type="character" w:customStyle="1" w:styleId="ae">
    <w:name w:val="Основной текст Знак"/>
    <w:link w:val="ac"/>
    <w:uiPriority w:val="99"/>
    <w:semiHidden/>
    <w:rPr>
      <w:sz w:val="28"/>
      <w:szCs w:val="28"/>
    </w:rPr>
  </w:style>
  <w:style w:type="paragraph" w:customStyle="1" w:styleId="af">
    <w:name w:val="выделение"/>
    <w:uiPriority w:val="99"/>
    <w:pPr>
      <w:spacing w:line="360" w:lineRule="auto"/>
      <w:ind w:firstLine="709"/>
      <w:jc w:val="both"/>
    </w:pPr>
    <w:rPr>
      <w:b/>
      <w:bCs/>
      <w:i/>
      <w:iCs/>
      <w:noProof/>
      <w:sz w:val="28"/>
      <w:szCs w:val="28"/>
    </w:rPr>
  </w:style>
  <w:style w:type="paragraph" w:styleId="11">
    <w:name w:val="toc 1"/>
    <w:basedOn w:val="a1"/>
    <w:next w:val="a1"/>
    <w:autoRedefine/>
    <w:uiPriority w:val="99"/>
    <w:semiHidden/>
    <w:pPr>
      <w:jc w:val="left"/>
    </w:pPr>
    <w:rPr>
      <w:b/>
      <w:bCs/>
      <w:caps/>
    </w:rPr>
  </w:style>
  <w:style w:type="paragraph" w:styleId="21">
    <w:name w:val="toc 2"/>
    <w:basedOn w:val="a1"/>
    <w:next w:val="a1"/>
    <w:autoRedefine/>
    <w:uiPriority w:val="99"/>
    <w:semiHidden/>
    <w:pPr>
      <w:tabs>
        <w:tab w:val="right" w:leader="dot" w:pos="9344"/>
      </w:tabs>
      <w:ind w:left="1208" w:hanging="17"/>
      <w:jc w:val="left"/>
    </w:pPr>
    <w:rPr>
      <w:smallCaps/>
      <w:noProof/>
    </w:rPr>
  </w:style>
  <w:style w:type="paragraph" w:styleId="31">
    <w:name w:val="toc 3"/>
    <w:basedOn w:val="a1"/>
    <w:next w:val="a1"/>
    <w:autoRedefine/>
    <w:uiPriority w:val="99"/>
    <w:semiHidden/>
    <w:pPr>
      <w:tabs>
        <w:tab w:val="right" w:leader="dot" w:pos="9345"/>
      </w:tabs>
      <w:ind w:left="1273" w:firstLine="8"/>
      <w:jc w:val="left"/>
    </w:pPr>
    <w:rPr>
      <w:i/>
      <w:iCs/>
      <w:noProof/>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6"/>
      </w:numPr>
      <w:spacing w:line="360" w:lineRule="auto"/>
      <w:jc w:val="both"/>
    </w:pPr>
    <w:rPr>
      <w:noProof/>
      <w:sz w:val="28"/>
      <w:szCs w:val="28"/>
    </w:rPr>
  </w:style>
  <w:style w:type="paragraph" w:customStyle="1" w:styleId="a0">
    <w:name w:val="список нумерованный"/>
    <w:uiPriority w:val="99"/>
    <w:pPr>
      <w:numPr>
        <w:numId w:val="7"/>
      </w:numPr>
      <w:tabs>
        <w:tab w:val="num" w:pos="1276"/>
      </w:tabs>
      <w:spacing w:line="360" w:lineRule="auto"/>
      <w:jc w:val="both"/>
    </w:pPr>
    <w:rPr>
      <w:noProof/>
      <w:sz w:val="28"/>
      <w:szCs w:val="28"/>
    </w:rPr>
  </w:style>
  <w:style w:type="paragraph" w:customStyle="1" w:styleId="af0">
    <w:name w:val="схема"/>
    <w:uiPriority w:val="99"/>
    <w:pPr>
      <w:jc w:val="center"/>
    </w:pPr>
    <w:rPr>
      <w:noProof/>
      <w:sz w:val="24"/>
      <w:szCs w:val="24"/>
    </w:rPr>
  </w:style>
  <w:style w:type="paragraph" w:customStyle="1" w:styleId="af1">
    <w:name w:val="ТАБЛИЦА"/>
    <w:uiPriority w:val="99"/>
    <w:pPr>
      <w:jc w:val="center"/>
    </w:pPr>
  </w:style>
  <w:style w:type="paragraph" w:customStyle="1" w:styleId="af2">
    <w:name w:val="титут"/>
    <w:uiPriority w:val="99"/>
    <w:pPr>
      <w:spacing w:line="360" w:lineRule="auto"/>
      <w:jc w:val="center"/>
    </w:pPr>
    <w:rPr>
      <w:noProof/>
      <w:sz w:val="28"/>
      <w:szCs w:val="28"/>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2774</Words>
  <Characters>15813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Diapsalmata</Company>
  <LinksUpToDate>false</LinksUpToDate>
  <CharactersWithSpaces>18550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RabbiT</dc:creator>
  <cp:keywords/>
  <dc:description/>
  <cp:lastModifiedBy>admin</cp:lastModifiedBy>
  <cp:revision>2</cp:revision>
  <dcterms:created xsi:type="dcterms:W3CDTF">2014-02-23T16:39:00Z</dcterms:created>
  <dcterms:modified xsi:type="dcterms:W3CDTF">2014-02-23T16:39:00Z</dcterms:modified>
</cp:coreProperties>
</file>