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4B" w:rsidRPr="00CC5D1E" w:rsidRDefault="00A04C4B" w:rsidP="00E371A0">
      <w:pPr>
        <w:spacing w:line="360" w:lineRule="auto"/>
        <w:jc w:val="center"/>
      </w:pPr>
      <w:r w:rsidRPr="00CC5D1E">
        <w:t>Белорусский Государственный Университет Транспорта</w:t>
      </w:r>
    </w:p>
    <w:p w:rsidR="00A04C4B" w:rsidRPr="00CC5D1E" w:rsidRDefault="00E371A0" w:rsidP="00E371A0">
      <w:pPr>
        <w:spacing w:line="360" w:lineRule="auto"/>
        <w:jc w:val="center"/>
      </w:pPr>
      <w:r w:rsidRPr="00CC5D1E">
        <w:t>Ф</w:t>
      </w:r>
      <w:r w:rsidR="00A04C4B" w:rsidRPr="00CC5D1E">
        <w:t>акультет безотрывного обучения</w:t>
      </w:r>
    </w:p>
    <w:p w:rsidR="00A04C4B" w:rsidRPr="00CC5D1E" w:rsidRDefault="00EC2D9B" w:rsidP="00E371A0">
      <w:pPr>
        <w:spacing w:line="360" w:lineRule="auto"/>
        <w:jc w:val="center"/>
      </w:pPr>
      <w:r w:rsidRPr="00CC5D1E">
        <w:t>К</w:t>
      </w:r>
      <w:r w:rsidR="00A04C4B" w:rsidRPr="00CC5D1E">
        <w:t>афедра «Бухгалтерский учет, анализ и аудит»</w:t>
      </w: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E81252" w:rsidRPr="00CC5D1E" w:rsidRDefault="00E81252" w:rsidP="00E371A0">
      <w:pPr>
        <w:spacing w:line="360" w:lineRule="auto"/>
        <w:jc w:val="center"/>
      </w:pPr>
    </w:p>
    <w:p w:rsidR="00E81252" w:rsidRPr="00CC5D1E" w:rsidRDefault="00E81252"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66627B" w:rsidRPr="00CC5D1E" w:rsidRDefault="0066627B" w:rsidP="00E371A0">
      <w:pPr>
        <w:spacing w:line="360" w:lineRule="auto"/>
        <w:jc w:val="center"/>
      </w:pPr>
    </w:p>
    <w:p w:rsidR="0066627B" w:rsidRPr="00CC5D1E" w:rsidRDefault="0066627B" w:rsidP="00E371A0">
      <w:pPr>
        <w:spacing w:line="360" w:lineRule="auto"/>
        <w:jc w:val="center"/>
      </w:pPr>
    </w:p>
    <w:p w:rsidR="00A04C4B" w:rsidRPr="00CC5D1E" w:rsidRDefault="00A04C4B" w:rsidP="00E371A0">
      <w:pPr>
        <w:spacing w:line="360" w:lineRule="auto"/>
        <w:jc w:val="center"/>
      </w:pPr>
    </w:p>
    <w:p w:rsidR="00A04C4B" w:rsidRPr="00CC5D1E" w:rsidRDefault="0006739C" w:rsidP="00E371A0">
      <w:pPr>
        <w:spacing w:line="360" w:lineRule="auto"/>
        <w:jc w:val="center"/>
      </w:pPr>
      <w:r w:rsidRPr="00CC5D1E">
        <w:t>Контрольная работа</w:t>
      </w:r>
    </w:p>
    <w:p w:rsidR="00A04C4B" w:rsidRPr="00CC5D1E" w:rsidRDefault="00A04C4B" w:rsidP="00E371A0">
      <w:pPr>
        <w:spacing w:line="360" w:lineRule="auto"/>
        <w:jc w:val="center"/>
      </w:pPr>
      <w:r w:rsidRPr="00CC5D1E">
        <w:t>По предмету:</w:t>
      </w:r>
      <w:r w:rsidR="0006739C" w:rsidRPr="00CC5D1E">
        <w:t xml:space="preserve"> Бухгалтерский учет</w:t>
      </w:r>
    </w:p>
    <w:p w:rsidR="00A04C4B" w:rsidRPr="00CC5D1E" w:rsidRDefault="00A04C4B" w:rsidP="00E371A0">
      <w:pPr>
        <w:spacing w:line="360" w:lineRule="auto"/>
        <w:jc w:val="center"/>
      </w:pPr>
      <w:r w:rsidRPr="00CC5D1E">
        <w:t>Вариант 10</w:t>
      </w: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F82BA9" w:rsidRPr="00CC5D1E" w:rsidRDefault="00A04C4B" w:rsidP="00E371A0">
      <w:pPr>
        <w:spacing w:line="360" w:lineRule="auto"/>
      </w:pPr>
      <w:r w:rsidRPr="00CC5D1E">
        <w:t>Выполнил:</w:t>
      </w:r>
    </w:p>
    <w:p w:rsidR="00A04C4B" w:rsidRPr="00CC5D1E" w:rsidRDefault="00A04C4B" w:rsidP="00E371A0">
      <w:pPr>
        <w:spacing w:line="360" w:lineRule="auto"/>
      </w:pPr>
      <w:r w:rsidRPr="00CC5D1E">
        <w:t>ст-ка IV курса, гр.ЗБ-41</w:t>
      </w:r>
    </w:p>
    <w:p w:rsidR="00A04C4B" w:rsidRPr="00CC5D1E" w:rsidRDefault="00A04C4B" w:rsidP="00E371A0">
      <w:pPr>
        <w:spacing w:line="360" w:lineRule="auto"/>
      </w:pPr>
      <w:r w:rsidRPr="00CC5D1E">
        <w:t>шифр 05-ЗБ-570n</w:t>
      </w:r>
    </w:p>
    <w:p w:rsidR="00A04C4B" w:rsidRPr="00CC5D1E" w:rsidRDefault="00A04C4B" w:rsidP="00E371A0">
      <w:pPr>
        <w:spacing w:line="360" w:lineRule="auto"/>
      </w:pPr>
      <w:r w:rsidRPr="00CC5D1E">
        <w:t>Юрцевич О.С.</w:t>
      </w: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p>
    <w:p w:rsidR="00A04C4B" w:rsidRPr="00CC5D1E" w:rsidRDefault="00A04C4B" w:rsidP="00E371A0">
      <w:pPr>
        <w:spacing w:line="360" w:lineRule="auto"/>
        <w:jc w:val="center"/>
      </w:pPr>
      <w:r w:rsidRPr="00CC5D1E">
        <w:t>Гомель, 2008</w:t>
      </w:r>
    </w:p>
    <w:p w:rsidR="00A04C4B" w:rsidRPr="00CC5D1E" w:rsidRDefault="0006739C" w:rsidP="00E371A0">
      <w:pPr>
        <w:spacing w:line="360" w:lineRule="auto"/>
        <w:ind w:firstLine="709"/>
        <w:jc w:val="both"/>
        <w:rPr>
          <w:b/>
          <w:bCs/>
        </w:rPr>
      </w:pPr>
      <w:r w:rsidRPr="00CC5D1E">
        <w:br w:type="page"/>
      </w:r>
      <w:r w:rsidR="00A04C4B" w:rsidRPr="00CC5D1E">
        <w:rPr>
          <w:b/>
          <w:bCs/>
        </w:rPr>
        <w:t>1. Виды аренды основных средств и учёт арендных операций</w:t>
      </w:r>
    </w:p>
    <w:p w:rsidR="00F82BA9" w:rsidRPr="00CC5D1E" w:rsidRDefault="00F82BA9" w:rsidP="00E371A0">
      <w:pPr>
        <w:spacing w:line="360" w:lineRule="auto"/>
        <w:ind w:firstLine="709"/>
        <w:jc w:val="both"/>
      </w:pPr>
    </w:p>
    <w:p w:rsidR="00A04C4B" w:rsidRPr="00CC5D1E" w:rsidRDefault="00A04C4B" w:rsidP="00E371A0">
      <w:pPr>
        <w:spacing w:line="360" w:lineRule="auto"/>
        <w:ind w:firstLine="709"/>
        <w:jc w:val="both"/>
      </w:pPr>
      <w:r w:rsidRPr="00CC5D1E">
        <w:t>В условиях рыночной экономики широкое распространение в хозяйственной деятельности предприятий получила аренда основных средств. В практике существует аренда текущая (краткосрочная) и финансовая, или долгосрочная, аренда. Текущая аренда означает передачу в аренду отдельных объектов основных средств, жилых и производственных помещений чаще всего без права выкупа имущества. Долгосрочная, финансовая, аренда предприятий, цехов, оборудования, транспортных средств предполагает передачу имущества арендодателем во владение арендатору с последующим выкупом по остаточной (выкупной) стоимости основных средств или передачу основных средств без выкупа для создания арендных предприятий на базе государственных предприятий. К сведению, в зарубежной практике по срокам действия аренда делится на: краткосрочную (рейтинг) - до 1 года; среднесрочную (хайринг) - от 1 года до 3 лет; долгосрочную (лизинг) - свыше 3 лет [5, с. 158].</w:t>
      </w:r>
    </w:p>
    <w:p w:rsidR="00A04C4B" w:rsidRPr="00CC5D1E" w:rsidRDefault="00A04C4B" w:rsidP="00E371A0">
      <w:pPr>
        <w:spacing w:line="360" w:lineRule="auto"/>
        <w:ind w:firstLine="709"/>
        <w:jc w:val="both"/>
      </w:pPr>
      <w:r w:rsidRPr="00CC5D1E">
        <w:t>Широкое распространение и в нашей экономике получила финансовая аренда - лизинг, когда арендодатель за счет своих средств приобретает для арендатора по заявке последнего необходимое для его производственных целей оборудование у определенного поставщика и передает во временное владение и пользование, сохраняя за собой право собственности. Аренда допускается во всех отраслях народного хозяйства и в отношении движимого и недвижимого имущества: здания, сооружения, оборудование, транспортные средства, земельные участки, обособленные природные объекты. Передача имущества во временное владение и пользование оформляется договором аренды (имущественного займа), в котором указываются необходимые данные об имуществе, передаваемом в аренду (наименование, состав, себестоимость), срок аренды, сумма арендной платы, условия и сроки внесения арендной платы, распределение обязанностей сторон (начисление амортизации основных средств, проведение ремонтов, уплата земельного налога, уплата коммунальных услуг по зданиям и др.). Имущество, предоставленное в аренду или полученное, должно в бухгалтерском учете отражаться отдельно. Передача объекта в аренду оформляется актом (накладной) приемки-передачи основных средств. Основные средства у арендодателя как его собственность продолжают числиться на счете 01 «Основные средства». Бухгалтерия арендодателя делает отметку в инвентарной карточке объекта о передаче его в аренду, и копия инвентарной карточки передается арендатору, который зачисляет объект аренды на забалансовый счет 001 «Арендованные основные средства» без использования двойной записи по счетам, т.е. получение отражается по дебету счета 001, а при возврате их арендодателю - по кредиту этого счета. Амортизацию по переданному в аренду объекту при текущей аренде начисляет арендодатель, но относит ее не на затраты своего производства, а в уменьшение дохода от аренды, т.е. в дебет счета 91 «Операционные доходы и расходы» и в кредит счета 02 Амортизация основных средств», если аренда не является основной деятельностью предприятия. Если же передача основных средств, нематериальных активов является основным видом деятельности, то амортизация по переданным в аренду объектам отражается в составе расходов по обычным видам деятельности: дебет 20, 23, 25, 26, 44, кредит 02.</w:t>
      </w:r>
    </w:p>
    <w:p w:rsidR="00A04C4B" w:rsidRPr="00CC5D1E" w:rsidRDefault="00A04C4B" w:rsidP="00E371A0">
      <w:pPr>
        <w:spacing w:line="360" w:lineRule="auto"/>
        <w:ind w:firstLine="709"/>
        <w:jc w:val="both"/>
      </w:pPr>
      <w:r w:rsidRPr="00CC5D1E">
        <w:t>Основным видом экономической деятельности организации является такой вид деятельности, который вносит наибольший вклад, удельный вес в показатель объема производства, объема реализации продукции, работ, услуг и составляет более 50% от данных показателей. Тогда бухгалтерия арендодателя начисленную арендную плату будет отражать как реализацию продукции, работ и услуг: дебет 76 «Расчеты</w:t>
      </w:r>
      <w:r w:rsidR="001964BF" w:rsidRPr="00CC5D1E">
        <w:t xml:space="preserve"> </w:t>
      </w:r>
      <w:r w:rsidRPr="00CC5D1E">
        <w:t>с разными дебиторами и кредиторами», кредит 90 «Реализация». Если сдача имущества в аренду не является основным видом экономической деятельности, то арендная плата у арендодателя должна учитываться как операционные доходы на счете 91 -Операционные доходы и расходы»: дебет 76 «Расчеты с разными дебиторами и кредиторами», кредит 91 «Операционные доходы и расходы». Арендная плата рассчитывается за месяц, исходя из арендуемой площади зданий, сооружений, помещений, установленной ставки арендной платы за 1 м2 арендуемой площади и коэффициентов, характеризующих удобства в пользовании арендуемыми производственными зданиями, сооружениями и помещениями.</w:t>
      </w:r>
    </w:p>
    <w:p w:rsidR="00A04C4B" w:rsidRPr="00CC5D1E" w:rsidRDefault="00A04C4B" w:rsidP="00E371A0">
      <w:pPr>
        <w:spacing w:line="360" w:lineRule="auto"/>
        <w:ind w:firstLine="709"/>
        <w:jc w:val="both"/>
      </w:pPr>
      <w:r w:rsidRPr="00CC5D1E">
        <w:t>Расходы арендодателя по содержанию, эксплуатации, текущему ремонту производственных зданий, сооружений и помещений, отоплению, энергоснабжению, связи, коммунальным и другим услугам не включаются в арендную плату и оплачиваются арендатором отдельно по договоренности сторон на основании фактических расходов (показаний приборов, счетчиков). Базовые ставки арендной платы за 1 м2 зависят от населенных пунктов республики и установлены в евро. Арендная плата включает в себя амортизационные отчисления, все виды налогов и сборов, уплачиваемых в бюджет арендодателем в соответствии с законодательством. Договоры аренды зданий, сооружений, нежилых помещений подлежат государственной регистрации в Едином государственном реестре договоров аренды зданий, сооружений, нежилых помещений. Юридические лица, имеющие здания, сооружения и иные помещения республиканской собственности, при сдаче их в аренду перечисляют в республиканский бюджет 50% полученной арендной платы. При арендных отношениях записи по счетам у арендатора следующие:</w:t>
      </w:r>
    </w:p>
    <w:p w:rsidR="00E81252" w:rsidRPr="00CC5D1E" w:rsidRDefault="00E81252" w:rsidP="00E371A0">
      <w:pPr>
        <w:spacing w:line="360" w:lineRule="auto"/>
        <w:ind w:firstLine="709"/>
        <w:jc w:val="both"/>
      </w:pPr>
    </w:p>
    <w:tbl>
      <w:tblPr>
        <w:tblW w:w="9240" w:type="dxa"/>
        <w:tblInd w:w="-8" w:type="dxa"/>
        <w:tblLayout w:type="fixed"/>
        <w:tblCellMar>
          <w:left w:w="40" w:type="dxa"/>
          <w:right w:w="40" w:type="dxa"/>
        </w:tblCellMar>
        <w:tblLook w:val="0000" w:firstRow="0" w:lastRow="0" w:firstColumn="0" w:lastColumn="0" w:noHBand="0" w:noVBand="0"/>
      </w:tblPr>
      <w:tblGrid>
        <w:gridCol w:w="5640"/>
        <w:gridCol w:w="20"/>
        <w:gridCol w:w="1660"/>
        <w:gridCol w:w="1920"/>
      </w:tblGrid>
      <w:tr w:rsidR="00A04C4B" w:rsidRPr="00CC5D1E">
        <w:trPr>
          <w:trHeight w:val="336"/>
        </w:trPr>
        <w:tc>
          <w:tcPr>
            <w:tcW w:w="566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Содержание операции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Дебет</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Кредит</w:t>
            </w:r>
          </w:p>
        </w:tc>
      </w:tr>
      <w:tr w:rsidR="00A04C4B" w:rsidRPr="00CC5D1E">
        <w:trPr>
          <w:trHeight w:val="490"/>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 xml:space="preserve">Сумма арендной платы, причитающейся уплате (без НДС)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20, 25, 26, 44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60,76</w:t>
            </w:r>
          </w:p>
        </w:tc>
      </w:tr>
      <w:tr w:rsidR="00A04C4B" w:rsidRPr="00CC5D1E">
        <w:trPr>
          <w:trHeight w:val="25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НДС по арендной плате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18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60, 76</w:t>
            </w:r>
          </w:p>
        </w:tc>
      </w:tr>
      <w:tr w:rsidR="00A04C4B" w:rsidRPr="00CC5D1E">
        <w:trPr>
          <w:trHeight w:val="1440"/>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Возмещение арендодателю расходов по содержанию и эксплуатации зданий, сооружений, отоплению, энергоснабжению, связи, коммунальным услугам согласно договору аренды на основании фактических расходов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20, 25, 26,</w:t>
            </w:r>
          </w:p>
          <w:p w:rsidR="00A04C4B" w:rsidRPr="00CC5D1E" w:rsidRDefault="00A04C4B" w:rsidP="00E81252">
            <w:pPr>
              <w:spacing w:line="360" w:lineRule="auto"/>
              <w:jc w:val="both"/>
              <w:rPr>
                <w:sz w:val="20"/>
                <w:szCs w:val="20"/>
              </w:rPr>
            </w:pPr>
            <w:r w:rsidRPr="00CC5D1E">
              <w:rPr>
                <w:sz w:val="20"/>
                <w:szCs w:val="20"/>
              </w:rPr>
              <w:t>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60,76</w:t>
            </w:r>
          </w:p>
        </w:tc>
      </w:tr>
      <w:tr w:rsidR="00A04C4B" w:rsidRPr="00CC5D1E">
        <w:trPr>
          <w:trHeight w:val="73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Отнесение топливно-энергетических ресурсов, израсходованных сверх установленных лимитов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91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60,76</w:t>
            </w:r>
          </w:p>
        </w:tc>
      </w:tr>
      <w:tr w:rsidR="00A04C4B" w:rsidRPr="00CC5D1E">
        <w:trPr>
          <w:trHeight w:val="97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Отнесение на арендатора согласно договору аренды расходов по текущему и капитальному</w:t>
            </w:r>
            <w:r w:rsidR="00F82BA9" w:rsidRPr="00CC5D1E">
              <w:rPr>
                <w:sz w:val="20"/>
                <w:szCs w:val="20"/>
              </w:rPr>
              <w:t xml:space="preserve"> </w:t>
            </w:r>
            <w:r w:rsidRPr="00CC5D1E">
              <w:rPr>
                <w:sz w:val="20"/>
                <w:szCs w:val="20"/>
              </w:rPr>
              <w:t xml:space="preserve">ремонтам основных средств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23</w:t>
            </w:r>
          </w:p>
          <w:p w:rsidR="00A04C4B" w:rsidRPr="00CC5D1E" w:rsidRDefault="00A04C4B" w:rsidP="00E81252">
            <w:pPr>
              <w:spacing w:line="360" w:lineRule="auto"/>
              <w:jc w:val="both"/>
              <w:rPr>
                <w:sz w:val="20"/>
                <w:szCs w:val="20"/>
              </w:rPr>
            </w:pPr>
            <w:r w:rsidRPr="00CC5D1E">
              <w:rPr>
                <w:sz w:val="20"/>
                <w:szCs w:val="20"/>
              </w:rPr>
              <w:t>20, 23, 25, 26,44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10,70,68, 69,76</w:t>
            </w:r>
          </w:p>
          <w:p w:rsidR="00A04C4B" w:rsidRPr="00CC5D1E" w:rsidRDefault="00A04C4B" w:rsidP="00E81252">
            <w:pPr>
              <w:spacing w:line="360" w:lineRule="auto"/>
              <w:jc w:val="both"/>
              <w:rPr>
                <w:sz w:val="20"/>
                <w:szCs w:val="20"/>
              </w:rPr>
            </w:pPr>
            <w:r w:rsidRPr="00CC5D1E">
              <w:rPr>
                <w:sz w:val="20"/>
                <w:szCs w:val="20"/>
              </w:rPr>
              <w:t>23</w:t>
            </w:r>
          </w:p>
        </w:tc>
      </w:tr>
      <w:tr w:rsidR="00A04C4B" w:rsidRPr="00CC5D1E">
        <w:trPr>
          <w:trHeight w:val="739"/>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Отнесение затрат по текущему и капитальному ремонтам, возложенным на арендодателя согласно договору аренды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23</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10,70,68, 69,76</w:t>
            </w:r>
          </w:p>
        </w:tc>
      </w:tr>
      <w:tr w:rsidR="00A04C4B" w:rsidRPr="00CC5D1E">
        <w:trPr>
          <w:trHeight w:val="499"/>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 xml:space="preserve">Уменьшение арендной платы на вышеперечисленные расходы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23</w:t>
            </w:r>
          </w:p>
        </w:tc>
      </w:tr>
      <w:tr w:rsidR="00A04C4B" w:rsidRPr="00CC5D1E">
        <w:trPr>
          <w:trHeight w:val="73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Сумма капитальных вложений в арендованные основные средства (реконструкция, модернизация)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08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10,70,68, 69,76</w:t>
            </w:r>
          </w:p>
        </w:tc>
      </w:tr>
      <w:tr w:rsidR="00A04C4B" w:rsidRPr="00CC5D1E">
        <w:trPr>
          <w:trHeight w:val="576"/>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 xml:space="preserve">Передача капитальных вложений арендодателю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A04C4B" w:rsidRPr="00CC5D1E" w:rsidRDefault="00A04C4B" w:rsidP="00E81252">
            <w:pPr>
              <w:spacing w:line="360" w:lineRule="auto"/>
              <w:jc w:val="both"/>
              <w:rPr>
                <w:sz w:val="20"/>
                <w:szCs w:val="20"/>
              </w:rPr>
            </w:pPr>
            <w:r w:rsidRPr="00CC5D1E">
              <w:rPr>
                <w:sz w:val="20"/>
                <w:szCs w:val="20"/>
              </w:rPr>
              <w:t>91</w:t>
            </w:r>
          </w:p>
        </w:tc>
      </w:tr>
      <w:tr w:rsidR="00A04C4B" w:rsidRPr="00CC5D1E">
        <w:trPr>
          <w:trHeight w:val="466"/>
        </w:trPr>
        <w:tc>
          <w:tcPr>
            <w:tcW w:w="5640" w:type="dxa"/>
            <w:tcBorders>
              <w:top w:val="single" w:sz="6" w:space="0" w:color="auto"/>
              <w:left w:val="single" w:sz="6" w:space="0" w:color="auto"/>
              <w:bottom w:val="single" w:sz="6" w:space="0" w:color="auto"/>
              <w:right w:val="single" w:sz="4"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Списание себестоимости капитальных вложений </w:t>
            </w:r>
          </w:p>
        </w:tc>
        <w:tc>
          <w:tcPr>
            <w:tcW w:w="1680" w:type="dxa"/>
            <w:gridSpan w:val="2"/>
            <w:tcBorders>
              <w:top w:val="single" w:sz="6" w:space="0" w:color="auto"/>
              <w:left w:val="single" w:sz="4" w:space="0" w:color="auto"/>
              <w:bottom w:val="single" w:sz="6" w:space="0" w:color="auto"/>
              <w:right w:val="single" w:sz="4"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91</w:t>
            </w:r>
          </w:p>
        </w:tc>
        <w:tc>
          <w:tcPr>
            <w:tcW w:w="1920" w:type="dxa"/>
            <w:tcBorders>
              <w:top w:val="single" w:sz="6" w:space="0" w:color="auto"/>
              <w:left w:val="single" w:sz="4"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08</w:t>
            </w:r>
          </w:p>
        </w:tc>
      </w:tr>
      <w:tr w:rsidR="00A04C4B" w:rsidRPr="00CC5D1E">
        <w:trPr>
          <w:trHeight w:val="499"/>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Начисление НДС по реализации капитальных вложений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91</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68</w:t>
            </w:r>
          </w:p>
        </w:tc>
      </w:tr>
      <w:tr w:rsidR="00A04C4B" w:rsidRPr="00CC5D1E">
        <w:trPr>
          <w:trHeight w:val="25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Начисление арендной платы авансом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97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60,76</w:t>
            </w:r>
          </w:p>
        </w:tc>
      </w:tr>
      <w:tr w:rsidR="00A04C4B" w:rsidRPr="00CC5D1E">
        <w:trPr>
          <w:trHeight w:val="259"/>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НДС по арендной плате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18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60,76</w:t>
            </w:r>
          </w:p>
        </w:tc>
      </w:tr>
      <w:tr w:rsidR="00A04C4B" w:rsidRPr="00CC5D1E">
        <w:trPr>
          <w:trHeight w:val="490"/>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Списание арендной платы на текущий месяц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20, 25, 26, 44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97</w:t>
            </w:r>
          </w:p>
        </w:tc>
      </w:tr>
      <w:tr w:rsidR="00A04C4B" w:rsidRPr="00CC5D1E">
        <w:trPr>
          <w:trHeight w:val="528"/>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Перечисление начисленной арендной платы (с НДС)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51</w:t>
            </w:r>
          </w:p>
        </w:tc>
      </w:tr>
    </w:tbl>
    <w:p w:rsidR="00A04C4B" w:rsidRPr="00CC5D1E" w:rsidRDefault="00A04C4B" w:rsidP="00E371A0">
      <w:pPr>
        <w:spacing w:line="360" w:lineRule="auto"/>
        <w:ind w:firstLine="709"/>
        <w:jc w:val="both"/>
      </w:pPr>
    </w:p>
    <w:p w:rsidR="00A04C4B" w:rsidRPr="00CC5D1E" w:rsidRDefault="00A04C4B" w:rsidP="00E371A0">
      <w:pPr>
        <w:spacing w:line="360" w:lineRule="auto"/>
        <w:ind w:firstLine="709"/>
        <w:jc w:val="both"/>
      </w:pPr>
      <w:r w:rsidRPr="00CC5D1E">
        <w:t>У арендодателя производятся следующие записи по счетам:</w:t>
      </w:r>
    </w:p>
    <w:p w:rsidR="00E81252" w:rsidRPr="00CC5D1E" w:rsidRDefault="00E81252" w:rsidP="00E371A0">
      <w:pPr>
        <w:spacing w:line="360" w:lineRule="auto"/>
        <w:ind w:firstLine="709"/>
        <w:jc w:val="both"/>
      </w:pPr>
    </w:p>
    <w:tbl>
      <w:tblPr>
        <w:tblW w:w="0" w:type="auto"/>
        <w:jc w:val="center"/>
        <w:tblLayout w:type="fixed"/>
        <w:tblCellMar>
          <w:left w:w="40" w:type="dxa"/>
          <w:right w:w="40" w:type="dxa"/>
        </w:tblCellMar>
        <w:tblLook w:val="0000" w:firstRow="0" w:lastRow="0" w:firstColumn="0" w:lastColumn="0" w:noHBand="0" w:noVBand="0"/>
      </w:tblPr>
      <w:tblGrid>
        <w:gridCol w:w="5576"/>
        <w:gridCol w:w="1723"/>
        <w:gridCol w:w="1821"/>
      </w:tblGrid>
      <w:tr w:rsidR="00A04C4B" w:rsidRPr="00CC5D1E">
        <w:trPr>
          <w:trHeight w:val="274"/>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Содержание операции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Дебет</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Кредит</w:t>
            </w:r>
          </w:p>
        </w:tc>
      </w:tr>
      <w:tr w:rsidR="00A04C4B" w:rsidRPr="00CC5D1E">
        <w:trPr>
          <w:trHeight w:val="830"/>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Причитающаяся арендная плата, если передача основных средств в аренду является основным видом деятельности организации (выручка от реализации учитывается по моменту отгрузки) не является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62,76 62, 76</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90 91</w:t>
            </w:r>
          </w:p>
        </w:tc>
      </w:tr>
      <w:tr w:rsidR="00A04C4B" w:rsidRPr="00CC5D1E">
        <w:trPr>
          <w:trHeight w:val="509"/>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То же, когда выручка от реализации учитывается по мере оплаты </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51 62,76</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62,76 91,90</w:t>
            </w:r>
          </w:p>
        </w:tc>
      </w:tr>
      <w:tr w:rsidR="00A04C4B" w:rsidRPr="00CC5D1E">
        <w:trPr>
          <w:trHeight w:val="411"/>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Сумма амортизации по сданному в аренду имуществу и другие затраты, связанные с арендой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02, 23 и др.</w:t>
            </w:r>
          </w:p>
        </w:tc>
      </w:tr>
      <w:tr w:rsidR="00A04C4B" w:rsidRPr="00CC5D1E">
        <w:trPr>
          <w:trHeight w:val="500"/>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Зачисление в бюджет налога на добавочную стоимость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90,91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68</w:t>
            </w:r>
          </w:p>
        </w:tc>
      </w:tr>
      <w:tr w:rsidR="00A04C4B" w:rsidRPr="00CC5D1E">
        <w:trPr>
          <w:trHeight w:val="999"/>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Переоценка основных средств, возвращенных арендатором (на стоимость осуществлённых им работ по реконструкции объектов ОС)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01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83</w:t>
            </w:r>
          </w:p>
        </w:tc>
      </w:tr>
      <w:tr w:rsidR="00A04C4B" w:rsidRPr="00CC5D1E">
        <w:trPr>
          <w:trHeight w:val="317"/>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 xml:space="preserve">Получение арендной платы, уплаченной авансом </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51</w:t>
            </w:r>
          </w:p>
          <w:p w:rsidR="00A04C4B" w:rsidRPr="00CC5D1E" w:rsidRDefault="00A04C4B" w:rsidP="00E81252">
            <w:pPr>
              <w:spacing w:line="360" w:lineRule="auto"/>
              <w:jc w:val="both"/>
              <w:rPr>
                <w:sz w:val="20"/>
                <w:szCs w:val="20"/>
              </w:rPr>
            </w:pPr>
            <w:r w:rsidRPr="00CC5D1E">
              <w:rPr>
                <w:sz w:val="20"/>
                <w:szCs w:val="20"/>
              </w:rPr>
              <w:t>62, 76</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A04C4B" w:rsidRPr="00CC5D1E" w:rsidRDefault="00A04C4B" w:rsidP="00E81252">
            <w:pPr>
              <w:spacing w:line="360" w:lineRule="auto"/>
              <w:jc w:val="both"/>
              <w:rPr>
                <w:sz w:val="20"/>
                <w:szCs w:val="20"/>
              </w:rPr>
            </w:pPr>
            <w:r w:rsidRPr="00CC5D1E">
              <w:rPr>
                <w:sz w:val="20"/>
                <w:szCs w:val="20"/>
              </w:rPr>
              <w:t>62,76 98</w:t>
            </w:r>
          </w:p>
        </w:tc>
      </w:tr>
      <w:tr w:rsidR="00A04C4B" w:rsidRPr="00CC5D1E">
        <w:trPr>
          <w:trHeight w:val="103"/>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 xml:space="preserve">Зачисление арендной платы в счет текущие месяца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98</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A04C4B" w:rsidRPr="00CC5D1E" w:rsidRDefault="00A04C4B" w:rsidP="00E81252">
            <w:pPr>
              <w:spacing w:line="360" w:lineRule="auto"/>
              <w:jc w:val="both"/>
              <w:rPr>
                <w:sz w:val="20"/>
                <w:szCs w:val="20"/>
              </w:rPr>
            </w:pPr>
            <w:r w:rsidRPr="00CC5D1E">
              <w:rPr>
                <w:sz w:val="20"/>
                <w:szCs w:val="20"/>
              </w:rPr>
              <w:t>90,91</w:t>
            </w:r>
          </w:p>
        </w:tc>
      </w:tr>
    </w:tbl>
    <w:p w:rsidR="00A04C4B" w:rsidRPr="00CC5D1E" w:rsidRDefault="00E81252" w:rsidP="00E371A0">
      <w:pPr>
        <w:spacing w:line="360" w:lineRule="auto"/>
        <w:ind w:firstLine="709"/>
        <w:jc w:val="both"/>
      </w:pPr>
      <w:r w:rsidRPr="00CC5D1E">
        <w:br w:type="page"/>
      </w:r>
      <w:r w:rsidR="00A04C4B" w:rsidRPr="00CC5D1E">
        <w:t>Повышенного внимания требует отражение в бухгалтерском учёте затрат, связанных с использованием личного транспорта в служебных целях. Трудовой кодекс устанавливает, что работники предприятия, состоящие в штате и использующие свои транспортные средства для нужд нанимателя, имеют право на получение компенсации за износ автомобиля, размер и порядок выплаты которой определяется по договоренности сторон. Компенсировать можно сумму начисленной амортизации, стоимость израсходованных ГСМ с учетом пробега, технического обслуживания автомобиля. При этом на предприятии должен быть издан приказ, оформлен договор и составлен расчет суммы компенсации. Размер компенсации определяется исходя из шифра и норм амортизации и в пределах норм амортизационных отчислений, относится на себестоимость, а сверх норм - за счет прибыли, остающейся в распоряжении предприятия. Вся сумма компенсации начиная с 1.01.1999 года облагается подоходным налогом по совокупности с заработной платой на момент ее выплаты. Возмещение затрат по ремонту автомобиля действующим законодательством не предусматривается. За полностью изношенный автомобиль компенсация не должна выплачиваться, а если все-таки принято решение компенсировать, то выплата производится за счет прибыли, остающейся в распоряжении предприятия. Если же автомобиль оформлен договором аренды, то за счет арендатора может быть предусмотрено проведение технического обслуживания, текущего ремонта с заменой незначительных деталей. Размер и порядок выплаты арендной платы устанавливается по договоренности сторон, и при выдаче ее физическим лицам надо удержать подоходный налог; а в налоговую инспекцию представляются сведения (форма № 5). Если арендодателем является иностранное юридическое лицо, то следует удержать налог на доходы по ставке 15% и перечислить в бюджет в день начисления арендной платы. У иностранных физических лиц или лиц без гражданства, временно проживающих на территории РБ, из суммы арендной платы удерживается подоходный налог по ставке 20%. Если постоянно проживающий в РБ иностранный гражданин сдает в аренду автомобиль, то подоходный налог удерживается по ставкам для резидентов. Если арендодателем является юридическое лицо (кроме иностранных) или предприниматель без образования юридического лица, то арендатор всю сумму арендной платы перечисляет на их расчетные счета. Расчет представляется в налоговую инспекцию один раз в квартал, не позднее 15 числа следующего за отчетным кварталом месяца. Арендная плата у арендатора включается в себестоимость продукции, работ, услуг в составе материальных затрат. Арендодатель сумму арендной платы отражает в отчетном периоде, к которому она относится, независимо от времени оплаты и даты поступления денег. В договоре аренды должно быть оговорено техническое состояние автомобиля, его стоимость, и из этой суммы уплачивается налог на недвижимость арендатором или арендодателем. По договорам аренды, лизинга с иностранными юридическими и физическими лицами по основным средствам, ввезенным на территорию РБ, налог на недвижимость всегда уплачивает арендатор. Кроме договора, хозяйственные операции по аренде автомобилей оформляются актом приемки-передачи основных средств. Долгосрочная аренда основных средств - это аренда предприятий, цехов, участков с производственным оборудованием или только оборудования. Долгосрочная аренда осуществляется на несколько лет и, согласно договору аренды, может завершаться выкупом основных средств арендатором. Учет долгосрочно арендуемых средств производится в оценочной договорной стоимости, установленной арендодателем и арендатором, и, чаще всего, она равняется первоначальной стоимости. Арендодатель передает на баланс арендатора стоимость основных средств и сумму начисленной амортизации, используя счет 91 «Операционные доходы и расходы»: дебет 91 «Операционные доходы и расходы», кредит 01 «Основные средства» или 03 «Доходные вложения и материальные ценности». Оприходование объектов основных средств, подлежащих сдаче в аренду, отражается записью: дебет 03, кредит 08. Если в аренду передается объект, бывший в эксплуатации, на сумму амортизации запись будет: дебет 02, кредит 03 и на остаточную стоимость: дебет 91, кредит 03. Начисление арендной платы: дебет 76, кредит 91 (90). Счет 90 Реализация» используется теми организациями, у которых выдача имущества в аренду является основной деятельностью: запись будет: дебет 51, кредит 76. Начисление амортизации: дебет 91, 90, кредит 02. НДС по арендной плате: дебет 91, 90, кредит 68. У арендатора арендная плата относится на издержки производства и обращения по кредиту счета 76 «Расчеты с разными дебиторами и кредиторами» [3, с. 520].</w:t>
      </w:r>
    </w:p>
    <w:p w:rsidR="00A04C4B" w:rsidRPr="00CC5D1E" w:rsidRDefault="00A04C4B" w:rsidP="00E371A0">
      <w:pPr>
        <w:spacing w:line="360" w:lineRule="auto"/>
        <w:ind w:firstLine="709"/>
        <w:jc w:val="both"/>
      </w:pPr>
    </w:p>
    <w:p w:rsidR="00A04C4B" w:rsidRPr="00CC5D1E" w:rsidRDefault="00A04C4B" w:rsidP="00E371A0">
      <w:pPr>
        <w:spacing w:line="360" w:lineRule="auto"/>
        <w:ind w:firstLine="709"/>
        <w:jc w:val="both"/>
        <w:rPr>
          <w:b/>
          <w:bCs/>
        </w:rPr>
      </w:pPr>
      <w:r w:rsidRPr="00CC5D1E">
        <w:rPr>
          <w:b/>
          <w:bCs/>
        </w:rPr>
        <w:t>2</w:t>
      </w:r>
      <w:r w:rsidR="00E81252" w:rsidRPr="00CC5D1E">
        <w:rPr>
          <w:b/>
          <w:bCs/>
        </w:rPr>
        <w:t>.</w:t>
      </w:r>
      <w:r w:rsidRPr="00CC5D1E">
        <w:rPr>
          <w:b/>
          <w:bCs/>
        </w:rPr>
        <w:t xml:space="preserve"> Оценка материальных ресурсов на предприятиях транспорта. Виды оценки материальных ресурсов по международным стандартам и их характеристика (приведите пример расчёта)</w:t>
      </w:r>
    </w:p>
    <w:p w:rsidR="00E81252" w:rsidRPr="00CC5D1E" w:rsidRDefault="00E81252" w:rsidP="00E371A0">
      <w:pPr>
        <w:spacing w:line="360" w:lineRule="auto"/>
        <w:ind w:firstLine="709"/>
        <w:jc w:val="both"/>
      </w:pPr>
    </w:p>
    <w:p w:rsidR="00A04C4B" w:rsidRPr="00CC5D1E" w:rsidRDefault="00A04C4B" w:rsidP="00E371A0">
      <w:pPr>
        <w:spacing w:line="360" w:lineRule="auto"/>
        <w:ind w:firstLine="709"/>
        <w:jc w:val="both"/>
      </w:pPr>
      <w:r w:rsidRPr="00CC5D1E">
        <w:t>Важнейшей предпосылкой организации учета материальных ресурсов и их производственных запасов является их оценка. Оценка представляет собой способ выражения в денежном измерении имущества организации и его источников. Реальность и правильность опенки имущества организаций железной дороги имеют важное значение для построения всей системы бухгалтерского учета. В составе имущественной оценки лежат реальные затраты, выраженные в денежном измерении.</w:t>
      </w:r>
    </w:p>
    <w:p w:rsidR="00A04C4B" w:rsidRPr="00CC5D1E" w:rsidRDefault="00A04C4B" w:rsidP="00E371A0">
      <w:pPr>
        <w:spacing w:line="360" w:lineRule="auto"/>
        <w:ind w:firstLine="709"/>
        <w:jc w:val="both"/>
      </w:pPr>
      <w:r w:rsidRPr="00CC5D1E">
        <w:t xml:space="preserve">В соответствии с Законом Республики Беларусь «О бухгалтерском учете </w:t>
      </w:r>
      <w:r w:rsidR="0093746E" w:rsidRPr="00CC5D1E">
        <w:t>и</w:t>
      </w:r>
      <w:r w:rsidRPr="00CC5D1E">
        <w:t xml:space="preserve"> отчетности»</w:t>
      </w:r>
      <w:r w:rsidR="002E051E" w:rsidRPr="00CC5D1E">
        <w:t xml:space="preserve"> [Приложение1]</w:t>
      </w:r>
      <w:r w:rsidRPr="00CC5D1E">
        <w:t xml:space="preserve"> все материальные ресурсы и их производственные запасы в учете и отчетности должны отражаться по их фактической себестоимости.</w:t>
      </w:r>
    </w:p>
    <w:p w:rsidR="00A04C4B" w:rsidRPr="00CC5D1E" w:rsidRDefault="00A04C4B" w:rsidP="00E371A0">
      <w:pPr>
        <w:spacing w:line="360" w:lineRule="auto"/>
        <w:ind w:firstLine="709"/>
        <w:jc w:val="both"/>
      </w:pPr>
      <w:r w:rsidRPr="00CC5D1E">
        <w:t>Фактическая себестоимость материальных ресурсов и их производственных запасов слагается из стоимости по ценам их приобретения (включая оплату процентов за приобретение в кредит, предоставленный поставщиком этих ценностей), наценок (надбавок),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w:t>
      </w:r>
    </w:p>
    <w:p w:rsidR="00A04C4B" w:rsidRPr="00CC5D1E" w:rsidRDefault="00A04C4B" w:rsidP="00E371A0">
      <w:pPr>
        <w:spacing w:line="360" w:lineRule="auto"/>
        <w:ind w:firstLine="709"/>
        <w:jc w:val="both"/>
      </w:pPr>
      <w:r w:rsidRPr="00CC5D1E">
        <w:t>Движение материальных ресурсов в организациях осуществляется ежедневно, поэтому первичные документы по их поступлению и отпуску оформляются по мере совершения операций и отражаются в учете своевременно. Однако только в конце месяца бухгалтер имеет возможность получить слагаемые данные по формированию фактической себестоимости: сопроводительные документы поставщиков материалов, транспортные расходы, погрузочно-разгрузочные работы и прочие расходы. Поэтому возникает потребность в использовании в текущем учете твердых, заранее установленных цен, называемых учетными [2, с. 270].</w:t>
      </w:r>
    </w:p>
    <w:p w:rsidR="00A04C4B" w:rsidRPr="00CC5D1E" w:rsidRDefault="00A04C4B" w:rsidP="00E371A0">
      <w:pPr>
        <w:spacing w:line="360" w:lineRule="auto"/>
        <w:ind w:firstLine="709"/>
        <w:jc w:val="both"/>
      </w:pPr>
      <w:r w:rsidRPr="00CC5D1E">
        <w:t>В соответствии с Инструкцией «О порядке бухгалтерского учета материалов, незавершенного производства, готовой и отгруженной продукции организациями промышленности» от 31.12.2003 г. № 191/263 в качестве учетных могут использоваться средние покупные цены, цены плановой (нормативной) себестоимости, свободные рыночные (договорные), фиксированные, регулируемые оптовые и др.</w:t>
      </w:r>
    </w:p>
    <w:p w:rsidR="00A04C4B" w:rsidRPr="00CC5D1E" w:rsidRDefault="00A04C4B" w:rsidP="00E371A0">
      <w:pPr>
        <w:spacing w:line="360" w:lineRule="auto"/>
        <w:ind w:firstLine="709"/>
        <w:jc w:val="both"/>
      </w:pPr>
      <w:r w:rsidRPr="00CC5D1E">
        <w:t>При применении в текущем учете материалов учетных цен отдельно учитываются отклонения фактической себестоимости от их стоимости по указанным ценам. Они учитываются не по каждому номенклатурному номеру ценностей, а по группам с приблизительно одинаковым уровнем этих отклонений. По окончании месяца определяются суммы и процент отклонения, с помощью которых учетная стоимость материалов доводится до их фактической величины. К отклонениям в стоимости материалов относятся следующие расходы:</w:t>
      </w:r>
    </w:p>
    <w:p w:rsidR="00A04C4B" w:rsidRPr="00CC5D1E" w:rsidRDefault="00A04C4B" w:rsidP="00E371A0">
      <w:pPr>
        <w:spacing w:line="360" w:lineRule="auto"/>
        <w:ind w:firstLine="709"/>
        <w:jc w:val="both"/>
      </w:pPr>
      <w:r w:rsidRPr="00CC5D1E">
        <w:t>- таможенные пошлины, акцизы, государственные пошлины, сборы и т. д.;</w:t>
      </w:r>
    </w:p>
    <w:p w:rsidR="00A04C4B" w:rsidRPr="00CC5D1E" w:rsidRDefault="00A04C4B" w:rsidP="00E371A0">
      <w:pPr>
        <w:spacing w:line="360" w:lineRule="auto"/>
        <w:ind w:firstLine="709"/>
        <w:jc w:val="both"/>
      </w:pPr>
      <w:r w:rsidRPr="00CC5D1E">
        <w:t>- стоимость железнодорожных, автомобильных, водных и других видов перевозок до станции назначения со всеми дополнительными сборами; стоимость погрузочно-разгрузочных работ, производимых работниками сторонних организаций при выгрузке, перегрузке и погрузке грузов, провозная плата, возмещаемая поставщику материалов сверх цены, согласно условиям договора поставки;</w:t>
      </w:r>
    </w:p>
    <w:p w:rsidR="00A04C4B" w:rsidRPr="00CC5D1E" w:rsidRDefault="00A04C4B" w:rsidP="00E371A0">
      <w:pPr>
        <w:spacing w:line="360" w:lineRule="auto"/>
        <w:ind w:firstLine="709"/>
        <w:jc w:val="both"/>
      </w:pPr>
      <w:r w:rsidRPr="00CC5D1E">
        <w:t>- стоимость услуг автотранспортных организаций-потребителей но доставке материальных ресурсов от склада грузоотправителя или пункта отправления груза до склада организации; расходы на разгрузку и погрузку материальных ресурсов работниками предприятия;</w:t>
      </w:r>
    </w:p>
    <w:p w:rsidR="00A04C4B" w:rsidRPr="00CC5D1E" w:rsidRDefault="00A04C4B" w:rsidP="00E371A0">
      <w:pPr>
        <w:spacing w:line="360" w:lineRule="auto"/>
        <w:ind w:firstLine="709"/>
        <w:jc w:val="both"/>
      </w:pPr>
      <w:r w:rsidRPr="00CC5D1E">
        <w:t>- расходы на командировки, непосредственно связанные с заготовлением материалов, в том числе доставкой их на склады организации (командировочные расходы водителей, экспедиторов и других работников); расходы по оформлению заграничных паспортов; комиссионные сборы при обмене чеков на иностранную валюту; расходы на аренду, отопление, освещение и другие расходы по содержанию специальных заготовительных контор, складов и агентств, организованных предприятием в местах заготовления материалов;</w:t>
      </w:r>
    </w:p>
    <w:p w:rsidR="00A04C4B" w:rsidRPr="00CC5D1E" w:rsidRDefault="00A04C4B" w:rsidP="00E371A0">
      <w:pPr>
        <w:spacing w:line="360" w:lineRule="auto"/>
        <w:ind w:firstLine="709"/>
        <w:jc w:val="both"/>
      </w:pPr>
      <w:r w:rsidRPr="00CC5D1E">
        <w:t>- стоимость тары и упаковки, полученных от поставщиков материальных ресурсов;</w:t>
      </w:r>
    </w:p>
    <w:p w:rsidR="00A04C4B" w:rsidRPr="00CC5D1E" w:rsidRDefault="00A04C4B" w:rsidP="00E371A0">
      <w:pPr>
        <w:spacing w:line="360" w:lineRule="auto"/>
        <w:ind w:firstLine="709"/>
        <w:jc w:val="both"/>
      </w:pPr>
      <w:r w:rsidRPr="00CC5D1E">
        <w:t>- затраты организации по переработке, обработке, доработке и улучшению технических характеристик приобретенных материалов, не связанные с производством;</w:t>
      </w:r>
    </w:p>
    <w:p w:rsidR="00A04C4B" w:rsidRPr="00CC5D1E" w:rsidRDefault="00A04C4B" w:rsidP="00E371A0">
      <w:pPr>
        <w:spacing w:line="360" w:lineRule="auto"/>
        <w:ind w:firstLine="709"/>
        <w:jc w:val="both"/>
      </w:pPr>
      <w:r w:rsidRPr="00CC5D1E">
        <w:t>- суммы потерь от недостачи поступивших материальных ресурсов в пределах норм естественной убыли;</w:t>
      </w:r>
    </w:p>
    <w:p w:rsidR="00A04C4B" w:rsidRPr="00CC5D1E" w:rsidRDefault="00A04C4B" w:rsidP="00E371A0">
      <w:pPr>
        <w:spacing w:line="360" w:lineRule="auto"/>
        <w:ind w:firstLine="709"/>
        <w:jc w:val="both"/>
      </w:pPr>
      <w:r w:rsidRPr="00CC5D1E">
        <w:t>- корректировка затрат в соответствии с действующим законодательством в связи с изменением учетных цен; прочие корректировки, проводимые</w:t>
      </w:r>
    </w:p>
    <w:p w:rsidR="00A04C4B" w:rsidRPr="00CC5D1E" w:rsidRDefault="00A04C4B" w:rsidP="00E371A0">
      <w:pPr>
        <w:spacing w:line="360" w:lineRule="auto"/>
        <w:ind w:firstLine="709"/>
        <w:jc w:val="both"/>
      </w:pPr>
      <w:r w:rsidRPr="00CC5D1E">
        <w:t>- по другим причинам; проценты по кредитам и займам на приобретение материальных ресурсов.</w:t>
      </w:r>
    </w:p>
    <w:p w:rsidR="00A04C4B" w:rsidRPr="00CC5D1E" w:rsidRDefault="00A04C4B" w:rsidP="00E371A0">
      <w:pPr>
        <w:spacing w:line="360" w:lineRule="auto"/>
        <w:ind w:firstLine="709"/>
        <w:jc w:val="both"/>
      </w:pPr>
      <w:r w:rsidRPr="00CC5D1E">
        <w:t>При централизованной форме снабжения целесообразно выделять транспортно-заготовительные расходы, учет которых ведется отдельно, на обособленном счете. Ведение учета с использованием счета 17 «Транспортно-заготовительные расходы» осуществляется только в организациях железной дороги, занятых снабжением: УП «Белжелдорснаб», НОДХ. Транспортно-заготовительные расходы являются определяющими в формировании величины отклонений.</w:t>
      </w:r>
    </w:p>
    <w:p w:rsidR="00A04C4B" w:rsidRPr="00CC5D1E" w:rsidRDefault="00A04C4B" w:rsidP="00E371A0">
      <w:pPr>
        <w:spacing w:line="360" w:lineRule="auto"/>
        <w:ind w:firstLine="709"/>
        <w:jc w:val="both"/>
      </w:pPr>
      <w:r w:rsidRPr="00CC5D1E">
        <w:t>На величину отклонений оказывают влияние и возможные изменения учетной цены (в случае поступления материальных ценностей не по фиксированной учетной цене), в результате чего образуются положительные или отрицательные отклонения.</w:t>
      </w:r>
    </w:p>
    <w:p w:rsidR="00A04C4B" w:rsidRPr="00CC5D1E" w:rsidRDefault="00A04C4B" w:rsidP="00E371A0">
      <w:pPr>
        <w:spacing w:line="360" w:lineRule="auto"/>
        <w:ind w:firstLine="709"/>
        <w:jc w:val="both"/>
      </w:pPr>
      <w:r w:rsidRPr="00CC5D1E">
        <w:t>Если отклонения бывают со знаком плюс (перерасход) или минус (экономия), то транспортно-заготовительные расходы - только со знаком плюс. Присоединение отклонений (плюс или минус) или транспортно-заготовительных расходов (плюс) к стоимости материалов по учетным ценам в итоге дает их фактическую себестоимость.</w:t>
      </w:r>
    </w:p>
    <w:p w:rsidR="00A04C4B" w:rsidRPr="00CC5D1E" w:rsidRDefault="00A04C4B" w:rsidP="00E371A0">
      <w:pPr>
        <w:spacing w:line="360" w:lineRule="auto"/>
        <w:ind w:firstLine="709"/>
        <w:jc w:val="both"/>
      </w:pPr>
      <w:r w:rsidRPr="00CC5D1E">
        <w:t>В настоящее время хозяйствующие субъекты отражают в бухгалтерском учете движение материальных ценностей по фактической себестоимости их приобретения (заготовления).</w:t>
      </w:r>
    </w:p>
    <w:p w:rsidR="00A04C4B" w:rsidRPr="00CC5D1E" w:rsidRDefault="00A04C4B" w:rsidP="00E371A0">
      <w:pPr>
        <w:spacing w:line="360" w:lineRule="auto"/>
        <w:ind w:firstLine="709"/>
        <w:jc w:val="both"/>
      </w:pPr>
      <w:r w:rsidRPr="00CC5D1E">
        <w:t>Исходя из обобщения зарубежной и отечественной практики при отпуске материальных ресурсов могут использоваться методы оценки, которые нашли широкое применение в зарубежной практике:1 - метод ФИФО; 2 - метод ЛИФО;3 - средневзвешенная цена.</w:t>
      </w:r>
    </w:p>
    <w:p w:rsidR="00A04C4B" w:rsidRPr="00CC5D1E" w:rsidRDefault="00A04C4B" w:rsidP="00E371A0">
      <w:pPr>
        <w:spacing w:line="360" w:lineRule="auto"/>
        <w:ind w:firstLine="709"/>
        <w:jc w:val="both"/>
      </w:pPr>
      <w:r w:rsidRPr="00CC5D1E">
        <w:t>Метод ФИФО – это оценка материальных ресурсов и их производственных запасов по их первоначальной стоимости. Применяется такое правило: «первая партия на приход – первая в расход». Это означает, что расход материальных ресурсов оценивается сначала по цене первой закупленной партии, затем – второй, третьей и так в порядке очередности до исчерпания общего количества расходуемого материала. Следствием применения этого метода является то, что запасы на конец периода оцениваются практически по их фактической себестоимости, а в себестоимости транспортной продукции учитываются цены наиболее ранних закупок. В связи с этим при оценке запасов по методу ФИФО в условиях роста цен чистая прибыль организации, полученная за отчётный период, оказывается завышенной.</w:t>
      </w:r>
    </w:p>
    <w:p w:rsidR="00A04C4B" w:rsidRPr="00CC5D1E" w:rsidRDefault="00A04C4B" w:rsidP="00E371A0">
      <w:pPr>
        <w:spacing w:line="360" w:lineRule="auto"/>
        <w:ind w:firstLine="709"/>
        <w:jc w:val="both"/>
      </w:pPr>
      <w:r w:rsidRPr="00CC5D1E">
        <w:t xml:space="preserve">Метод </w:t>
      </w:r>
      <w:r w:rsidR="00E351AA" w:rsidRPr="00CC5D1E">
        <w:t>Ф</w:t>
      </w:r>
      <w:r w:rsidRPr="00CC5D1E">
        <w:t>ИФО – это оценка материальных ресурсов и их производственных запасов по восстановительной стоимости, при этом используется следующее правило: «последняя партия на приход – первая в расход». Материальные ресурсы, выданные со склада, оцениваются по стоимости последнего приобретения, затем предыдущего в порядке очерёдности. Оценка по методу ЛИФО ведёт к увеличению затрат на материалы в себестоимости транспортной продукции и снижению расчётной величины прибыли.</w:t>
      </w:r>
    </w:p>
    <w:p w:rsidR="00A04C4B" w:rsidRPr="00CC5D1E" w:rsidRDefault="00A04C4B" w:rsidP="00E371A0">
      <w:pPr>
        <w:spacing w:line="360" w:lineRule="auto"/>
        <w:ind w:firstLine="709"/>
        <w:jc w:val="both"/>
      </w:pPr>
      <w:r w:rsidRPr="00CC5D1E">
        <w:t>Средневзвешенная цена представляет собой среднюю цену единицы материальных ресурсов и их производственных запасов за определённый промежуток времени.</w:t>
      </w:r>
    </w:p>
    <w:p w:rsidR="00A04C4B" w:rsidRPr="00CC5D1E" w:rsidRDefault="00A04C4B" w:rsidP="00E371A0">
      <w:pPr>
        <w:spacing w:line="360" w:lineRule="auto"/>
        <w:ind w:firstLine="709"/>
        <w:jc w:val="both"/>
      </w:pPr>
      <w:r w:rsidRPr="00CC5D1E">
        <w:t>Средневзвешенная цена при выдаче материальных ценностей рассчитывается путём деления общей суммы стоимости запаса на его количество после каждой партии закупки:</w:t>
      </w:r>
    </w:p>
    <w:p w:rsidR="00E81252" w:rsidRPr="00CC5D1E" w:rsidRDefault="00E81252" w:rsidP="00E371A0">
      <w:pPr>
        <w:spacing w:line="360" w:lineRule="auto"/>
        <w:ind w:firstLine="709"/>
        <w:jc w:val="both"/>
      </w:pPr>
    </w:p>
    <w:p w:rsidR="00A04C4B" w:rsidRPr="00CC5D1E" w:rsidRDefault="00A04C4B" w:rsidP="00E371A0">
      <w:pPr>
        <w:spacing w:line="360" w:lineRule="auto"/>
        <w:ind w:firstLine="709"/>
        <w:jc w:val="both"/>
      </w:pPr>
      <w:r w:rsidRPr="00CC5D1E">
        <w:t>Цсв = (ССОЗ + ССППЗ) / (КОЗ + КППЗ)</w:t>
      </w:r>
    </w:p>
    <w:p w:rsidR="00E81252" w:rsidRPr="00CC5D1E" w:rsidRDefault="00E81252" w:rsidP="00E371A0">
      <w:pPr>
        <w:spacing w:line="360" w:lineRule="auto"/>
        <w:ind w:firstLine="709"/>
        <w:jc w:val="both"/>
      </w:pPr>
    </w:p>
    <w:p w:rsidR="00A04C4B" w:rsidRPr="00CC5D1E" w:rsidRDefault="00A04C4B" w:rsidP="00E371A0">
      <w:pPr>
        <w:spacing w:line="360" w:lineRule="auto"/>
        <w:ind w:firstLine="709"/>
        <w:jc w:val="both"/>
      </w:pPr>
      <w:r w:rsidRPr="00CC5D1E">
        <w:t>где Цсв – средневзвешенная цена;</w:t>
      </w:r>
    </w:p>
    <w:p w:rsidR="00A04C4B" w:rsidRPr="00CC5D1E" w:rsidRDefault="00A04C4B" w:rsidP="00E371A0">
      <w:pPr>
        <w:spacing w:line="360" w:lineRule="auto"/>
        <w:ind w:firstLine="709"/>
        <w:jc w:val="both"/>
      </w:pPr>
      <w:r w:rsidRPr="00CC5D1E">
        <w:t>ССОЗ – сумма стоимости остатки запаса;</w:t>
      </w:r>
    </w:p>
    <w:p w:rsidR="00A04C4B" w:rsidRPr="00CC5D1E" w:rsidRDefault="00A04C4B" w:rsidP="00E371A0">
      <w:pPr>
        <w:spacing w:line="360" w:lineRule="auto"/>
        <w:ind w:firstLine="709"/>
        <w:jc w:val="both"/>
      </w:pPr>
      <w:r w:rsidRPr="00CC5D1E">
        <w:t>ССППЗ – сумма стоимости поступления партии заказа;</w:t>
      </w:r>
    </w:p>
    <w:p w:rsidR="00A04C4B" w:rsidRPr="00CC5D1E" w:rsidRDefault="00A04C4B" w:rsidP="00E371A0">
      <w:pPr>
        <w:spacing w:line="360" w:lineRule="auto"/>
        <w:ind w:firstLine="709"/>
        <w:jc w:val="both"/>
      </w:pPr>
      <w:r w:rsidRPr="00CC5D1E">
        <w:t>КОЗ – количество остатка запаса;</w:t>
      </w:r>
    </w:p>
    <w:p w:rsidR="00A04C4B" w:rsidRPr="00CC5D1E" w:rsidRDefault="00A04C4B" w:rsidP="00E371A0">
      <w:pPr>
        <w:spacing w:line="360" w:lineRule="auto"/>
        <w:ind w:firstLine="709"/>
        <w:jc w:val="both"/>
      </w:pPr>
      <w:r w:rsidRPr="00CC5D1E">
        <w:t>КППЗ – количество поступления в партии запаса.</w:t>
      </w:r>
    </w:p>
    <w:p w:rsidR="00A04C4B" w:rsidRPr="00CC5D1E" w:rsidRDefault="00A04C4B" w:rsidP="00E371A0">
      <w:pPr>
        <w:spacing w:line="360" w:lineRule="auto"/>
        <w:ind w:firstLine="709"/>
        <w:jc w:val="both"/>
      </w:pPr>
      <w:r w:rsidRPr="00CC5D1E">
        <w:t>Система средневзвешенных цен предусматривает проведение многочисленных расчётов установления средних цен для данного учётного периода по каждому наименованию материалов. Так как нередко в течение месяца поступает несколько партий материалов одного наименования, то каждая партия выданного материала оценивается по последней средневзвешенной цене. Поэтому расчёт средневзвешенных цен материалов сопряжён с обработкой большого объёма информации. [1. c. 124-132]</w:t>
      </w:r>
    </w:p>
    <w:p w:rsidR="00A04C4B" w:rsidRPr="00CC5D1E" w:rsidRDefault="00A04C4B" w:rsidP="00E371A0">
      <w:pPr>
        <w:spacing w:line="360" w:lineRule="auto"/>
        <w:ind w:firstLine="709"/>
        <w:jc w:val="both"/>
      </w:pPr>
    </w:p>
    <w:p w:rsidR="00A04C4B" w:rsidRPr="00CC5D1E" w:rsidRDefault="00A04C4B" w:rsidP="00E371A0">
      <w:pPr>
        <w:spacing w:line="360" w:lineRule="auto"/>
        <w:ind w:firstLine="709"/>
        <w:jc w:val="both"/>
        <w:rPr>
          <w:b/>
          <w:bCs/>
        </w:rPr>
      </w:pPr>
      <w:r w:rsidRPr="00CC5D1E">
        <w:rPr>
          <w:b/>
          <w:bCs/>
        </w:rPr>
        <w:t>3</w:t>
      </w:r>
      <w:r w:rsidR="00E81252" w:rsidRPr="00CC5D1E">
        <w:rPr>
          <w:b/>
          <w:bCs/>
        </w:rPr>
        <w:t>.</w:t>
      </w:r>
      <w:r w:rsidRPr="00CC5D1E">
        <w:rPr>
          <w:b/>
          <w:bCs/>
        </w:rPr>
        <w:t xml:space="preserve"> Тарифная система и ее элементы. Перспективы реформирования тарифной системы в современных экономических условиях</w:t>
      </w:r>
    </w:p>
    <w:p w:rsidR="00E81252" w:rsidRPr="00CC5D1E" w:rsidRDefault="00E81252" w:rsidP="00E371A0">
      <w:pPr>
        <w:spacing w:line="360" w:lineRule="auto"/>
        <w:ind w:firstLine="709"/>
        <w:jc w:val="both"/>
      </w:pPr>
    </w:p>
    <w:p w:rsidR="00A04C4B" w:rsidRPr="00CC5D1E" w:rsidRDefault="00A04C4B" w:rsidP="00E371A0">
      <w:pPr>
        <w:spacing w:line="360" w:lineRule="auto"/>
        <w:ind w:firstLine="709"/>
        <w:jc w:val="both"/>
      </w:pPr>
      <w:r w:rsidRPr="00CC5D1E">
        <w:t>В настоящее время в Республике Беларусь вопросам регулирования оплаты труда уделяется большое внимание. Постоянно принимаются и изменяются законодательные и нормативные документы в области оплаты труда, совершенствуется механизм осуществления расчетов с работниками. Основой для регулирования вопросов оплаты труда является действующая в Республике Беларусь тарифная система.</w:t>
      </w:r>
    </w:p>
    <w:p w:rsidR="00A04C4B" w:rsidRPr="00CC5D1E" w:rsidRDefault="00A04C4B" w:rsidP="00E371A0">
      <w:pPr>
        <w:spacing w:line="360" w:lineRule="auto"/>
        <w:ind w:firstLine="709"/>
        <w:jc w:val="both"/>
      </w:pPr>
      <w:r w:rsidRPr="00CC5D1E">
        <w:t>Тарифная система - это совокупность нормативов, на основе которых осуществляется дифференциация и регулирование оплаты труда различных групп работников в зависимости от уровня их квалификации, сложности и ответственности выполняемых работ. Основными элементами тарифной системы являются тарифные ставки (должностные оклады), тарифные сетки и тарифно-квалификационные справочники. Тарифные ставки выражают в денежной форме размер оплаты труда различных групп и категорий работников за единицу рабочего времени (час, день, месяц) на работах с нормальными условиями. За работу в неблагоприятных условиях предусматриваются соответствующие доплаты, компенсации.</w:t>
      </w:r>
    </w:p>
    <w:p w:rsidR="00A04C4B" w:rsidRPr="00CC5D1E" w:rsidRDefault="00A04C4B" w:rsidP="00E371A0">
      <w:pPr>
        <w:spacing w:line="360" w:lineRule="auto"/>
        <w:ind w:firstLine="709"/>
        <w:jc w:val="both"/>
      </w:pPr>
      <w:r w:rsidRPr="00CC5D1E">
        <w:t>Показателями квалификации рабочих и квалификационного уровня работ являются тарифные разряды. Рабочим одной и той же профессии присваиваются разные тарифные разряды в зависимости от их профессиональных знаний и трудовых навыков.</w:t>
      </w:r>
    </w:p>
    <w:p w:rsidR="00A04C4B" w:rsidRPr="00CC5D1E" w:rsidRDefault="00A04C4B" w:rsidP="00E371A0">
      <w:pPr>
        <w:spacing w:line="360" w:lineRule="auto"/>
        <w:ind w:firstLine="709"/>
        <w:jc w:val="both"/>
      </w:pPr>
      <w:r w:rsidRPr="00CC5D1E">
        <w:t>Для некоторых групп рабочих, выполняющих в пределах определенном профессии работу примерно одного и того же квалификационного уровня, тарифные разряды и поразрядные тарифные ставки не устанавливаются. На железнодорожном транспорте такой порядок и специальные ставки установлены для оплаты труда членов локомотивных бригад. По своему размеру эти ставки выше, чем тарифные ставки рабочих 6-го разряда, и учитывают целостность и напряженность поездной работы, высокую квалификацию и ответственность локомотивных бригад.</w:t>
      </w:r>
    </w:p>
    <w:p w:rsidR="00A04C4B" w:rsidRPr="00CC5D1E" w:rsidRDefault="00A04C4B" w:rsidP="00E371A0">
      <w:pPr>
        <w:spacing w:line="360" w:lineRule="auto"/>
        <w:ind w:firstLine="709"/>
        <w:jc w:val="both"/>
      </w:pPr>
      <w:r w:rsidRPr="00CC5D1E">
        <w:t>Тарификация работ и присвоение рабочим квалификационных разрядом производятся с помощью Единого тарифно-квалификационного справочника работ и профессий. В справочнике представлены тарифно-квалификационные характеристики профессий рабочих, характеристики видов работ, требования к знаниям и специальной подготовке.</w:t>
      </w:r>
    </w:p>
    <w:p w:rsidR="00A04C4B" w:rsidRPr="00CC5D1E" w:rsidRDefault="00A04C4B" w:rsidP="00E371A0">
      <w:pPr>
        <w:spacing w:line="360" w:lineRule="auto"/>
        <w:ind w:firstLine="709"/>
        <w:jc w:val="both"/>
      </w:pPr>
      <w:r w:rsidRPr="00CC5D1E">
        <w:t>Совокупность квалификационных разрядов и соответствующих им тарифных коэффициентов называется тарифной сеткой. В настоящее время применяется 28-разрядная тарифная сетка, устанавливаются минимальные размеры заработной платы. При этом классификация выполняемых работ, должностей, тарифных ставок отражена в едином тарифно-квалификационном справочнике работ и профессий рабочих (ЕТКС), Квалификационном справочнике должностей руководителей, специалистов и служащих.</w:t>
      </w:r>
    </w:p>
    <w:p w:rsidR="00A04C4B" w:rsidRPr="00CC5D1E" w:rsidRDefault="00A04C4B" w:rsidP="00E371A0">
      <w:pPr>
        <w:spacing w:line="360" w:lineRule="auto"/>
        <w:ind w:firstLine="709"/>
        <w:jc w:val="both"/>
      </w:pPr>
      <w:r w:rsidRPr="00CC5D1E">
        <w:t>В соответствии с п. 1 Декрета Президента от 18 июля 2002 г. № 17 «О некоторых вопросах регулирования оплаты труда работников» оплата труда работников, нанимателями которых являются коммерческие организации, осуществляется в порядке, определяемом коллективным договором, в зависимости от сложности и условий труда этих работников, их квалификации на основе Единой тарифной сетки работников Республики Беларусь.</w:t>
      </w:r>
    </w:p>
    <w:p w:rsidR="00A04C4B" w:rsidRPr="00CC5D1E" w:rsidRDefault="00A04C4B" w:rsidP="00E371A0">
      <w:pPr>
        <w:spacing w:line="360" w:lineRule="auto"/>
        <w:ind w:firstLine="709"/>
        <w:jc w:val="both"/>
      </w:pPr>
      <w:r w:rsidRPr="00CC5D1E">
        <w:t>Во исполнение вышеназванного Декрета Министерство труда и социальной защиты постановлением № 123 от 20 сентября 2002 г. утвердило Инструкцию о порядке применения Единой тарифной сетки работников Республики Беларусь</w:t>
      </w:r>
      <w:r w:rsidR="000D00EE" w:rsidRPr="00CC5D1E">
        <w:t>, а затем с изменениями от 30 марта 2004 г. № 31</w:t>
      </w:r>
      <w:r w:rsidRPr="00CC5D1E">
        <w:t>.</w:t>
      </w:r>
    </w:p>
    <w:p w:rsidR="0093746E" w:rsidRPr="00CC5D1E" w:rsidRDefault="00A04C4B" w:rsidP="00E371A0">
      <w:pPr>
        <w:spacing w:line="360" w:lineRule="auto"/>
        <w:ind w:firstLine="709"/>
        <w:jc w:val="both"/>
      </w:pPr>
      <w:r w:rsidRPr="00CC5D1E">
        <w:t>Размер тарифной ставки первого разряда, действующей в организации, осуществляется своеобразным показателем эффективности труда всех работников организации. Увеличение тарифной ставки в организациях государственной формы собственности должно производиться в соответствии с Инструкцией о порядке повышения тарифной ставки первого разряда коммерческими организациями, утвержденной постановлением Министерства труда и социальной защиты, Министерства финансов и Министерства экономики от 24 февраля 2005 г. № 18/23/34</w:t>
      </w:r>
      <w:r w:rsidR="000D00EE" w:rsidRPr="00CC5D1E">
        <w:t>[Приложение4]</w:t>
      </w:r>
      <w:r w:rsidRPr="00CC5D1E">
        <w:t>.</w:t>
      </w:r>
    </w:p>
    <w:p w:rsidR="00A04C4B" w:rsidRPr="00CC5D1E" w:rsidRDefault="00A04C4B" w:rsidP="00E371A0">
      <w:pPr>
        <w:spacing w:line="360" w:lineRule="auto"/>
        <w:ind w:firstLine="709"/>
        <w:jc w:val="both"/>
      </w:pPr>
      <w:r w:rsidRPr="00CC5D1E">
        <w:t>В соответствии с данной Инструкцией повышение тарифной ставки первого разряда производится в пределах имеющихся средств на оплату труда, отражаемых в составе расходов на оплату труда, включаемых в затраты по производству и реализации продукции, товаров (работ, услуг), учитываемых при ценообразовании и налогообложении, независимо от изменения тарифов ставки первого разряда, устанавливаемой Правительством Республики Беларусь.</w:t>
      </w:r>
    </w:p>
    <w:p w:rsidR="00A04C4B" w:rsidRPr="00CC5D1E" w:rsidRDefault="00A04C4B" w:rsidP="00E371A0">
      <w:pPr>
        <w:spacing w:line="360" w:lineRule="auto"/>
        <w:ind w:firstLine="709"/>
        <w:jc w:val="both"/>
      </w:pPr>
      <w:r w:rsidRPr="00CC5D1E">
        <w:t>С 1 марта 2005 г. в соответствии с подпунктом 3.3 п. 3 постановления Совета Министров от 27 декабря 2004 г. № 1651 «О некоторых вопросах регулирования оплаты труда работников коммерческих организаций»</w:t>
      </w:r>
      <w:r w:rsidR="00F21B00" w:rsidRPr="00CC5D1E">
        <w:t xml:space="preserve"> [Приложение5]</w:t>
      </w:r>
      <w:r w:rsidRPr="00CC5D1E">
        <w:t xml:space="preserve"> в затраты по производству и реализации продукции, товаров (работ, услуг), учитываемые в ценообразовании и налогообложении коммерческими организациями, выплачиваются выплаты по тарифным ставкам, должностным окладам, исчисленным исходя из тарифной ставки первого разряда, не превышающей базового предельного норматива тарифной ставки первого разряда с учетом дифференцированных отраслевых коэффициентов и тарифных коэффициентов тарифной сетки работников Республики Беларусь.</w:t>
      </w:r>
    </w:p>
    <w:p w:rsidR="00A04C4B" w:rsidRPr="00CC5D1E" w:rsidRDefault="00A04C4B" w:rsidP="00E371A0">
      <w:pPr>
        <w:spacing w:line="360" w:lineRule="auto"/>
        <w:ind w:firstLine="709"/>
        <w:jc w:val="both"/>
      </w:pPr>
      <w:r w:rsidRPr="00CC5D1E">
        <w:t>Базовый предельный норматив тарифной ставки первого разряда устанавливается в размере бюджета прожиточного минимума для трудоспособного населения, утверждаемого в установленном порядке учета отраслевой специфики коммерческих организаций государственной формы собственности в их имуществе к базовому предельному нормативу тарифной ставки первого разряда установлены дифференцированные отраслевые коэффициенты (от 1,0 до 1,5).</w:t>
      </w:r>
    </w:p>
    <w:p w:rsidR="00A04C4B" w:rsidRPr="00CC5D1E" w:rsidRDefault="00A04C4B" w:rsidP="00E371A0">
      <w:pPr>
        <w:spacing w:line="360" w:lineRule="auto"/>
        <w:ind w:firstLine="709"/>
        <w:jc w:val="both"/>
      </w:pPr>
      <w:r w:rsidRPr="00CC5D1E">
        <w:t xml:space="preserve">При наличии в организации нескольких тарифных ставок первого разряда для учёта соотношения базового предельного норматива тарифной ставки первого разряда и тарифной ставки первого разряда, действующей в коммерческой организации, используется средневзвешенная </w:t>
      </w:r>
      <w:r w:rsidR="0066627B" w:rsidRPr="00CC5D1E">
        <w:t>тарифная ставка первого разряда.</w:t>
      </w:r>
    </w:p>
    <w:p w:rsidR="00A04C4B" w:rsidRPr="00CC5D1E" w:rsidRDefault="00A04C4B" w:rsidP="00E371A0">
      <w:pPr>
        <w:spacing w:line="360" w:lineRule="auto"/>
        <w:ind w:firstLine="709"/>
        <w:jc w:val="both"/>
      </w:pPr>
      <w:r w:rsidRPr="00CC5D1E">
        <w:t>Регулирование уровня оплаты труда руководителей, специалистов и служащих производится посредством их месячных должностных окладов. Для более полного учёта в должностных окладах различий в квалификации, сложности и ответственности выполняемых работ, повышения заинтересованности специалистов в росте профессионального мастерства введены категории инженерно-технических работников всех специальностей.</w:t>
      </w:r>
    </w:p>
    <w:p w:rsidR="00A04C4B" w:rsidRPr="00CC5D1E" w:rsidRDefault="00A04C4B" w:rsidP="00E371A0">
      <w:pPr>
        <w:spacing w:line="360" w:lineRule="auto"/>
        <w:ind w:firstLine="709"/>
        <w:jc w:val="both"/>
      </w:pPr>
      <w:r w:rsidRPr="00CC5D1E">
        <w:t>В целях повышения эффективности деятельности условия оплаты труда руководителей железной дороги, отделений и структурных подразделений должны устанавливаться в прямой зависимости от результатов производственно-финансовой деятельности, а в контракте могут быть оговорены дополнительные условия материального и социального поощрения [1, с. 339-342]</w:t>
      </w:r>
      <w:r w:rsidR="00E351AA" w:rsidRPr="00CC5D1E">
        <w:t>.</w:t>
      </w:r>
    </w:p>
    <w:p w:rsidR="0093746E" w:rsidRPr="00CC5D1E" w:rsidRDefault="0093746E" w:rsidP="00E371A0">
      <w:pPr>
        <w:spacing w:line="360" w:lineRule="auto"/>
        <w:ind w:firstLine="709"/>
        <w:jc w:val="both"/>
      </w:pPr>
    </w:p>
    <w:p w:rsidR="00A04C4B" w:rsidRPr="00CC5D1E" w:rsidRDefault="00E81252" w:rsidP="00E371A0">
      <w:pPr>
        <w:spacing w:line="360" w:lineRule="auto"/>
        <w:ind w:firstLine="709"/>
        <w:jc w:val="both"/>
        <w:rPr>
          <w:b/>
          <w:bCs/>
        </w:rPr>
      </w:pPr>
      <w:r w:rsidRPr="00CC5D1E">
        <w:rPr>
          <w:b/>
          <w:bCs/>
        </w:rPr>
        <w:t xml:space="preserve">4. </w:t>
      </w:r>
      <w:r w:rsidR="00A04C4B" w:rsidRPr="00CC5D1E">
        <w:rPr>
          <w:b/>
          <w:bCs/>
        </w:rPr>
        <w:t>Задача</w:t>
      </w:r>
    </w:p>
    <w:p w:rsidR="00E81252" w:rsidRPr="00CC5D1E" w:rsidRDefault="00E81252" w:rsidP="00E371A0">
      <w:pPr>
        <w:spacing w:line="360" w:lineRule="auto"/>
        <w:ind w:firstLine="709"/>
        <w:jc w:val="both"/>
      </w:pPr>
    </w:p>
    <w:p w:rsidR="00A04C4B" w:rsidRPr="00CC5D1E" w:rsidRDefault="00A04C4B" w:rsidP="00E371A0">
      <w:pPr>
        <w:spacing w:line="360" w:lineRule="auto"/>
        <w:ind w:firstLine="709"/>
        <w:jc w:val="both"/>
      </w:pPr>
      <w:r w:rsidRPr="00CC5D1E">
        <w:t>Рассчитать налоги, уплачиваемые из заработной платы и отразить в учёте необходимые бухгалтерские проводки по начислению видов заработной платы, удержанию и перечислению налогов и отчислений.</w:t>
      </w:r>
    </w:p>
    <w:p w:rsidR="00A04C4B" w:rsidRPr="00CC5D1E" w:rsidRDefault="00A04C4B" w:rsidP="00E371A0">
      <w:pPr>
        <w:spacing w:line="360" w:lineRule="auto"/>
        <w:ind w:firstLine="709"/>
        <w:jc w:val="both"/>
      </w:pPr>
      <w:r w:rsidRPr="00CC5D1E">
        <w:t>Начисленная заработная плата за январь 200…года составила:</w:t>
      </w:r>
    </w:p>
    <w:p w:rsidR="00A04C4B" w:rsidRPr="00CC5D1E" w:rsidRDefault="00A04C4B" w:rsidP="00E371A0">
      <w:pPr>
        <w:spacing w:line="360" w:lineRule="auto"/>
        <w:ind w:firstLine="709"/>
        <w:jc w:val="both"/>
      </w:pPr>
      <w:r w:rsidRPr="00CC5D1E">
        <w:t>- заработная плата по тарифу – 185000 руб., (за фактически отработанное время);</w:t>
      </w:r>
    </w:p>
    <w:p w:rsidR="00A04C4B" w:rsidRPr="00CC5D1E" w:rsidRDefault="00A04C4B" w:rsidP="00E371A0">
      <w:pPr>
        <w:spacing w:line="360" w:lineRule="auto"/>
        <w:ind w:firstLine="709"/>
        <w:jc w:val="both"/>
      </w:pPr>
      <w:r w:rsidRPr="00CC5D1E">
        <w:t>- премии за производственные результаты – 30% от среднего заработка;</w:t>
      </w:r>
    </w:p>
    <w:p w:rsidR="00A04C4B" w:rsidRPr="00CC5D1E" w:rsidRDefault="00A04C4B" w:rsidP="00E371A0">
      <w:pPr>
        <w:spacing w:line="360" w:lineRule="auto"/>
        <w:ind w:firstLine="709"/>
        <w:jc w:val="both"/>
      </w:pPr>
      <w:r w:rsidRPr="00CC5D1E">
        <w:t>- доплата за совмещение профессий – 20% от тарифа;</w:t>
      </w:r>
    </w:p>
    <w:p w:rsidR="00A04C4B" w:rsidRPr="00CC5D1E" w:rsidRDefault="00A04C4B" w:rsidP="00E371A0">
      <w:pPr>
        <w:spacing w:line="360" w:lineRule="auto"/>
        <w:ind w:firstLine="709"/>
        <w:jc w:val="both"/>
      </w:pPr>
      <w:r w:rsidRPr="00CC5D1E">
        <w:t>- доплата за вредность – 80 руб./час (отработанное за месяц время – 140 часов);</w:t>
      </w:r>
    </w:p>
    <w:p w:rsidR="00A04C4B" w:rsidRPr="00CC5D1E" w:rsidRDefault="00A04C4B" w:rsidP="00E371A0">
      <w:pPr>
        <w:spacing w:line="360" w:lineRule="auto"/>
        <w:ind w:firstLine="709"/>
        <w:jc w:val="both"/>
      </w:pPr>
      <w:r w:rsidRPr="00CC5D1E">
        <w:t>- доплата за работу в ночное время – 40% от тарифа (ночные часы – 64 часа);</w:t>
      </w:r>
    </w:p>
    <w:p w:rsidR="00A04C4B" w:rsidRPr="00CC5D1E" w:rsidRDefault="00A04C4B" w:rsidP="00E371A0">
      <w:pPr>
        <w:spacing w:line="360" w:lineRule="auto"/>
        <w:ind w:firstLine="709"/>
        <w:jc w:val="both"/>
      </w:pPr>
      <w:r w:rsidRPr="00CC5D1E">
        <w:t>- вознаграждение за выслугу лет – 10% от тарифа;</w:t>
      </w:r>
    </w:p>
    <w:p w:rsidR="00A04C4B" w:rsidRPr="00CC5D1E" w:rsidRDefault="00A04C4B" w:rsidP="00E371A0">
      <w:pPr>
        <w:spacing w:line="360" w:lineRule="auto"/>
        <w:ind w:firstLine="709"/>
        <w:jc w:val="both"/>
      </w:pPr>
      <w:r w:rsidRPr="00CC5D1E">
        <w:t>- пособие по временно нетрудоспособности – 35000 руб.;</w:t>
      </w:r>
    </w:p>
    <w:p w:rsidR="00A04C4B" w:rsidRPr="00CC5D1E" w:rsidRDefault="00A04C4B" w:rsidP="00E371A0">
      <w:pPr>
        <w:spacing w:line="360" w:lineRule="auto"/>
        <w:ind w:firstLine="709"/>
        <w:jc w:val="both"/>
      </w:pPr>
      <w:r w:rsidRPr="00CC5D1E">
        <w:t>- премии за счёт прибыли, остающейся в распоряжении предприятия – 80000 руб.;</w:t>
      </w:r>
    </w:p>
    <w:p w:rsidR="00A04C4B" w:rsidRPr="00CC5D1E" w:rsidRDefault="00A04C4B" w:rsidP="00E371A0">
      <w:pPr>
        <w:spacing w:line="360" w:lineRule="auto"/>
        <w:ind w:firstLine="709"/>
        <w:jc w:val="both"/>
      </w:pPr>
      <w:r w:rsidRPr="00CC5D1E">
        <w:t>- материальная помощь по заявлению – 50000 руб.;</w:t>
      </w:r>
    </w:p>
    <w:p w:rsidR="00A04C4B" w:rsidRPr="00CC5D1E" w:rsidRDefault="00A04C4B" w:rsidP="00E371A0">
      <w:pPr>
        <w:spacing w:line="360" w:lineRule="auto"/>
        <w:ind w:firstLine="709"/>
        <w:jc w:val="both"/>
      </w:pPr>
      <w:r w:rsidRPr="00CC5D1E">
        <w:t>- фиксированная доплата за работу в загрязнённой зоне – 15000 руб.;</w:t>
      </w:r>
    </w:p>
    <w:p w:rsidR="00A04C4B" w:rsidRPr="00CC5D1E" w:rsidRDefault="00A04C4B" w:rsidP="00E371A0">
      <w:pPr>
        <w:spacing w:line="360" w:lineRule="auto"/>
        <w:ind w:firstLine="709"/>
        <w:jc w:val="both"/>
      </w:pPr>
      <w:r w:rsidRPr="00CC5D1E">
        <w:t>- пособие за проживание в загрязнённой зоне – 15000 руб. на 1 человека (у работника семья из 4-х человек);</w:t>
      </w:r>
    </w:p>
    <w:p w:rsidR="00A04C4B" w:rsidRPr="00CC5D1E" w:rsidRDefault="00A04C4B" w:rsidP="00E371A0">
      <w:pPr>
        <w:spacing w:line="360" w:lineRule="auto"/>
        <w:ind w:firstLine="709"/>
        <w:jc w:val="both"/>
      </w:pPr>
      <w:r w:rsidRPr="00CC5D1E">
        <w:t>- пособие на ребёнка до достижения им возраста 3-х лет – 79100 руб:</w:t>
      </w:r>
    </w:p>
    <w:p w:rsidR="00A04C4B" w:rsidRPr="00CC5D1E" w:rsidRDefault="00A04C4B" w:rsidP="00E371A0">
      <w:pPr>
        <w:spacing w:line="360" w:lineRule="auto"/>
        <w:ind w:firstLine="709"/>
        <w:jc w:val="both"/>
      </w:pPr>
      <w:r w:rsidRPr="00CC5D1E">
        <w:t>Дополнительная информация: работник имеет 1 ребёнка в возрасте до 3-х лет, 1 ребёнка в возрасте 7 лет, жену, находящуюся в отпуске по уходу за ребёнком до 3-х лет.</w:t>
      </w:r>
    </w:p>
    <w:p w:rsidR="00A04C4B" w:rsidRPr="00CC5D1E" w:rsidRDefault="00A04C4B" w:rsidP="00E371A0">
      <w:pPr>
        <w:spacing w:line="360" w:lineRule="auto"/>
        <w:ind w:firstLine="709"/>
        <w:jc w:val="both"/>
      </w:pPr>
      <w:r w:rsidRPr="00CC5D1E">
        <w:t>Базовую величину для расчёта подоходного налога использовать исходя из нормативных документов действующего законодательства.</w:t>
      </w:r>
    </w:p>
    <w:p w:rsidR="00A04C4B" w:rsidRPr="00CC5D1E" w:rsidRDefault="00A04C4B" w:rsidP="00E371A0">
      <w:pPr>
        <w:spacing w:line="360" w:lineRule="auto"/>
        <w:ind w:firstLine="709"/>
        <w:jc w:val="both"/>
      </w:pPr>
      <w:r w:rsidRPr="00CC5D1E">
        <w:t>РЕШЕНИЕ:</w:t>
      </w:r>
    </w:p>
    <w:p w:rsidR="00A04C4B" w:rsidRPr="00CC5D1E" w:rsidRDefault="00A04C4B" w:rsidP="00E371A0">
      <w:pPr>
        <w:spacing w:line="360" w:lineRule="auto"/>
        <w:ind w:firstLine="709"/>
        <w:jc w:val="both"/>
      </w:pPr>
      <w:r w:rsidRPr="00CC5D1E">
        <w:t>1) Рассчитаем средний заработок: 185000 руб. + (185000 руб.*20%) + (140 часов * 80 руб.) + (185000 руб. * 40%) + (185000 руб. * 10%) + 35 000 руб. + 80 000 руб. = 440 700 руб. [7]</w:t>
      </w:r>
    </w:p>
    <w:p w:rsidR="00A04C4B" w:rsidRPr="00CC5D1E" w:rsidRDefault="00A04C4B" w:rsidP="00E371A0">
      <w:pPr>
        <w:spacing w:line="360" w:lineRule="auto"/>
        <w:ind w:firstLine="709"/>
        <w:jc w:val="both"/>
      </w:pPr>
      <w:r w:rsidRPr="00CC5D1E">
        <w:t>2) Определим премию за производственные результаты: 440 700 руб. * 30% = 132 210 руб.</w:t>
      </w:r>
    </w:p>
    <w:p w:rsidR="00A04C4B" w:rsidRPr="00CC5D1E" w:rsidRDefault="00A04C4B" w:rsidP="00E371A0">
      <w:pPr>
        <w:spacing w:line="360" w:lineRule="auto"/>
        <w:ind w:firstLine="709"/>
        <w:jc w:val="both"/>
      </w:pPr>
      <w:r w:rsidRPr="00CC5D1E">
        <w:t>3) Определим налоговую базу для исчисления подоходного налога: 185 000 + 132 210 + 37 000 + 11200 + 74 000 + 18 500 + 35 000 + 80 000 + 50 000+15 000+60 000 + 79 100 – ((35 000 * 7) + 35 000 + 50 000 + 15 000 + 60 000 + 79 100) = 777 010 – 484 100 = 292 210 руб. [9]</w:t>
      </w:r>
    </w:p>
    <w:p w:rsidR="00A04C4B" w:rsidRPr="00CC5D1E" w:rsidRDefault="00A04C4B" w:rsidP="00E371A0">
      <w:pPr>
        <w:spacing w:line="360" w:lineRule="auto"/>
        <w:ind w:firstLine="709"/>
        <w:jc w:val="both"/>
      </w:pPr>
      <w:r w:rsidRPr="00CC5D1E">
        <w:t>4) Определим сумму подоходного налога: 292 210 * 9% = 26 230 руб.</w:t>
      </w:r>
    </w:p>
    <w:p w:rsidR="00A04C4B" w:rsidRPr="00CC5D1E" w:rsidRDefault="00A04C4B" w:rsidP="00E371A0">
      <w:pPr>
        <w:spacing w:line="360" w:lineRule="auto"/>
        <w:ind w:firstLine="709"/>
        <w:jc w:val="both"/>
      </w:pPr>
      <w:r w:rsidRPr="00CC5D1E">
        <w:t>5) Определим базу для отчислений в Пенсионный фонд: 777 010 – (35 000 + 50 000 + 15 000 + 60 000 + 79 100) = 777 010 - 239 100 = 537 910 руб. [8]</w:t>
      </w:r>
    </w:p>
    <w:p w:rsidR="00A04C4B" w:rsidRPr="00CC5D1E" w:rsidRDefault="00A04C4B" w:rsidP="00E371A0">
      <w:pPr>
        <w:spacing w:line="360" w:lineRule="auto"/>
        <w:ind w:firstLine="709"/>
        <w:jc w:val="both"/>
      </w:pPr>
      <w:r w:rsidRPr="00CC5D1E">
        <w:t>6) Определим сумму отчислений Пенсионный фонд: 537 910 * 1% = 5 379 руб.</w:t>
      </w:r>
    </w:p>
    <w:p w:rsidR="00A04C4B" w:rsidRPr="00CC5D1E" w:rsidRDefault="00A04C4B" w:rsidP="00E371A0">
      <w:pPr>
        <w:spacing w:line="360" w:lineRule="auto"/>
        <w:ind w:firstLine="709"/>
        <w:jc w:val="both"/>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940"/>
        <w:gridCol w:w="1161"/>
        <w:gridCol w:w="1018"/>
        <w:gridCol w:w="1593"/>
      </w:tblGrid>
      <w:tr w:rsidR="00E81252" w:rsidRPr="00CC5D1E" w:rsidTr="00585C88">
        <w:trPr>
          <w:trHeight w:val="514"/>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 п/п</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Хозяйственная операция</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Дебет</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Кредит</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Сумма</w:t>
            </w:r>
          </w:p>
        </w:tc>
      </w:tr>
      <w:tr w:rsidR="00E81252" w:rsidRPr="00CC5D1E" w:rsidTr="00585C88">
        <w:trPr>
          <w:trHeight w:val="585"/>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заработная плата по тарифу (за фактически отработанное время)</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185000</w:t>
            </w:r>
          </w:p>
        </w:tc>
      </w:tr>
      <w:tr w:rsidR="00E81252" w:rsidRPr="00CC5D1E" w:rsidTr="00585C88">
        <w:trPr>
          <w:trHeight w:val="113"/>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2</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премии за производственные результаты</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132 210</w:t>
            </w:r>
          </w:p>
        </w:tc>
      </w:tr>
      <w:tr w:rsidR="00E81252" w:rsidRPr="00CC5D1E" w:rsidTr="00585C88">
        <w:trPr>
          <w:trHeight w:val="280"/>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3</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доплата за совмещение профессий</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37 000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4</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доплата за вредность</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11 200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5</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доплата за работу в ночное время</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74 000</w:t>
            </w:r>
          </w:p>
        </w:tc>
      </w:tr>
      <w:tr w:rsidR="00E81252" w:rsidRPr="00CC5D1E" w:rsidTr="00585C88">
        <w:trPr>
          <w:trHeight w:val="280"/>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6</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Начислено вознаграждение за выслугу лет</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18 500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7</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Начислено пособие по временной нетрудоспособности</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69</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35 000</w:t>
            </w:r>
          </w:p>
        </w:tc>
      </w:tr>
      <w:tr w:rsidR="00E81252" w:rsidRPr="00CC5D1E" w:rsidTr="00585C88">
        <w:trPr>
          <w:trHeight w:val="585"/>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8</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премия за счёт прибыли, остающейся в распоряжении предприятия</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84</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80 000</w:t>
            </w:r>
          </w:p>
        </w:tc>
      </w:tr>
      <w:tr w:rsidR="00E81252" w:rsidRPr="00CC5D1E" w:rsidTr="00585C88">
        <w:trPr>
          <w:trHeight w:val="280"/>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9</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материальная помощь по заявлению</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84</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50 000</w:t>
            </w:r>
          </w:p>
        </w:tc>
      </w:tr>
      <w:tr w:rsidR="00E81252" w:rsidRPr="00CC5D1E" w:rsidTr="00585C88">
        <w:trPr>
          <w:trHeight w:val="585"/>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10</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Начислена фиксированная доплата за работу в загрязнённой зоне</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86</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15 000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11</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Начислено пособие за проживание в загрязнённой зоне</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86</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60 000</w:t>
            </w:r>
          </w:p>
        </w:tc>
      </w:tr>
      <w:tr w:rsidR="00E81252" w:rsidRPr="00CC5D1E" w:rsidTr="00585C88">
        <w:trPr>
          <w:trHeight w:val="57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12</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Начислено пособие на ребёнка до достижения им возраста 3-х лет</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69</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79 100</w:t>
            </w:r>
          </w:p>
        </w:tc>
      </w:tr>
      <w:tr w:rsidR="00E81252" w:rsidRPr="00CC5D1E" w:rsidTr="00585C88">
        <w:trPr>
          <w:trHeight w:val="585"/>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13</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Удержание подоходного налога с сумм оплаты труда и иных доходов работника</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68</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26 230</w:t>
            </w:r>
          </w:p>
        </w:tc>
      </w:tr>
      <w:tr w:rsidR="00E81252" w:rsidRPr="00CC5D1E" w:rsidTr="00585C88">
        <w:trPr>
          <w:trHeight w:val="585"/>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14</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Удержание из заработной платы отчислений в Пенсионный фонд</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70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69</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5 379</w:t>
            </w:r>
          </w:p>
        </w:tc>
      </w:tr>
      <w:tr w:rsidR="00E81252" w:rsidRPr="00CC5D1E" w:rsidTr="00585C88">
        <w:trPr>
          <w:trHeight w:val="57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15</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Отчисления в ФСЗН от сумм оплаты труда работников, отнесённых на затраты основного производства</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69</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5 379</w:t>
            </w:r>
          </w:p>
        </w:tc>
      </w:tr>
      <w:tr w:rsidR="00E81252" w:rsidRPr="00CC5D1E" w:rsidTr="00585C88">
        <w:trPr>
          <w:trHeight w:val="877"/>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16</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Отчисления подоходного от сумм оплаты труда работников, отнесённых налога</w:t>
            </w:r>
            <w:r w:rsidR="00F82BA9" w:rsidRPr="00585C88">
              <w:rPr>
                <w:sz w:val="20"/>
                <w:szCs w:val="20"/>
              </w:rPr>
              <w:t xml:space="preserve"> </w:t>
            </w:r>
            <w:r w:rsidRPr="00585C88">
              <w:rPr>
                <w:sz w:val="20"/>
                <w:szCs w:val="20"/>
              </w:rPr>
              <w:t>затраты основного производства</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20</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68</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26 230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17</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Перечисление подоходного налога с расчётного счёта</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68</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51</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26 230</w:t>
            </w:r>
          </w:p>
        </w:tc>
      </w:tr>
      <w:tr w:rsidR="00E81252" w:rsidRPr="00CC5D1E" w:rsidTr="00585C88">
        <w:trPr>
          <w:trHeight w:val="292"/>
        </w:trPr>
        <w:tc>
          <w:tcPr>
            <w:tcW w:w="305" w:type="dxa"/>
            <w:shd w:val="clear" w:color="auto" w:fill="auto"/>
          </w:tcPr>
          <w:p w:rsidR="00A04C4B" w:rsidRPr="00585C88" w:rsidRDefault="00A04C4B" w:rsidP="00585C88">
            <w:pPr>
              <w:spacing w:line="360" w:lineRule="auto"/>
              <w:jc w:val="both"/>
              <w:rPr>
                <w:sz w:val="20"/>
                <w:szCs w:val="20"/>
              </w:rPr>
            </w:pPr>
            <w:r w:rsidRPr="00585C88">
              <w:rPr>
                <w:sz w:val="20"/>
                <w:szCs w:val="20"/>
              </w:rPr>
              <w:t>18</w:t>
            </w:r>
          </w:p>
        </w:tc>
        <w:tc>
          <w:tcPr>
            <w:tcW w:w="4940" w:type="dxa"/>
            <w:shd w:val="clear" w:color="auto" w:fill="auto"/>
          </w:tcPr>
          <w:p w:rsidR="00A04C4B" w:rsidRPr="00585C88" w:rsidRDefault="00A04C4B" w:rsidP="00585C88">
            <w:pPr>
              <w:spacing w:line="360" w:lineRule="auto"/>
              <w:jc w:val="both"/>
              <w:rPr>
                <w:sz w:val="20"/>
                <w:szCs w:val="20"/>
              </w:rPr>
            </w:pPr>
            <w:r w:rsidRPr="00585C88">
              <w:rPr>
                <w:sz w:val="20"/>
                <w:szCs w:val="20"/>
              </w:rPr>
              <w:t>Перечисление средств в ФСЗН с расчётного счёта</w:t>
            </w:r>
          </w:p>
        </w:tc>
        <w:tc>
          <w:tcPr>
            <w:tcW w:w="1161" w:type="dxa"/>
            <w:shd w:val="clear" w:color="auto" w:fill="auto"/>
          </w:tcPr>
          <w:p w:rsidR="00A04C4B" w:rsidRPr="00585C88" w:rsidRDefault="00A04C4B" w:rsidP="00585C88">
            <w:pPr>
              <w:spacing w:line="360" w:lineRule="auto"/>
              <w:jc w:val="both"/>
              <w:rPr>
                <w:sz w:val="20"/>
                <w:szCs w:val="20"/>
              </w:rPr>
            </w:pPr>
            <w:r w:rsidRPr="00585C88">
              <w:rPr>
                <w:sz w:val="20"/>
                <w:szCs w:val="20"/>
              </w:rPr>
              <w:t>69</w:t>
            </w:r>
          </w:p>
        </w:tc>
        <w:tc>
          <w:tcPr>
            <w:tcW w:w="1018" w:type="dxa"/>
            <w:shd w:val="clear" w:color="auto" w:fill="auto"/>
          </w:tcPr>
          <w:p w:rsidR="00A04C4B" w:rsidRPr="00585C88" w:rsidRDefault="00A04C4B" w:rsidP="00585C88">
            <w:pPr>
              <w:spacing w:line="360" w:lineRule="auto"/>
              <w:jc w:val="both"/>
              <w:rPr>
                <w:sz w:val="20"/>
                <w:szCs w:val="20"/>
              </w:rPr>
            </w:pPr>
            <w:r w:rsidRPr="00585C88">
              <w:rPr>
                <w:sz w:val="20"/>
                <w:szCs w:val="20"/>
              </w:rPr>
              <w:t>51</w:t>
            </w:r>
          </w:p>
        </w:tc>
        <w:tc>
          <w:tcPr>
            <w:tcW w:w="1593" w:type="dxa"/>
            <w:shd w:val="clear" w:color="auto" w:fill="auto"/>
          </w:tcPr>
          <w:p w:rsidR="00A04C4B" w:rsidRPr="00585C88" w:rsidRDefault="00A04C4B" w:rsidP="00585C88">
            <w:pPr>
              <w:spacing w:line="360" w:lineRule="auto"/>
              <w:jc w:val="both"/>
              <w:rPr>
                <w:sz w:val="20"/>
                <w:szCs w:val="20"/>
              </w:rPr>
            </w:pPr>
            <w:r w:rsidRPr="00585C88">
              <w:rPr>
                <w:sz w:val="20"/>
                <w:szCs w:val="20"/>
              </w:rPr>
              <w:t>5 379</w:t>
            </w:r>
          </w:p>
        </w:tc>
      </w:tr>
    </w:tbl>
    <w:p w:rsidR="00A04C4B" w:rsidRPr="00CC5D1E" w:rsidRDefault="00E81252" w:rsidP="00E371A0">
      <w:pPr>
        <w:spacing w:line="360" w:lineRule="auto"/>
        <w:ind w:firstLine="709"/>
        <w:jc w:val="both"/>
        <w:rPr>
          <w:b/>
          <w:bCs/>
        </w:rPr>
      </w:pPr>
      <w:r w:rsidRPr="00CC5D1E">
        <w:br w:type="page"/>
      </w:r>
      <w:r w:rsidR="00A04C4B" w:rsidRPr="00CC5D1E">
        <w:rPr>
          <w:b/>
          <w:bCs/>
        </w:rPr>
        <w:t>С</w:t>
      </w:r>
      <w:r w:rsidRPr="00CC5D1E">
        <w:rPr>
          <w:b/>
          <w:bCs/>
        </w:rPr>
        <w:t>писок литературы</w:t>
      </w:r>
    </w:p>
    <w:p w:rsidR="00E81252" w:rsidRPr="00CC5D1E" w:rsidRDefault="00E81252" w:rsidP="00E371A0">
      <w:pPr>
        <w:spacing w:line="360" w:lineRule="auto"/>
        <w:ind w:firstLine="709"/>
        <w:jc w:val="both"/>
      </w:pPr>
    </w:p>
    <w:p w:rsidR="00A04C4B" w:rsidRPr="00CC5D1E" w:rsidRDefault="00A04C4B" w:rsidP="003202B7">
      <w:pPr>
        <w:spacing w:line="360" w:lineRule="auto"/>
        <w:jc w:val="both"/>
      </w:pPr>
      <w:r w:rsidRPr="00CC5D1E">
        <w:t>1</w:t>
      </w:r>
      <w:r w:rsidR="003202B7" w:rsidRPr="00CC5D1E">
        <w:t>.</w:t>
      </w:r>
      <w:r w:rsidRPr="00CC5D1E">
        <w:t xml:space="preserve"> Бухгалтерский учёт на железнодорожном транспорте: учеб. Пособие / В.Г. Гизатуллина [и др.]; под общ. Ред. В.Г. Гизатуллиной, </w:t>
      </w:r>
      <w:r w:rsidR="003202B7" w:rsidRPr="00CC5D1E">
        <w:t>П</w:t>
      </w:r>
      <w:r w:rsidRPr="00CC5D1E">
        <w:t>.Я. Папковской; М-во образования Респ. Беларусь, Белорус, гос. Ун-т трансп. – Гомель: БелГУТ, 2007. – 511 с.</w:t>
      </w:r>
    </w:p>
    <w:p w:rsidR="00A04C4B" w:rsidRPr="00CC5D1E" w:rsidRDefault="00A04C4B" w:rsidP="003202B7">
      <w:pPr>
        <w:spacing w:line="360" w:lineRule="auto"/>
        <w:jc w:val="both"/>
      </w:pPr>
      <w:r w:rsidRPr="00CC5D1E">
        <w:t>2</w:t>
      </w:r>
      <w:r w:rsidR="003202B7" w:rsidRPr="00CC5D1E">
        <w:t>.</w:t>
      </w:r>
      <w:r w:rsidRPr="00CC5D1E">
        <w:t xml:space="preserve"> Ладутько Н.И. Бухгалтерский учёт в промышленности: Учеб. пособие / Н.И. Ладутько. </w:t>
      </w:r>
      <w:r w:rsidR="003202B7" w:rsidRPr="00CC5D1E">
        <w:t>-</w:t>
      </w:r>
      <w:r w:rsidRPr="00CC5D1E">
        <w:t xml:space="preserve"> Мн.: Книжный Дом, 2005. - 688 с.</w:t>
      </w:r>
    </w:p>
    <w:p w:rsidR="00A04C4B" w:rsidRPr="00CC5D1E" w:rsidRDefault="00A04C4B" w:rsidP="003202B7">
      <w:pPr>
        <w:spacing w:line="360" w:lineRule="auto"/>
        <w:jc w:val="both"/>
      </w:pPr>
      <w:r w:rsidRPr="00CC5D1E">
        <w:t>3</w:t>
      </w:r>
      <w:r w:rsidR="003202B7" w:rsidRPr="00CC5D1E">
        <w:t>.</w:t>
      </w:r>
      <w:r w:rsidRPr="00CC5D1E">
        <w:t xml:space="preserve"> </w:t>
      </w:r>
      <w:r w:rsidR="003202B7" w:rsidRPr="00CC5D1E">
        <w:t>Левкович О.</w:t>
      </w:r>
      <w:r w:rsidRPr="00CC5D1E">
        <w:t>А. Бухгалтерский учет: учеб, пособие / О.А. Левкович, И.Н.</w:t>
      </w:r>
      <w:r w:rsidR="003202B7" w:rsidRPr="00CC5D1E">
        <w:t xml:space="preserve"> </w:t>
      </w:r>
      <w:r w:rsidRPr="00CC5D1E">
        <w:t>Бурцева. - 5-е изд., перераб. и доп.. Минск:</w:t>
      </w:r>
      <w:r w:rsidR="003202B7" w:rsidRPr="00CC5D1E">
        <w:t xml:space="preserve"> </w:t>
      </w:r>
      <w:r w:rsidRPr="00CC5D1E">
        <w:t>Амалфея, 2007.- 800с.</w:t>
      </w:r>
    </w:p>
    <w:p w:rsidR="00A04C4B" w:rsidRPr="00CC5D1E" w:rsidRDefault="00A04C4B" w:rsidP="003202B7">
      <w:pPr>
        <w:spacing w:line="360" w:lineRule="auto"/>
        <w:jc w:val="both"/>
      </w:pPr>
      <w:r w:rsidRPr="00CC5D1E">
        <w:t>4</w:t>
      </w:r>
      <w:r w:rsidR="003202B7" w:rsidRPr="00CC5D1E">
        <w:t>.</w:t>
      </w:r>
      <w:r w:rsidRPr="00CC5D1E">
        <w:t xml:space="preserve"> Панкратов П.Г. Бухгалтерский учет, анализ и аудит : учеб, пособие; Под общ. ред.</w:t>
      </w:r>
      <w:r w:rsidR="003202B7" w:rsidRPr="00CC5D1E">
        <w:t xml:space="preserve"> П.</w:t>
      </w:r>
      <w:r w:rsidRPr="00CC5D1E">
        <w:t>Г. Панкратова, Минск : Выш. шк., 2006. - 527 с.</w:t>
      </w:r>
    </w:p>
    <w:p w:rsidR="00A04C4B" w:rsidRPr="00CC5D1E" w:rsidRDefault="00A04C4B" w:rsidP="003202B7">
      <w:pPr>
        <w:spacing w:line="360" w:lineRule="auto"/>
        <w:jc w:val="both"/>
      </w:pPr>
      <w:r w:rsidRPr="00CC5D1E">
        <w:t>5</w:t>
      </w:r>
      <w:r w:rsidR="003202B7" w:rsidRPr="00CC5D1E">
        <w:t>.</w:t>
      </w:r>
      <w:r w:rsidRPr="00CC5D1E">
        <w:t xml:space="preserve"> Стражева Н.С., Стражев А.В. Бухгалтерский учёт: Учеб.-методическое пособие,</w:t>
      </w:r>
      <w:r w:rsidR="003202B7" w:rsidRPr="00CC5D1E">
        <w:t xml:space="preserve"> </w:t>
      </w:r>
      <w:r w:rsidRPr="00CC5D1E">
        <w:t>Под ред. Стражева, А.В. Стражев. - 2-е изд., перераб. и доп. Мн.: Книжный Дом, 2004. - 432 с.</w:t>
      </w:r>
    </w:p>
    <w:p w:rsidR="00A04C4B" w:rsidRPr="00CC5D1E" w:rsidRDefault="00A04C4B" w:rsidP="003202B7">
      <w:pPr>
        <w:spacing w:line="360" w:lineRule="auto"/>
        <w:jc w:val="both"/>
      </w:pPr>
      <w:r w:rsidRPr="00CC5D1E">
        <w:t>6</w:t>
      </w:r>
      <w:r w:rsidR="003202B7" w:rsidRPr="00CC5D1E">
        <w:t>.</w:t>
      </w:r>
      <w:r w:rsidRPr="00CC5D1E">
        <w:t xml:space="preserve"> Панкратов П.Г. Бухгалтерский учет, анализ и аудит : учеб, пособие</w:t>
      </w:r>
      <w:r w:rsidR="003202B7" w:rsidRPr="00CC5D1E">
        <w:t>; Под общ. ред. П.</w:t>
      </w:r>
      <w:r w:rsidRPr="00CC5D1E">
        <w:t>Г. Панкратова, Минск : Выш. шк., 2006. - 527 с.</w:t>
      </w:r>
    </w:p>
    <w:p w:rsidR="00A04C4B" w:rsidRPr="00CC5D1E" w:rsidRDefault="00A04C4B" w:rsidP="003202B7">
      <w:pPr>
        <w:spacing w:line="360" w:lineRule="auto"/>
        <w:jc w:val="both"/>
      </w:pPr>
      <w:r w:rsidRPr="00CC5D1E">
        <w:t>7</w:t>
      </w:r>
      <w:r w:rsidR="003202B7" w:rsidRPr="00CC5D1E">
        <w:t>.</w:t>
      </w:r>
      <w:r w:rsidRPr="00CC5D1E">
        <w:t xml:space="preserve"> Постановление Министерства труда РБ от 27.03.2006 №37</w:t>
      </w:r>
      <w:r w:rsidR="003202B7" w:rsidRPr="00CC5D1E">
        <w:t>.</w:t>
      </w:r>
    </w:p>
    <w:p w:rsidR="00A04C4B" w:rsidRPr="00CC5D1E" w:rsidRDefault="00A04C4B" w:rsidP="003202B7">
      <w:pPr>
        <w:spacing w:line="360" w:lineRule="auto"/>
        <w:jc w:val="both"/>
      </w:pPr>
      <w:r w:rsidRPr="00CC5D1E">
        <w:t>8</w:t>
      </w:r>
      <w:r w:rsidR="003202B7" w:rsidRPr="00CC5D1E">
        <w:t>.</w:t>
      </w:r>
      <w:r w:rsidRPr="00CC5D1E">
        <w:t xml:space="preserve"> Постановление Совета Министров РБ №115 от 15.01.1999, с учётом изменений и дополнений от 14.07.2004</w:t>
      </w:r>
      <w:r w:rsidR="003202B7" w:rsidRPr="00CC5D1E">
        <w:t>.</w:t>
      </w:r>
    </w:p>
    <w:p w:rsidR="00A04C4B" w:rsidRPr="00CC5D1E" w:rsidRDefault="00A04C4B" w:rsidP="003202B7">
      <w:pPr>
        <w:spacing w:line="360" w:lineRule="auto"/>
        <w:jc w:val="both"/>
      </w:pPr>
      <w:r w:rsidRPr="00CC5D1E">
        <w:t>9</w:t>
      </w:r>
      <w:r w:rsidR="003202B7" w:rsidRPr="00CC5D1E">
        <w:t>.</w:t>
      </w:r>
      <w:r w:rsidRPr="00CC5D1E">
        <w:t xml:space="preserve"> Инструкция о порядке реализации взимания подоходного налога с физических лиц и формах налогового учёта, утверждённой постановлением Министерства по налогам и сборам РБ от 28.02.2006 г. №33</w:t>
      </w:r>
      <w:r w:rsidR="003202B7" w:rsidRPr="00CC5D1E">
        <w:t>.</w:t>
      </w:r>
      <w:bookmarkStart w:id="0" w:name="_GoBack"/>
      <w:bookmarkEnd w:id="0"/>
    </w:p>
    <w:sectPr w:rsidR="00A04C4B" w:rsidRPr="00CC5D1E" w:rsidSect="00CC5D1E">
      <w:type w:val="continuous"/>
      <w:pgSz w:w="11906" w:h="16838" w:code="9"/>
      <w:pgMar w:top="1134" w:right="851" w:bottom="1134" w:left="1701" w:header="567" w:footer="567" w:gutter="0"/>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88" w:rsidRDefault="00585C88">
      <w:r>
        <w:separator/>
      </w:r>
    </w:p>
  </w:endnote>
  <w:endnote w:type="continuationSeparator" w:id="0">
    <w:p w:rsidR="00585C88" w:rsidRDefault="0058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88" w:rsidRDefault="00585C88">
      <w:r>
        <w:separator/>
      </w:r>
    </w:p>
  </w:footnote>
  <w:footnote w:type="continuationSeparator" w:id="0">
    <w:p w:rsidR="00585C88" w:rsidRDefault="0058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30CCB"/>
    <w:multiLevelType w:val="multilevel"/>
    <w:tmpl w:val="13A022D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245"/>
        </w:tabs>
        <w:ind w:left="124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45"/>
        </w:tabs>
        <w:ind w:left="3345" w:hanging="1440"/>
      </w:pPr>
      <w:rPr>
        <w:rFonts w:hint="default"/>
      </w:rPr>
    </w:lvl>
    <w:lvl w:ilvl="6">
      <w:start w:val="1"/>
      <w:numFmt w:val="decimal"/>
      <w:isLgl/>
      <w:lvlText w:val="%1.%2.%3.%4.%5.%6.%7."/>
      <w:lvlJc w:val="left"/>
      <w:pPr>
        <w:tabs>
          <w:tab w:val="num" w:pos="4050"/>
        </w:tabs>
        <w:ind w:left="4050" w:hanging="1800"/>
      </w:pPr>
      <w:rPr>
        <w:rFonts w:hint="default"/>
      </w:rPr>
    </w:lvl>
    <w:lvl w:ilvl="7">
      <w:start w:val="1"/>
      <w:numFmt w:val="decimal"/>
      <w:isLgl/>
      <w:lvlText w:val="%1.%2.%3.%4.%5.%6.%7.%8."/>
      <w:lvlJc w:val="left"/>
      <w:pPr>
        <w:tabs>
          <w:tab w:val="num" w:pos="4395"/>
        </w:tabs>
        <w:ind w:left="4395" w:hanging="1800"/>
      </w:pPr>
      <w:rPr>
        <w:rFonts w:hint="default"/>
      </w:rPr>
    </w:lvl>
    <w:lvl w:ilvl="8">
      <w:start w:val="1"/>
      <w:numFmt w:val="decimal"/>
      <w:isLgl/>
      <w:lvlText w:val="%1.%2.%3.%4.%5.%6.%7.%8.%9."/>
      <w:lvlJc w:val="left"/>
      <w:pPr>
        <w:tabs>
          <w:tab w:val="num" w:pos="5100"/>
        </w:tabs>
        <w:ind w:left="5100" w:hanging="2160"/>
      </w:pPr>
      <w:rPr>
        <w:rFonts w:hint="default"/>
      </w:rPr>
    </w:lvl>
  </w:abstractNum>
  <w:abstractNum w:abstractNumId="1">
    <w:nsid w:val="43C35ED6"/>
    <w:multiLevelType w:val="multilevel"/>
    <w:tmpl w:val="207EF6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F5"/>
    <w:rsid w:val="0006739C"/>
    <w:rsid w:val="00096CEB"/>
    <w:rsid w:val="000D00EE"/>
    <w:rsid w:val="001964BF"/>
    <w:rsid w:val="00234044"/>
    <w:rsid w:val="002E051E"/>
    <w:rsid w:val="003202B7"/>
    <w:rsid w:val="003F3023"/>
    <w:rsid w:val="00585C88"/>
    <w:rsid w:val="00605A38"/>
    <w:rsid w:val="0066627B"/>
    <w:rsid w:val="007E7C0E"/>
    <w:rsid w:val="00886700"/>
    <w:rsid w:val="0093746E"/>
    <w:rsid w:val="00971C21"/>
    <w:rsid w:val="00A04C4B"/>
    <w:rsid w:val="00A24206"/>
    <w:rsid w:val="00A96271"/>
    <w:rsid w:val="00BC3E70"/>
    <w:rsid w:val="00C820F5"/>
    <w:rsid w:val="00CC5D1E"/>
    <w:rsid w:val="00D0661B"/>
    <w:rsid w:val="00E351AA"/>
    <w:rsid w:val="00E371A0"/>
    <w:rsid w:val="00E81252"/>
    <w:rsid w:val="00EC2D9B"/>
    <w:rsid w:val="00F21B00"/>
    <w:rsid w:val="00F4789B"/>
    <w:rsid w:val="00F82BA9"/>
    <w:rsid w:val="00F853D7"/>
    <w:rsid w:val="00F8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FA9C8-DD10-40D0-8D95-53E6EDD3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4B"/>
    <w:rPr>
      <w:sz w:val="28"/>
      <w:szCs w:val="28"/>
    </w:rPr>
  </w:style>
  <w:style w:type="paragraph" w:styleId="3">
    <w:name w:val="heading 3"/>
    <w:basedOn w:val="a"/>
    <w:next w:val="a"/>
    <w:link w:val="30"/>
    <w:uiPriority w:val="99"/>
    <w:qFormat/>
    <w:rsid w:val="003F3023"/>
    <w:pPr>
      <w:keepNext/>
      <w:ind w:firstLine="567"/>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A04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04C4B"/>
    <w:pPr>
      <w:spacing w:line="360" w:lineRule="auto"/>
      <w:jc w:val="center"/>
    </w:pPr>
    <w:rPr>
      <w:lang w:eastAsia="zh-CN"/>
    </w:rPr>
  </w:style>
  <w:style w:type="paragraph" w:styleId="a6">
    <w:name w:val="Title"/>
    <w:basedOn w:val="a"/>
    <w:link w:val="a7"/>
    <w:uiPriority w:val="99"/>
    <w:qFormat/>
    <w:rsid w:val="00A04C4B"/>
    <w:pPr>
      <w:jc w:val="center"/>
    </w:pPr>
    <w:rPr>
      <w:caps/>
    </w:rPr>
  </w:style>
  <w:style w:type="character" w:customStyle="1" w:styleId="a5">
    <w:name w:val="Основной текст Знак"/>
    <w:link w:val="a4"/>
    <w:uiPriority w:val="99"/>
    <w:locked/>
    <w:rsid w:val="00A04C4B"/>
    <w:rPr>
      <w:sz w:val="28"/>
      <w:szCs w:val="28"/>
      <w:lang w:val="ru-RU" w:eastAsia="zh-CN"/>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A04C4B"/>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A04C4B"/>
  </w:style>
  <w:style w:type="paragraph" w:styleId="ab">
    <w:name w:val="header"/>
    <w:basedOn w:val="a"/>
    <w:link w:val="ac"/>
    <w:uiPriority w:val="99"/>
    <w:rsid w:val="00A04C4B"/>
    <w:pPr>
      <w:tabs>
        <w:tab w:val="center" w:pos="4677"/>
        <w:tab w:val="right" w:pos="9355"/>
      </w:tabs>
    </w:pPr>
  </w:style>
  <w:style w:type="character" w:customStyle="1" w:styleId="ac">
    <w:name w:val="Верхний колонтитул Знак"/>
    <w:link w:val="ab"/>
    <w:uiPriority w:val="99"/>
    <w:semiHidden/>
    <w:rPr>
      <w:sz w:val="28"/>
      <w:szCs w:val="28"/>
    </w:rPr>
  </w:style>
  <w:style w:type="paragraph" w:styleId="ad">
    <w:name w:val="Body Text Indent"/>
    <w:basedOn w:val="a"/>
    <w:link w:val="ae"/>
    <w:uiPriority w:val="99"/>
    <w:rsid w:val="003F3023"/>
    <w:pPr>
      <w:spacing w:after="120"/>
      <w:ind w:left="283"/>
    </w:pPr>
  </w:style>
  <w:style w:type="character" w:customStyle="1" w:styleId="ae">
    <w:name w:val="Основной текст с отступом Знак"/>
    <w:link w:val="ad"/>
    <w:uiPriority w:val="99"/>
    <w:semiHidden/>
    <w:rPr>
      <w:sz w:val="28"/>
      <w:szCs w:val="28"/>
    </w:rPr>
  </w:style>
  <w:style w:type="paragraph" w:styleId="af">
    <w:name w:val="Balloon Text"/>
    <w:basedOn w:val="a"/>
    <w:link w:val="af0"/>
    <w:uiPriority w:val="99"/>
    <w:semiHidden/>
    <w:rsid w:val="00096CEB"/>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4750</Words>
  <Characters>27077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ТРАНСПОРТА</vt:lpstr>
    </vt:vector>
  </TitlesOfParts>
  <Company>Ep</Company>
  <LinksUpToDate>false</LinksUpToDate>
  <CharactersWithSpaces>31764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ТРАНСПОРТА</dc:title>
  <dc:subject/>
  <dc:creator>Любимый Саша </dc:creator>
  <cp:keywords/>
  <dc:description/>
  <cp:lastModifiedBy>admin</cp:lastModifiedBy>
  <cp:revision>2</cp:revision>
  <cp:lastPrinted>2008-11-20T19:23:00Z</cp:lastPrinted>
  <dcterms:created xsi:type="dcterms:W3CDTF">2014-03-03T17:51:00Z</dcterms:created>
  <dcterms:modified xsi:type="dcterms:W3CDTF">2014-03-03T17:51:00Z</dcterms:modified>
</cp:coreProperties>
</file>