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53A" w:rsidRDefault="000E453A">
      <w:pPr>
        <w:tabs>
          <w:tab w:val="left" w:pos="851"/>
        </w:tabs>
        <w:spacing w:before="0" w:after="0" w:line="360" w:lineRule="auto"/>
        <w:jc w:val="center"/>
        <w:rPr>
          <w:sz w:val="28"/>
          <w:szCs w:val="28"/>
          <w:lang w:val="ru-RU"/>
        </w:rPr>
      </w:pPr>
      <w:r>
        <w:rPr>
          <w:sz w:val="28"/>
          <w:szCs w:val="28"/>
          <w:lang w:val="ru-RU"/>
        </w:rPr>
        <w:t>Министерство образования и науки Российской Федерации</w:t>
      </w:r>
    </w:p>
    <w:p w:rsidR="000E453A" w:rsidRDefault="000E453A">
      <w:pPr>
        <w:tabs>
          <w:tab w:val="left" w:pos="851"/>
        </w:tabs>
        <w:spacing w:before="0" w:after="0" w:line="360" w:lineRule="auto"/>
        <w:jc w:val="center"/>
        <w:rPr>
          <w:sz w:val="28"/>
          <w:szCs w:val="28"/>
          <w:lang w:val="ru-RU"/>
        </w:rPr>
      </w:pPr>
      <w:r>
        <w:rPr>
          <w:sz w:val="28"/>
          <w:szCs w:val="28"/>
          <w:lang w:val="ru-RU"/>
        </w:rPr>
        <w:t>Хабаровская государственная академия экономики и права</w:t>
      </w:r>
    </w:p>
    <w:p w:rsidR="000E453A" w:rsidRDefault="000E453A">
      <w:pPr>
        <w:tabs>
          <w:tab w:val="left" w:pos="851"/>
        </w:tabs>
        <w:spacing w:before="0" w:after="0" w:line="360" w:lineRule="auto"/>
        <w:jc w:val="center"/>
        <w:rPr>
          <w:sz w:val="28"/>
          <w:szCs w:val="28"/>
          <w:lang w:val="ru-RU"/>
        </w:rPr>
      </w:pPr>
      <w:r>
        <w:rPr>
          <w:sz w:val="28"/>
          <w:szCs w:val="28"/>
          <w:lang w:val="ru-RU"/>
        </w:rPr>
        <w:t>Факультет бухгалтерского учета и аудита</w:t>
      </w:r>
    </w:p>
    <w:p w:rsidR="000E453A" w:rsidRDefault="000E453A">
      <w:pPr>
        <w:tabs>
          <w:tab w:val="left" w:pos="851"/>
        </w:tabs>
        <w:spacing w:before="0" w:after="0" w:line="360" w:lineRule="auto"/>
        <w:jc w:val="right"/>
        <w:rPr>
          <w:sz w:val="28"/>
          <w:szCs w:val="28"/>
          <w:lang w:val="ru-RU"/>
        </w:rPr>
      </w:pPr>
      <w:r>
        <w:rPr>
          <w:sz w:val="28"/>
          <w:szCs w:val="28"/>
          <w:lang w:val="ru-RU"/>
        </w:rPr>
        <w:t>Рынок ценных бумаг и биржевое дело</w:t>
      </w:r>
    </w:p>
    <w:p w:rsidR="000E453A" w:rsidRDefault="000E453A">
      <w:pPr>
        <w:tabs>
          <w:tab w:val="left" w:pos="851"/>
        </w:tabs>
        <w:spacing w:before="0" w:after="0" w:line="360" w:lineRule="auto"/>
        <w:jc w:val="center"/>
        <w:rPr>
          <w:sz w:val="28"/>
          <w:szCs w:val="28"/>
          <w:lang w:val="ru-RU"/>
        </w:rPr>
      </w:pPr>
    </w:p>
    <w:p w:rsidR="000E453A" w:rsidRDefault="000E453A">
      <w:pPr>
        <w:tabs>
          <w:tab w:val="left" w:pos="851"/>
        </w:tabs>
        <w:spacing w:before="0" w:after="0" w:line="360" w:lineRule="auto"/>
        <w:jc w:val="center"/>
        <w:rPr>
          <w:sz w:val="28"/>
          <w:szCs w:val="28"/>
          <w:lang w:val="ru-RU"/>
        </w:rPr>
      </w:pPr>
    </w:p>
    <w:p w:rsidR="000E453A" w:rsidRDefault="000E453A">
      <w:pPr>
        <w:tabs>
          <w:tab w:val="left" w:pos="851"/>
        </w:tabs>
        <w:spacing w:before="0" w:after="0" w:line="360" w:lineRule="auto"/>
        <w:jc w:val="center"/>
        <w:rPr>
          <w:sz w:val="28"/>
          <w:szCs w:val="28"/>
          <w:lang w:val="ru-RU"/>
        </w:rPr>
      </w:pPr>
    </w:p>
    <w:p w:rsidR="000E453A" w:rsidRDefault="000E453A">
      <w:pPr>
        <w:tabs>
          <w:tab w:val="left" w:pos="851"/>
        </w:tabs>
        <w:spacing w:before="0" w:after="0" w:line="360" w:lineRule="auto"/>
        <w:jc w:val="center"/>
        <w:rPr>
          <w:sz w:val="28"/>
          <w:szCs w:val="28"/>
          <w:lang w:val="ru-RU"/>
        </w:rPr>
      </w:pPr>
      <w:r>
        <w:rPr>
          <w:sz w:val="28"/>
          <w:szCs w:val="28"/>
          <w:lang w:val="ru-RU"/>
        </w:rPr>
        <w:t xml:space="preserve">Контрольная работа </w:t>
      </w:r>
    </w:p>
    <w:p w:rsidR="000E453A" w:rsidRDefault="000E453A">
      <w:pPr>
        <w:tabs>
          <w:tab w:val="left" w:pos="851"/>
        </w:tabs>
        <w:spacing w:before="0" w:after="0" w:line="360" w:lineRule="auto"/>
        <w:jc w:val="center"/>
        <w:rPr>
          <w:b/>
          <w:bCs/>
          <w:sz w:val="32"/>
          <w:szCs w:val="32"/>
          <w:lang w:val="ru-RU"/>
        </w:rPr>
      </w:pPr>
    </w:p>
    <w:p w:rsidR="000E453A" w:rsidRDefault="000E453A">
      <w:pPr>
        <w:pStyle w:val="a3"/>
        <w:spacing w:line="360" w:lineRule="auto"/>
        <w:jc w:val="center"/>
        <w:rPr>
          <w:b/>
          <w:bCs/>
          <w:kern w:val="28"/>
          <w:sz w:val="40"/>
          <w:szCs w:val="40"/>
          <w:lang w:val="ru-RU"/>
        </w:rPr>
      </w:pPr>
      <w:r>
        <w:rPr>
          <w:b/>
          <w:bCs/>
          <w:kern w:val="28"/>
          <w:sz w:val="40"/>
          <w:szCs w:val="40"/>
          <w:lang w:val="ru-RU"/>
        </w:rPr>
        <w:t>Виды государственных облигаций, их функции и значение</w:t>
      </w:r>
    </w:p>
    <w:p w:rsidR="000E453A" w:rsidRDefault="000E453A">
      <w:pPr>
        <w:pStyle w:val="a3"/>
        <w:spacing w:line="360" w:lineRule="auto"/>
        <w:ind w:firstLine="5670"/>
        <w:rPr>
          <w:lang w:val="ru-RU"/>
        </w:rPr>
      </w:pPr>
    </w:p>
    <w:p w:rsidR="000E453A" w:rsidRDefault="000E453A">
      <w:pPr>
        <w:pStyle w:val="a3"/>
        <w:spacing w:line="360" w:lineRule="auto"/>
        <w:ind w:firstLine="5670"/>
        <w:rPr>
          <w:lang w:val="ru-RU"/>
        </w:rPr>
      </w:pPr>
    </w:p>
    <w:p w:rsidR="000E453A" w:rsidRDefault="000E453A">
      <w:pPr>
        <w:pStyle w:val="a3"/>
        <w:spacing w:line="360" w:lineRule="auto"/>
        <w:ind w:firstLine="5670"/>
        <w:rPr>
          <w:lang w:val="ru-RU"/>
        </w:rPr>
      </w:pPr>
    </w:p>
    <w:p w:rsidR="000E453A" w:rsidRDefault="000E453A">
      <w:pPr>
        <w:pStyle w:val="a3"/>
        <w:spacing w:line="360" w:lineRule="auto"/>
        <w:ind w:firstLine="5670"/>
        <w:rPr>
          <w:lang w:val="ru-RU"/>
        </w:rPr>
      </w:pPr>
    </w:p>
    <w:p w:rsidR="000E453A" w:rsidRDefault="000E453A">
      <w:pPr>
        <w:pStyle w:val="a3"/>
        <w:spacing w:line="360" w:lineRule="auto"/>
        <w:ind w:firstLine="5670"/>
        <w:rPr>
          <w:lang w:val="ru-RU"/>
        </w:rPr>
      </w:pPr>
    </w:p>
    <w:p w:rsidR="000E453A" w:rsidRDefault="000E453A">
      <w:pPr>
        <w:pStyle w:val="a3"/>
        <w:spacing w:line="360" w:lineRule="auto"/>
        <w:ind w:firstLine="5670"/>
        <w:rPr>
          <w:lang w:val="ru-RU"/>
        </w:rPr>
      </w:pPr>
    </w:p>
    <w:p w:rsidR="000E453A" w:rsidRDefault="000E453A">
      <w:pPr>
        <w:pStyle w:val="a5"/>
        <w:spacing w:line="360" w:lineRule="auto"/>
        <w:rPr>
          <w:lang w:val="ru-RU"/>
        </w:rPr>
      </w:pPr>
    </w:p>
    <w:p w:rsidR="000E453A" w:rsidRDefault="000E453A">
      <w:pPr>
        <w:pStyle w:val="a5"/>
        <w:spacing w:line="360" w:lineRule="auto"/>
        <w:rPr>
          <w:lang w:val="ru-RU"/>
        </w:rPr>
      </w:pPr>
    </w:p>
    <w:p w:rsidR="000E453A" w:rsidRDefault="000E453A">
      <w:pPr>
        <w:pStyle w:val="a5"/>
        <w:spacing w:line="360" w:lineRule="auto"/>
        <w:rPr>
          <w:lang w:val="ru-RU"/>
        </w:rPr>
      </w:pPr>
    </w:p>
    <w:p w:rsidR="000E453A" w:rsidRDefault="000E453A">
      <w:pPr>
        <w:pStyle w:val="a5"/>
        <w:spacing w:line="360" w:lineRule="auto"/>
        <w:rPr>
          <w:lang w:val="ru-RU"/>
        </w:rPr>
      </w:pPr>
    </w:p>
    <w:p w:rsidR="000E453A" w:rsidRDefault="000E453A">
      <w:pPr>
        <w:pStyle w:val="a5"/>
        <w:spacing w:line="360" w:lineRule="auto"/>
        <w:rPr>
          <w:lang w:val="ru-RU"/>
        </w:rPr>
      </w:pPr>
    </w:p>
    <w:p w:rsidR="000E453A" w:rsidRDefault="000E453A">
      <w:pPr>
        <w:pStyle w:val="a5"/>
        <w:spacing w:line="360" w:lineRule="auto"/>
        <w:rPr>
          <w:lang w:val="ru-RU"/>
        </w:rPr>
      </w:pPr>
    </w:p>
    <w:p w:rsidR="000E453A" w:rsidRDefault="000E453A">
      <w:pPr>
        <w:pStyle w:val="a5"/>
        <w:spacing w:line="360" w:lineRule="auto"/>
        <w:rPr>
          <w:lang w:val="ru-RU"/>
        </w:rPr>
      </w:pPr>
    </w:p>
    <w:p w:rsidR="000E453A" w:rsidRDefault="000E453A">
      <w:pPr>
        <w:pStyle w:val="a5"/>
        <w:spacing w:line="360" w:lineRule="auto"/>
        <w:rPr>
          <w:lang w:val="ru-RU"/>
        </w:rPr>
      </w:pPr>
    </w:p>
    <w:p w:rsidR="000E453A" w:rsidRDefault="000E453A">
      <w:pPr>
        <w:pStyle w:val="a5"/>
        <w:spacing w:line="360" w:lineRule="auto"/>
        <w:rPr>
          <w:lang w:val="ru-RU"/>
        </w:rPr>
      </w:pPr>
    </w:p>
    <w:p w:rsidR="000E453A" w:rsidRDefault="000E453A">
      <w:pPr>
        <w:pStyle w:val="a5"/>
        <w:spacing w:line="360" w:lineRule="auto"/>
        <w:rPr>
          <w:lang w:val="ru-RU"/>
        </w:rPr>
      </w:pPr>
      <w:r>
        <w:rPr>
          <w:lang w:val="ru-RU"/>
        </w:rPr>
        <w:t>Южно-Сахалинск 2006</w:t>
      </w:r>
    </w:p>
    <w:p w:rsidR="000E453A" w:rsidRDefault="000E453A">
      <w:pPr>
        <w:pStyle w:val="a5"/>
        <w:spacing w:line="360" w:lineRule="auto"/>
        <w:rPr>
          <w:b/>
          <w:bCs/>
          <w:lang w:val="ru-RU"/>
        </w:rPr>
      </w:pPr>
      <w:r>
        <w:rPr>
          <w:lang w:val="ru-RU"/>
        </w:rPr>
        <w:br w:type="page"/>
      </w:r>
      <w:r>
        <w:rPr>
          <w:b/>
          <w:bCs/>
          <w:lang w:val="ru-RU"/>
        </w:rPr>
        <w:t>Содержание</w:t>
      </w:r>
    </w:p>
    <w:p w:rsidR="000E453A" w:rsidRDefault="000E453A">
      <w:pPr>
        <w:pStyle w:val="a9"/>
      </w:pPr>
    </w:p>
    <w:p w:rsidR="000E453A" w:rsidRDefault="000E453A">
      <w:pPr>
        <w:pStyle w:val="10"/>
        <w:tabs>
          <w:tab w:val="right" w:leader="dot" w:pos="9061"/>
        </w:tabs>
        <w:rPr>
          <w:noProof/>
          <w:sz w:val="24"/>
          <w:szCs w:val="24"/>
          <w:lang w:val="ru-RU"/>
        </w:rPr>
      </w:pPr>
      <w:r w:rsidRPr="000764D1">
        <w:rPr>
          <w:rStyle w:val="ac"/>
          <w:noProof/>
          <w:lang w:val="ru-RU"/>
        </w:rPr>
        <w:t>Введение</w:t>
      </w:r>
      <w:r>
        <w:rPr>
          <w:noProof/>
          <w:webHidden/>
        </w:rPr>
        <w:tab/>
        <w:t>3</w:t>
      </w:r>
    </w:p>
    <w:p w:rsidR="000E453A" w:rsidRDefault="000E453A">
      <w:pPr>
        <w:pStyle w:val="10"/>
        <w:tabs>
          <w:tab w:val="right" w:leader="dot" w:pos="9061"/>
        </w:tabs>
        <w:rPr>
          <w:noProof/>
          <w:sz w:val="24"/>
          <w:szCs w:val="24"/>
          <w:lang w:val="ru-RU"/>
        </w:rPr>
      </w:pPr>
      <w:r w:rsidRPr="000764D1">
        <w:rPr>
          <w:rStyle w:val="ac"/>
          <w:noProof/>
          <w:lang w:val="ru-RU"/>
        </w:rPr>
        <w:t>1 Облигации как вид ценных бумаг</w:t>
      </w:r>
      <w:r>
        <w:rPr>
          <w:noProof/>
          <w:webHidden/>
        </w:rPr>
        <w:tab/>
        <w:t>5</w:t>
      </w:r>
    </w:p>
    <w:p w:rsidR="000E453A" w:rsidRDefault="000E453A">
      <w:pPr>
        <w:pStyle w:val="10"/>
        <w:tabs>
          <w:tab w:val="right" w:leader="dot" w:pos="9061"/>
        </w:tabs>
        <w:rPr>
          <w:noProof/>
          <w:sz w:val="24"/>
          <w:szCs w:val="24"/>
          <w:lang w:val="ru-RU"/>
        </w:rPr>
      </w:pPr>
      <w:r w:rsidRPr="000764D1">
        <w:rPr>
          <w:rStyle w:val="ac"/>
          <w:noProof/>
          <w:lang w:val="ru-RU"/>
        </w:rPr>
        <w:t>2 Виды облигаций</w:t>
      </w:r>
      <w:r>
        <w:rPr>
          <w:noProof/>
          <w:webHidden/>
        </w:rPr>
        <w:tab/>
        <w:t>6</w:t>
      </w:r>
    </w:p>
    <w:p w:rsidR="000E453A" w:rsidRDefault="000E453A">
      <w:pPr>
        <w:pStyle w:val="10"/>
        <w:tabs>
          <w:tab w:val="right" w:leader="dot" w:pos="9061"/>
        </w:tabs>
        <w:rPr>
          <w:noProof/>
          <w:sz w:val="24"/>
          <w:szCs w:val="24"/>
          <w:lang w:val="ru-RU"/>
        </w:rPr>
      </w:pPr>
      <w:r w:rsidRPr="000764D1">
        <w:rPr>
          <w:rStyle w:val="ac"/>
          <w:noProof/>
          <w:lang w:val="ru-RU"/>
        </w:rPr>
        <w:t>3 Современные российские государственные облигации</w:t>
      </w:r>
      <w:r>
        <w:rPr>
          <w:noProof/>
          <w:webHidden/>
        </w:rPr>
        <w:tab/>
        <w:t>7</w:t>
      </w:r>
    </w:p>
    <w:p w:rsidR="000E453A" w:rsidRDefault="000E453A">
      <w:pPr>
        <w:pStyle w:val="23"/>
        <w:tabs>
          <w:tab w:val="right" w:leader="dot" w:pos="9061"/>
        </w:tabs>
        <w:ind w:left="0"/>
        <w:rPr>
          <w:noProof/>
          <w:sz w:val="24"/>
          <w:szCs w:val="24"/>
          <w:lang w:val="ru-RU"/>
        </w:rPr>
      </w:pPr>
      <w:r w:rsidRPr="000764D1">
        <w:rPr>
          <w:rStyle w:val="ac"/>
          <w:noProof/>
        </w:rPr>
        <w:t>4 Характеристика и тенденции развития рынка государственных облигаций в РФ</w:t>
      </w:r>
      <w:r>
        <w:rPr>
          <w:noProof/>
          <w:webHidden/>
        </w:rPr>
        <w:tab/>
        <w:t>12</w:t>
      </w:r>
    </w:p>
    <w:p w:rsidR="000E453A" w:rsidRDefault="000E453A">
      <w:pPr>
        <w:pStyle w:val="10"/>
        <w:tabs>
          <w:tab w:val="right" w:leader="dot" w:pos="9061"/>
        </w:tabs>
        <w:rPr>
          <w:noProof/>
          <w:sz w:val="24"/>
          <w:szCs w:val="24"/>
          <w:lang w:val="ru-RU"/>
        </w:rPr>
      </w:pPr>
      <w:r w:rsidRPr="000764D1">
        <w:rPr>
          <w:rStyle w:val="ac"/>
          <w:noProof/>
          <w:lang w:val="ru-RU"/>
        </w:rPr>
        <w:t>Выводы</w:t>
      </w:r>
      <w:r>
        <w:rPr>
          <w:noProof/>
          <w:webHidden/>
        </w:rPr>
        <w:tab/>
        <w:t>14</w:t>
      </w:r>
    </w:p>
    <w:p w:rsidR="000E453A" w:rsidRDefault="000E453A">
      <w:pPr>
        <w:pStyle w:val="10"/>
        <w:tabs>
          <w:tab w:val="right" w:leader="dot" w:pos="9061"/>
        </w:tabs>
        <w:rPr>
          <w:noProof/>
          <w:sz w:val="24"/>
          <w:szCs w:val="24"/>
          <w:lang w:val="ru-RU"/>
        </w:rPr>
      </w:pPr>
      <w:r w:rsidRPr="000764D1">
        <w:rPr>
          <w:rStyle w:val="ac"/>
          <w:noProof/>
          <w:lang w:val="ru-RU"/>
        </w:rPr>
        <w:t>Литература</w:t>
      </w:r>
      <w:r>
        <w:rPr>
          <w:noProof/>
          <w:webHidden/>
        </w:rPr>
        <w:tab/>
        <w:t>15</w:t>
      </w:r>
    </w:p>
    <w:p w:rsidR="000E453A" w:rsidRDefault="000E453A">
      <w:pPr>
        <w:pStyle w:val="a9"/>
        <w:ind w:firstLine="0"/>
      </w:pPr>
    </w:p>
    <w:p w:rsidR="000E453A" w:rsidRDefault="000E453A">
      <w:pPr>
        <w:pStyle w:val="a9"/>
      </w:pPr>
    </w:p>
    <w:p w:rsidR="000E453A" w:rsidRDefault="000E453A">
      <w:pPr>
        <w:pStyle w:val="a9"/>
      </w:pPr>
    </w:p>
    <w:p w:rsidR="000E453A" w:rsidRDefault="000E453A">
      <w:pPr>
        <w:pStyle w:val="a9"/>
      </w:pPr>
    </w:p>
    <w:p w:rsidR="000E453A" w:rsidRDefault="000E453A">
      <w:pPr>
        <w:pStyle w:val="a9"/>
      </w:pPr>
    </w:p>
    <w:p w:rsidR="000E453A" w:rsidRDefault="000E453A">
      <w:pPr>
        <w:pStyle w:val="1"/>
        <w:rPr>
          <w:lang w:val="ru-RU"/>
        </w:rPr>
      </w:pPr>
    </w:p>
    <w:p w:rsidR="000E453A" w:rsidRDefault="000E453A">
      <w:pPr>
        <w:pStyle w:val="1"/>
        <w:rPr>
          <w:lang w:val="ru-RU"/>
        </w:rPr>
      </w:pPr>
    </w:p>
    <w:p w:rsidR="000E453A" w:rsidRDefault="000E453A">
      <w:pPr>
        <w:pStyle w:val="1"/>
        <w:rPr>
          <w:lang w:val="ru-RU"/>
        </w:rPr>
      </w:pPr>
    </w:p>
    <w:p w:rsidR="000E453A" w:rsidRDefault="000E453A">
      <w:pPr>
        <w:pStyle w:val="1"/>
        <w:rPr>
          <w:lang w:val="ru-RU"/>
        </w:rPr>
      </w:pPr>
      <w:r>
        <w:rPr>
          <w:lang w:val="ru-RU"/>
        </w:rPr>
        <w:br w:type="page"/>
      </w:r>
      <w:bookmarkStart w:id="0" w:name="_Toc131563990"/>
      <w:r>
        <w:rPr>
          <w:lang w:val="ru-RU"/>
        </w:rPr>
        <w:t>Введение</w:t>
      </w:r>
      <w:bookmarkEnd w:id="0"/>
    </w:p>
    <w:p w:rsidR="000E453A" w:rsidRDefault="000E453A">
      <w:pPr>
        <w:pStyle w:val="a9"/>
      </w:pPr>
    </w:p>
    <w:p w:rsidR="000E453A" w:rsidRDefault="000E453A">
      <w:pPr>
        <w:pStyle w:val="af3"/>
      </w:pPr>
      <w:r>
        <w:t xml:space="preserve">Рынок ценных бумаг (фондовый рынок) — это часть финансового рынка (наряду с рынком ссудного капитала, валютным рынком и рынком золота). </w:t>
      </w:r>
    </w:p>
    <w:p w:rsidR="000E453A" w:rsidRDefault="000E453A">
      <w:pPr>
        <w:pStyle w:val="a9"/>
      </w:pPr>
      <w:r>
        <w:t>Ценные бумаги играют значительную роль в платежном обороте государства, в мобилизации инвестиций. Совокупность ценных бумаг в обращении составляет основу фондового рынка, который является регулирующим элементом экономики. Он способствует перемещению капитала от инвесторов, имеющих свободные денежные ресурсы, к эмитентам ценных бумаг. Рынок ценных бумаг является наиболее активной частью современного финансового рынка России и позволяет реализовать разнообразные интересы эмитентов, инвесторов и посредников. Значение рынка ценных бумаг как составной части финансового рынка продолжает возрастать.</w:t>
      </w:r>
    </w:p>
    <w:p w:rsidR="000E453A" w:rsidRDefault="000E453A">
      <w:pPr>
        <w:pStyle w:val="a9"/>
      </w:pPr>
      <w:r>
        <w:t>К ценным бумагам в РФ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w:t>
      </w:r>
    </w:p>
    <w:p w:rsidR="000E453A" w:rsidRDefault="000E453A">
      <w:pPr>
        <w:pStyle w:val="af3"/>
      </w:pPr>
      <w:r>
        <w:t xml:space="preserve">На фондовом рынке обращаются специфические финансовые инструменты — облигации. Облигационные займы размещают все — начиная с государства и заканчивая небольшими предприятиями. Этот сегмент фондового рынка не менее интересен, чем сектор акций — также возможны существенные прибыли, и есть большой выбор. </w:t>
      </w:r>
    </w:p>
    <w:p w:rsidR="000E453A" w:rsidRDefault="000E453A">
      <w:pPr>
        <w:pStyle w:val="af3"/>
      </w:pPr>
      <w:r>
        <w:t>Бурное становление и развитие рынка ценных бумаг в современной России на гребне обвальной приватизации вызвало к жизни большое число акционерных обществ, выпускающих акции и облигации. Нестабильная финансовая ситуация и бюджетный дефицит предопределили широкое распространение государственных и муниципальных ценных бумаг (в основ-ном облигаций).</w:t>
      </w:r>
    </w:p>
    <w:p w:rsidR="000E453A" w:rsidRDefault="000E453A">
      <w:pPr>
        <w:pStyle w:val="af3"/>
      </w:pPr>
      <w:r>
        <w:t>Что же такое — государственные облигации, каковы их функции и особенности? Ответу на этот вопрос и посвящена данная контрольная работа.</w:t>
      </w:r>
    </w:p>
    <w:p w:rsidR="000E453A" w:rsidRDefault="000E453A">
      <w:pPr>
        <w:pStyle w:val="a9"/>
      </w:pPr>
    </w:p>
    <w:p w:rsidR="000E453A" w:rsidRDefault="000E453A">
      <w:pPr>
        <w:pStyle w:val="a9"/>
      </w:pPr>
    </w:p>
    <w:p w:rsidR="000E453A" w:rsidRDefault="000E453A">
      <w:pPr>
        <w:pStyle w:val="1"/>
        <w:rPr>
          <w:lang w:val="ru-RU"/>
        </w:rPr>
      </w:pPr>
      <w:r>
        <w:rPr>
          <w:lang w:val="ru-RU"/>
        </w:rPr>
        <w:br w:type="page"/>
      </w:r>
      <w:bookmarkStart w:id="1" w:name="_Toc131563991"/>
      <w:r>
        <w:rPr>
          <w:lang w:val="ru-RU"/>
        </w:rPr>
        <w:t>1 Облигации как вид ценных бумаг</w:t>
      </w:r>
      <w:bookmarkEnd w:id="1"/>
    </w:p>
    <w:p w:rsidR="000E453A" w:rsidRDefault="000E453A">
      <w:pPr>
        <w:pStyle w:val="a9"/>
      </w:pPr>
    </w:p>
    <w:p w:rsidR="000E453A" w:rsidRDefault="000E453A">
      <w:pPr>
        <w:pStyle w:val="a9"/>
      </w:pPr>
      <w:r>
        <w:t xml:space="preserve">Облигация — эмиссионная ценная бумага, содержащая обязательство эмитента выплатить ее владельцу (кредитору) номинальную стоимость по окончании установленного срока и периодически выплачивать определенный процент от ее стоимости. </w:t>
      </w:r>
    </w:p>
    <w:p w:rsidR="000E453A" w:rsidRDefault="000E453A">
      <w:pPr>
        <w:pStyle w:val="a9"/>
      </w:pPr>
      <w:r>
        <w:t xml:space="preserve">Облигации выпускаются государством, местными органами власти или компаниями в форме ценных бумаг с фиксированной или переменной процентной ставкой. Большая часть облигаций не имеет обеспечения и не дает права на участие в управлении. </w:t>
      </w:r>
    </w:p>
    <w:p w:rsidR="000E453A" w:rsidRDefault="000E453A">
      <w:pPr>
        <w:pStyle w:val="a9"/>
      </w:pPr>
      <w:r>
        <w:t xml:space="preserve">Наиболее важное отличие облигации от акции состоит в том, что облигация представляет собой долговое обязательство эмитента, т.е. предоставленный ему кредит, оформленный в виде ценной бумаги. Все платежи по облигации эмитент должен осуществлять в первую очередь по сравнению с акциями и в обязательном порядке. Платежи обеспечиваются имуществом эмитента. </w:t>
      </w:r>
    </w:p>
    <w:p w:rsidR="000E453A" w:rsidRDefault="000E453A">
      <w:pPr>
        <w:pStyle w:val="a9"/>
      </w:pPr>
      <w:r>
        <w:t>В отличие от дивиденда по акциям, процент по облигациям является фиксированным. В отличие от инвестиций в акции, инвестиции в облигации не делают инвестора собственником выпустившей их компании. Процент по облигации выплачивают как минимум один раз в год независимо от финансового состояния эмитента.</w:t>
      </w:r>
    </w:p>
    <w:p w:rsidR="000E453A" w:rsidRDefault="000E453A">
      <w:pPr>
        <w:pStyle w:val="a9"/>
      </w:pPr>
      <w:r>
        <w:t>Инвестиции в облигации — наиболее надежное вложение средств на рынке ценных бумаг.</w:t>
      </w:r>
    </w:p>
    <w:p w:rsidR="000E453A" w:rsidRDefault="000E453A">
      <w:pPr>
        <w:pStyle w:val="a9"/>
      </w:pPr>
      <w:r>
        <w:t>В последнее время среди российских инвесторов стали особенно популярны корпоративные, муниципальные и субфедеральные облигации. Они имеют более высокую, по сравнению с федеральными облигациями, доходность и дают достаточно высокие гарантии инвесторам. Облигации могут иметь существенные различия в условиях их обращения. Основной объем сделок купли/продажи облигаций, так же как и по акциям, регистрируется на бирже в системе электронных торгов.</w:t>
      </w:r>
    </w:p>
    <w:p w:rsidR="000E453A" w:rsidRDefault="000E453A">
      <w:pPr>
        <w:pStyle w:val="a9"/>
      </w:pPr>
    </w:p>
    <w:p w:rsidR="000E453A" w:rsidRDefault="000E453A">
      <w:pPr>
        <w:pStyle w:val="1"/>
        <w:rPr>
          <w:lang w:val="ru-RU"/>
        </w:rPr>
      </w:pPr>
      <w:bookmarkStart w:id="2" w:name="_Toc131563992"/>
      <w:r>
        <w:rPr>
          <w:lang w:val="ru-RU"/>
        </w:rPr>
        <w:t>2 Виды облигаций</w:t>
      </w:r>
      <w:bookmarkEnd w:id="2"/>
    </w:p>
    <w:p w:rsidR="000E453A" w:rsidRDefault="000E453A">
      <w:pPr>
        <w:pStyle w:val="a9"/>
      </w:pPr>
    </w:p>
    <w:p w:rsidR="000E453A" w:rsidRDefault="000E453A">
      <w:pPr>
        <w:pStyle w:val="a9"/>
      </w:pPr>
      <w:r>
        <w:t>Существуют различные классификации облигаций. Если рассматривать классификацию по эмитенту, то можно выделить виды облигаций.</w:t>
      </w:r>
    </w:p>
    <w:p w:rsidR="000E453A" w:rsidRDefault="000E453A">
      <w:pPr>
        <w:pStyle w:val="a9"/>
      </w:pPr>
      <w:r>
        <w:rPr>
          <w:b/>
          <w:bCs/>
        </w:rPr>
        <w:t>Государственные и муниципальные облигации.</w:t>
      </w:r>
      <w:r>
        <w:t xml:space="preserve"> Государственные облигации выпускаются государством в лице общегосударственных органов власти, а муниципальные — местными органами власти. </w:t>
      </w:r>
    </w:p>
    <w:p w:rsidR="000E453A" w:rsidRDefault="000E453A">
      <w:pPr>
        <w:pStyle w:val="a9"/>
      </w:pPr>
      <w:r>
        <w:t xml:space="preserve">Государственные облигации подразделяются на облигации рыночных и нерыночных займов. Бумаги рыночных займов свободно обращаются на вторичном рынке. Облигации нерыночных займов не имеют вторичного рынка. </w:t>
      </w:r>
    </w:p>
    <w:p w:rsidR="000E453A" w:rsidRDefault="000E453A">
      <w:pPr>
        <w:pStyle w:val="a9"/>
      </w:pPr>
      <w:r>
        <w:t xml:space="preserve">Государственные бумаги размещаются отдельными выпусками. Решение об эмиссии может подразумевать деление выпуска на транши. Транш — это часть ценных бумаг данного выпуска, которые размещаются в любой момент времени в течение периода его обращения после даты первого размещения в рамках заявленного объема эмиссии этого выпуска. </w:t>
      </w:r>
    </w:p>
    <w:p w:rsidR="000E453A" w:rsidRDefault="000E453A">
      <w:pPr>
        <w:pStyle w:val="a9"/>
      </w:pPr>
      <w:r>
        <w:t xml:space="preserve">Обычно считается, что самыми безопасными инвестициями (с точки зрения невозврата средств эмитентом) являются вложения в государственные облигации. Таким образом, эти инструменты являются особенно привлекательными для инвесторов, которые стремятся получать регулярный надежный доход и относительно небольшой прирост капитала в течение достаточно длительных периодов времени. </w:t>
      </w:r>
    </w:p>
    <w:p w:rsidR="000E453A" w:rsidRDefault="000E453A">
      <w:pPr>
        <w:pStyle w:val="a9"/>
      </w:pPr>
      <w:r>
        <w:rPr>
          <w:b/>
          <w:bCs/>
        </w:rPr>
        <w:t xml:space="preserve">Корпоративные облигации. </w:t>
      </w:r>
      <w:r>
        <w:t xml:space="preserve">Корпоративные облигации выпускаются акционерными обществами с целью привлечения дополнительного капитала. </w:t>
      </w:r>
    </w:p>
    <w:p w:rsidR="000E453A" w:rsidRDefault="000E453A">
      <w:pPr>
        <w:pStyle w:val="a9"/>
      </w:pPr>
      <w:r>
        <w:t xml:space="preserve">Эмиссия облигаций допускается только после полной оплаты компанией уставного капитала. Номинальная стоимость всех выпущенных облигаций не должна превышать размера уставного капитала компании либо величину обеспечения, представленного обществу для этих целей третьими лицами. </w:t>
      </w:r>
    </w:p>
    <w:p w:rsidR="000E453A" w:rsidRDefault="000E453A">
      <w:pPr>
        <w:pStyle w:val="a9"/>
      </w:pPr>
      <w:r>
        <w:t>В зависимости от срока обращения облигации подразделяются на следующие виды: краткосрочные (до 1 года); среднесрочные (от 1 года до 5 лет); долгосрочные (от 5 до 30 лет).</w:t>
      </w:r>
    </w:p>
    <w:p w:rsidR="000E453A" w:rsidRDefault="000E453A">
      <w:pPr>
        <w:pStyle w:val="a9"/>
      </w:pPr>
      <w:r>
        <w:t>По способу выплаты дохода облигации делятся на:</w:t>
      </w:r>
    </w:p>
    <w:p w:rsidR="000E453A" w:rsidRDefault="000E453A">
      <w:pPr>
        <w:pStyle w:val="a9"/>
      </w:pPr>
      <w:r>
        <w:t>— облигации с фиксированным купоном;</w:t>
      </w:r>
    </w:p>
    <w:p w:rsidR="000E453A" w:rsidRDefault="000E453A">
      <w:pPr>
        <w:pStyle w:val="a9"/>
      </w:pPr>
      <w:r>
        <w:t>— облигации с плавающим (переменным) купоном;</w:t>
      </w:r>
    </w:p>
    <w:p w:rsidR="000E453A" w:rsidRDefault="000E453A">
      <w:pPr>
        <w:pStyle w:val="a9"/>
      </w:pPr>
      <w:r>
        <w:t xml:space="preserve">— индексируемые облигации; </w:t>
      </w:r>
    </w:p>
    <w:p w:rsidR="000E453A" w:rsidRDefault="000E453A">
      <w:pPr>
        <w:pStyle w:val="a9"/>
      </w:pPr>
      <w:r>
        <w:t>— бескупонные облигации.</w:t>
      </w:r>
    </w:p>
    <w:p w:rsidR="000E453A" w:rsidRDefault="000E453A">
      <w:pPr>
        <w:pStyle w:val="a9"/>
      </w:pPr>
    </w:p>
    <w:p w:rsidR="000E453A" w:rsidRDefault="000E453A">
      <w:pPr>
        <w:pStyle w:val="1"/>
        <w:rPr>
          <w:lang w:val="ru-RU"/>
        </w:rPr>
      </w:pPr>
      <w:bookmarkStart w:id="3" w:name="_Toc131563993"/>
      <w:r>
        <w:rPr>
          <w:lang w:val="ru-RU"/>
        </w:rPr>
        <w:t>3 Современные российские государственные облигации</w:t>
      </w:r>
      <w:bookmarkEnd w:id="3"/>
    </w:p>
    <w:p w:rsidR="000E453A" w:rsidRDefault="000E453A">
      <w:pPr>
        <w:pStyle w:val="a9"/>
      </w:pPr>
    </w:p>
    <w:p w:rsidR="000E453A" w:rsidRDefault="000E453A">
      <w:pPr>
        <w:pStyle w:val="a9"/>
      </w:pPr>
      <w:r>
        <w:t>Рынок государственных облигаций является достойной альтернативой рынку банковских депозитов для юридических лиц и сберегательных вкладов для физических лиц, во многом превосходя последние как по параметрам доходности, так и по показателям надежности и ликвидности вложений.</w:t>
      </w:r>
    </w:p>
    <w:p w:rsidR="000E453A" w:rsidRDefault="000E453A">
      <w:pPr>
        <w:pStyle w:val="a9"/>
      </w:pPr>
      <w:r>
        <w:t>Среди современных российских облигаций наибольшее распространение получили такие государственные облигации:</w:t>
      </w:r>
    </w:p>
    <w:p w:rsidR="000E453A" w:rsidRDefault="000E453A">
      <w:pPr>
        <w:pStyle w:val="a9"/>
      </w:pPr>
      <w:r>
        <w:t xml:space="preserve">1. </w:t>
      </w:r>
      <w:r>
        <w:rPr>
          <w:b/>
          <w:bCs/>
        </w:rPr>
        <w:t>Государственная краткосрочная облигация (ГКО)</w:t>
      </w:r>
      <w:r>
        <w:t xml:space="preserve">, эмитентом которой является Министерство финансов РФ. Это бескупонная именная облигация, выпускаемая в бездокументарной форме. Эти облигации выпускаются сроком на 3 месяца, 6 месяцев и год. </w:t>
      </w:r>
    </w:p>
    <w:p w:rsidR="000E453A" w:rsidRDefault="000E453A">
      <w:pPr>
        <w:pStyle w:val="a9"/>
      </w:pPr>
      <w:r>
        <w:t>До недавнего времени наиболее представительным и привлекательным был рынок государственных краткосрочных бескупонных облигаций (ГКО), стартовавший в мае 1993 года. Эти облигации выпускаются на короткий период для покрытия дефицита государственного бюджета и являются прообразом казначейских векселей США. ГКО имеют безбумажную форму выпуска, т.е. собственность на них оформляется в виде электронных записей на счетах-депо. Номинал облигаций первоначально был 10000 рублей (неденоминированных), а в настоящий момент составляет 1000 руб. Доход инвестора по ГКО складывается за счет того, что эти облигации продаются на аукционах с дисконтом, т.е. по цене ниже номинала. Доходом является разница между номинальной стоимостью и ценой приобретения на аукционе при первичном размещении или на вторичных торгах. Инвесторами могут выступать любые лица, но по техническим причинам участие физических лиц на этом рынке затруднено.</w:t>
      </w:r>
    </w:p>
    <w:p w:rsidR="000E453A" w:rsidRDefault="000E453A">
      <w:pPr>
        <w:pStyle w:val="a9"/>
      </w:pPr>
      <w:r>
        <w:t>С первых дней своей жизни ГКО рассматривались инвесторами как наиболее консервативные и надежные из всех альтернативных инструментов российского фондового рынка. Но после того, как в августе 1998 г. были проведены последние «докризисные» торги, за которыми последовало объявление правительства о решении провести реструктуризацию внутреннего долга путем переноса исполнения своих обязательств по ГКО на более поздний срок, отношение инвесторов к этому сектору бумаг резко изменилось.</w:t>
      </w:r>
    </w:p>
    <w:p w:rsidR="000E453A" w:rsidRDefault="000E453A">
      <w:pPr>
        <w:pStyle w:val="a9"/>
        <w:rPr>
          <w:sz w:val="22"/>
          <w:szCs w:val="22"/>
        </w:rPr>
      </w:pPr>
      <w:r>
        <w:t>Доходность ГКО определяется по формуле:</w:t>
      </w:r>
      <w:r>
        <w:rPr>
          <w:sz w:val="22"/>
          <w:szCs w:val="22"/>
        </w:rPr>
        <w:t xml:space="preserve"> </w:t>
      </w:r>
    </w:p>
    <w:p w:rsidR="000E453A" w:rsidRDefault="000E453A">
      <w:pPr>
        <w:tabs>
          <w:tab w:val="left" w:pos="851"/>
        </w:tabs>
        <w:overflowPunct w:val="0"/>
        <w:autoSpaceDE w:val="0"/>
        <w:autoSpaceDN w:val="0"/>
        <w:adjustRightInd w:val="0"/>
        <w:spacing w:before="0" w:after="0" w:line="360" w:lineRule="auto"/>
        <w:jc w:val="center"/>
        <w:rPr>
          <w:lang w:val="ru-RU"/>
        </w:rPr>
      </w:pPr>
      <w:r>
        <w:rPr>
          <w:lang w:val="ru-RU"/>
        </w:rPr>
        <w:t>Д = [(Ц</w:t>
      </w:r>
      <w:r>
        <w:rPr>
          <w:vertAlign w:val="subscript"/>
          <w:lang w:val="ru-RU"/>
        </w:rPr>
        <w:t>погашения</w:t>
      </w:r>
      <w:r>
        <w:rPr>
          <w:lang w:val="ru-RU"/>
        </w:rPr>
        <w:t xml:space="preserve"> — Ц</w:t>
      </w:r>
      <w:r>
        <w:rPr>
          <w:vertAlign w:val="subscript"/>
          <w:lang w:val="ru-RU"/>
        </w:rPr>
        <w:t>покупки</w:t>
      </w:r>
      <w:r>
        <w:rPr>
          <w:lang w:val="ru-RU"/>
        </w:rPr>
        <w:t xml:space="preserve">)/(N—D)] </w:t>
      </w:r>
      <w:r>
        <w:rPr>
          <w:sz w:val="20"/>
          <w:szCs w:val="20"/>
          <w:lang w:val="ru-RU"/>
        </w:rPr>
        <w:t>*</w:t>
      </w:r>
      <w:r>
        <w:rPr>
          <w:lang w:val="ru-RU"/>
        </w:rPr>
        <w:t xml:space="preserve"> (365/Т</w:t>
      </w:r>
      <w:r>
        <w:rPr>
          <w:vertAlign w:val="subscript"/>
          <w:lang w:val="ru-RU"/>
        </w:rPr>
        <w:t>погашения</w:t>
      </w:r>
      <w:r>
        <w:rPr>
          <w:lang w:val="ru-RU"/>
        </w:rPr>
        <w:t xml:space="preserve">) </w:t>
      </w:r>
      <w:r>
        <w:rPr>
          <w:sz w:val="20"/>
          <w:szCs w:val="20"/>
          <w:lang w:val="ru-RU"/>
        </w:rPr>
        <w:t>*</w:t>
      </w:r>
      <w:r>
        <w:rPr>
          <w:lang w:val="ru-RU"/>
        </w:rPr>
        <w:t xml:space="preserve"> [100/(100—С</w:t>
      </w:r>
      <w:r>
        <w:rPr>
          <w:vertAlign w:val="subscript"/>
          <w:lang w:val="ru-RU"/>
        </w:rPr>
        <w:t>налога</w:t>
      </w:r>
      <w:r>
        <w:rPr>
          <w:lang w:val="ru-RU"/>
        </w:rPr>
        <w:t xml:space="preserve">)] </w:t>
      </w:r>
      <w:r>
        <w:rPr>
          <w:sz w:val="20"/>
          <w:szCs w:val="20"/>
          <w:lang w:val="ru-RU"/>
        </w:rPr>
        <w:t>*</w:t>
      </w:r>
      <w:r>
        <w:rPr>
          <w:lang w:val="ru-RU"/>
        </w:rPr>
        <w:t xml:space="preserve"> 100,</w:t>
      </w:r>
    </w:p>
    <w:p w:rsidR="000E453A" w:rsidRDefault="000E453A">
      <w:pPr>
        <w:tabs>
          <w:tab w:val="left" w:pos="851"/>
        </w:tabs>
        <w:overflowPunct w:val="0"/>
        <w:autoSpaceDE w:val="0"/>
        <w:autoSpaceDN w:val="0"/>
        <w:adjustRightInd w:val="0"/>
        <w:spacing w:before="0" w:after="0" w:line="360" w:lineRule="auto"/>
        <w:jc w:val="both"/>
        <w:rPr>
          <w:sz w:val="28"/>
          <w:szCs w:val="28"/>
          <w:lang w:val="ru-RU"/>
        </w:rPr>
      </w:pPr>
      <w:r>
        <w:rPr>
          <w:sz w:val="28"/>
          <w:szCs w:val="28"/>
          <w:lang w:val="ru-RU"/>
        </w:rPr>
        <w:t>где Ц</w:t>
      </w:r>
      <w:r>
        <w:rPr>
          <w:sz w:val="28"/>
          <w:szCs w:val="28"/>
          <w:vertAlign w:val="subscript"/>
          <w:lang w:val="ru-RU"/>
        </w:rPr>
        <w:t>погашения</w:t>
      </w:r>
      <w:r>
        <w:rPr>
          <w:sz w:val="28"/>
          <w:szCs w:val="28"/>
          <w:lang w:val="ru-RU"/>
        </w:rPr>
        <w:t xml:space="preserve"> — цена погашения облигации; Ц</w:t>
      </w:r>
      <w:r>
        <w:rPr>
          <w:sz w:val="28"/>
          <w:szCs w:val="28"/>
          <w:vertAlign w:val="subscript"/>
          <w:lang w:val="ru-RU"/>
        </w:rPr>
        <w:t xml:space="preserve">покупки </w:t>
      </w:r>
      <w:r>
        <w:rPr>
          <w:sz w:val="28"/>
          <w:szCs w:val="28"/>
          <w:lang w:val="ru-RU"/>
        </w:rPr>
        <w:t>— цена покупки облигации; N — номинал ГКО, руб; D — дисконт, руб; Т</w:t>
      </w:r>
      <w:r>
        <w:rPr>
          <w:sz w:val="28"/>
          <w:szCs w:val="28"/>
          <w:vertAlign w:val="subscript"/>
          <w:lang w:val="ru-RU"/>
        </w:rPr>
        <w:t>погашения</w:t>
      </w:r>
      <w:r>
        <w:rPr>
          <w:sz w:val="28"/>
          <w:szCs w:val="28"/>
          <w:lang w:val="ru-RU"/>
        </w:rPr>
        <w:t xml:space="preserve"> — количеств дней до даты погашения ГКО; С</w:t>
      </w:r>
      <w:r>
        <w:rPr>
          <w:sz w:val="28"/>
          <w:szCs w:val="28"/>
          <w:vertAlign w:val="subscript"/>
          <w:lang w:val="ru-RU"/>
        </w:rPr>
        <w:t>налога</w:t>
      </w:r>
      <w:r>
        <w:rPr>
          <w:sz w:val="28"/>
          <w:szCs w:val="28"/>
          <w:lang w:val="ru-RU"/>
        </w:rPr>
        <w:t xml:space="preserve"> — ставка налога на прибыль для владельца ГКО, %.</w:t>
      </w:r>
    </w:p>
    <w:p w:rsidR="000E453A" w:rsidRDefault="000E453A">
      <w:pPr>
        <w:tabs>
          <w:tab w:val="left" w:pos="851"/>
        </w:tabs>
        <w:overflowPunct w:val="0"/>
        <w:autoSpaceDE w:val="0"/>
        <w:autoSpaceDN w:val="0"/>
        <w:adjustRightInd w:val="0"/>
        <w:spacing w:before="0" w:after="0" w:line="360" w:lineRule="auto"/>
        <w:ind w:firstLine="567"/>
        <w:jc w:val="both"/>
        <w:rPr>
          <w:sz w:val="28"/>
          <w:szCs w:val="28"/>
          <w:lang w:val="ru-RU"/>
        </w:rPr>
      </w:pPr>
      <w:r>
        <w:rPr>
          <w:sz w:val="28"/>
          <w:szCs w:val="28"/>
          <w:lang w:val="ru-RU"/>
        </w:rPr>
        <w:t>Государственные краткосрочные облигации являются бескупонными (дисконтными) облигациями, по своей природе аналогичными облигациям федерального займа, также эмитируемыми Министерством Финансов РФ.</w:t>
      </w:r>
    </w:p>
    <w:p w:rsidR="000E453A" w:rsidRDefault="000E453A">
      <w:pPr>
        <w:pStyle w:val="a9"/>
      </w:pPr>
      <w:r>
        <w:t>2</w:t>
      </w:r>
      <w:r>
        <w:rPr>
          <w:b/>
          <w:bCs/>
        </w:rPr>
        <w:t>. Облигации федерального займа</w:t>
      </w:r>
      <w:r>
        <w:t xml:space="preserve"> </w:t>
      </w:r>
      <w:r>
        <w:rPr>
          <w:b/>
          <w:bCs/>
        </w:rPr>
        <w:t>(ОФЗ)</w:t>
      </w:r>
      <w:r>
        <w:t xml:space="preserve">. Они представляют собой семейство облигаций с фиксированным доходом (ранее на рынке присутствовали ОФЗ с переменным доходом, эмитированные в настоящий момент ОФЗ с переменным доходом на рынке фактически не обращаются), эмитированных Министерством Финансов РФ. Данная бумага погашается в полном объёме в дату погашения, а в течение срока обращения с годовым или полугодовым интервалом выплачивается определённый при эмиссии купонный доход. </w:t>
      </w:r>
    </w:p>
    <w:p w:rsidR="000E453A" w:rsidRDefault="000E453A">
      <w:pPr>
        <w:pStyle w:val="a9"/>
      </w:pPr>
      <w:r>
        <w:t xml:space="preserve">При заключении сделки купли/продажи осуществляется оплата покупателем купонного дохода накопленного с начала текущего купонного периода до даты заключения сделки (НКД). Котировки ОФЗ указываются без учета НКД. </w:t>
      </w:r>
    </w:p>
    <w:p w:rsidR="000E453A" w:rsidRDefault="000E453A">
      <w:pPr>
        <w:pStyle w:val="a9"/>
      </w:pPr>
      <w:r>
        <w:t xml:space="preserve">Выпускались такие виды ОФЗ: </w:t>
      </w:r>
    </w:p>
    <w:p w:rsidR="000E453A" w:rsidRDefault="000E453A" w:rsidP="000E453A">
      <w:pPr>
        <w:pStyle w:val="a9"/>
        <w:numPr>
          <w:ilvl w:val="0"/>
          <w:numId w:val="2"/>
        </w:numPr>
        <w:tabs>
          <w:tab w:val="clear" w:pos="1571"/>
        </w:tabs>
        <w:ind w:left="993"/>
      </w:pPr>
      <w:r>
        <w:t>облигация федерального займа (ОФЗ) с постоянным или переменным купоном. Эмитентом выступает Министерство финансов РФ. Облигация является именной среднесрочной или долгосрочной бумагой;</w:t>
      </w:r>
    </w:p>
    <w:p w:rsidR="000E453A" w:rsidRDefault="000E453A" w:rsidP="000E453A">
      <w:pPr>
        <w:pStyle w:val="a9"/>
        <w:numPr>
          <w:ilvl w:val="0"/>
          <w:numId w:val="2"/>
        </w:numPr>
        <w:tabs>
          <w:tab w:val="clear" w:pos="1571"/>
        </w:tabs>
        <w:ind w:left="993"/>
      </w:pPr>
      <w:r>
        <w:t>облигация государственного сберегательного займа (ОГСЗ), эмитируемая Министерством финансов РФ. Облигация является среднесрочной бумагой с плавающим купоном, величина которого определяется на основе доходности по ГКО и ОФЗ или официальных показателей, характеризующих инфляцию;</w:t>
      </w:r>
    </w:p>
    <w:p w:rsidR="000E453A" w:rsidRDefault="000E453A" w:rsidP="000E453A">
      <w:pPr>
        <w:pStyle w:val="a9"/>
        <w:numPr>
          <w:ilvl w:val="0"/>
          <w:numId w:val="2"/>
        </w:numPr>
        <w:tabs>
          <w:tab w:val="clear" w:pos="1571"/>
        </w:tabs>
        <w:ind w:left="993"/>
      </w:pPr>
      <w:r>
        <w:t>облигации федерального займа с амортизацией долга (ОФЗ-АД);</w:t>
      </w:r>
    </w:p>
    <w:p w:rsidR="000E453A" w:rsidRDefault="000E453A" w:rsidP="000E453A">
      <w:pPr>
        <w:pStyle w:val="a9"/>
        <w:numPr>
          <w:ilvl w:val="0"/>
          <w:numId w:val="2"/>
        </w:numPr>
        <w:tabs>
          <w:tab w:val="clear" w:pos="1571"/>
        </w:tabs>
        <w:ind w:left="993"/>
      </w:pPr>
      <w:r>
        <w:t>облигации федерального займа с переменным купонным доходом (ОФЗ-ПК).</w:t>
      </w:r>
    </w:p>
    <w:p w:rsidR="000E453A" w:rsidRDefault="000E453A">
      <w:pPr>
        <w:pStyle w:val="a9"/>
      </w:pPr>
      <w:r>
        <w:t>Помимо вышеперечисленных инструментов на данном рынке также представлены государственные облигации Банка России (ОБР), выпускаемые Банком России в целях реализации денежно-кредитной политики.</w:t>
      </w:r>
    </w:p>
    <w:p w:rsidR="000E453A" w:rsidRDefault="000E453A">
      <w:pPr>
        <w:pStyle w:val="a9"/>
      </w:pPr>
      <w:r>
        <w:t>На рынке государственных облигаций существуют следующие операции:</w:t>
      </w:r>
    </w:p>
    <w:p w:rsidR="000E453A" w:rsidRDefault="000E453A" w:rsidP="000E453A">
      <w:pPr>
        <w:pStyle w:val="a9"/>
        <w:numPr>
          <w:ilvl w:val="0"/>
          <w:numId w:val="3"/>
        </w:numPr>
        <w:tabs>
          <w:tab w:val="clear" w:pos="1571"/>
        </w:tabs>
        <w:ind w:left="993"/>
      </w:pPr>
      <w:r>
        <w:t>операции по размещению государственных облигаций;</w:t>
      </w:r>
    </w:p>
    <w:p w:rsidR="000E453A" w:rsidRDefault="000E453A" w:rsidP="000E453A">
      <w:pPr>
        <w:pStyle w:val="a9"/>
        <w:numPr>
          <w:ilvl w:val="0"/>
          <w:numId w:val="3"/>
        </w:numPr>
        <w:tabs>
          <w:tab w:val="clear" w:pos="1571"/>
        </w:tabs>
        <w:ind w:left="993"/>
      </w:pPr>
      <w:r>
        <w:t>операции, осуществление которых возможно при обращении государственных облигаций на вторичном рынке;</w:t>
      </w:r>
    </w:p>
    <w:p w:rsidR="000E453A" w:rsidRDefault="000E453A" w:rsidP="000E453A">
      <w:pPr>
        <w:pStyle w:val="a9"/>
        <w:numPr>
          <w:ilvl w:val="0"/>
          <w:numId w:val="3"/>
        </w:numPr>
        <w:tabs>
          <w:tab w:val="clear" w:pos="1571"/>
        </w:tabs>
        <w:ind w:left="993"/>
      </w:pPr>
      <w:r>
        <w:t>операции по обслуживанию выпусков ГКО / ОФЗ.</w:t>
      </w:r>
    </w:p>
    <w:p w:rsidR="000E453A" w:rsidRDefault="000E453A">
      <w:pPr>
        <w:pStyle w:val="a9"/>
      </w:pPr>
      <w:r>
        <w:t>Эмитентом государственных облигаций от имени Российской Федерации выступает Министерство финансов Российской Федерации. Генеральным агентом по обслуживанию выпусков государственных облигаций является Центральный банк Российской Федерации (Банк России). Размещение выпуска государственных облигаций осуществляется Банком России по поручению Министерства финансов РФ в форме аукциона или по закрытой подписке. Также возможно доразмещение государственных облигаций на вторичных торгах. Информация о планируемых аукционах распространяется заранее пресс-службами Министерства финансов РФ и ММВБ.</w:t>
      </w:r>
    </w:p>
    <w:p w:rsidR="000E453A" w:rsidRDefault="000E453A">
      <w:pPr>
        <w:pStyle w:val="a9"/>
      </w:pPr>
      <w:r>
        <w:t>Торги на рынке ГКО / ОФЗ проводятся ежедневно, за исключением выходных и праздничных дней. Расписание проведения торгов определяется Банком России.</w:t>
      </w:r>
    </w:p>
    <w:p w:rsidR="000E453A" w:rsidRDefault="000E453A">
      <w:pPr>
        <w:pStyle w:val="a9"/>
      </w:pPr>
      <w:r>
        <w:t>Участниками российского рынка государственных облигаций являются: эмитент в лице Министерства финансов РФ; генеральный агент в лице Центрального Банка РФ, который обеспечивает организационную сторону функционирования этого рынка (регулирование, аукционы, погашение и пр.); депозитарии, ведущие учет облигаций, выпущенных в безналичной форме; дилеры, представленные коммерческими банками и профессиональными участниками рынка ценных бумаг, заключающие сделки; и инвесторы, как отечественные, так и иностранные, приобретающие госбумаги. Торговой системой выступает Московская межбанковская валютная биржа (ММВБ). Вторичные торги проводят и региональные биржевые площадки, в частности – СПВБ (Санкт-Петербургская Валютная биржа).</w:t>
      </w:r>
    </w:p>
    <w:p w:rsidR="000E453A" w:rsidRDefault="000E453A">
      <w:pPr>
        <w:pStyle w:val="a9"/>
      </w:pPr>
      <w:r>
        <w:t xml:space="preserve">Государственные облигации имеют номинал 10 рублей (некоторые выпуски ОФЗ-ФД) и 1000 рублей. Средняя доходность по рынку ГКО-ОФЗ составляет 12—15 процентов годовых в зависимости от выпуска. </w:t>
      </w:r>
    </w:p>
    <w:p w:rsidR="000E453A" w:rsidRDefault="000E453A">
      <w:pPr>
        <w:pStyle w:val="a9"/>
      </w:pPr>
      <w:r>
        <w:t>Риск вложения в гособлигации принято считать минимальным в рамках конкретной экономической системы. Это обуславливает низкую доходность по данным инструментам. Таким образом, государственные облигации РФ могут быть интересны инвестору в качестве безрисковой составляющей общего инвестиционного портфеля.</w:t>
      </w:r>
    </w:p>
    <w:p w:rsidR="000E453A" w:rsidRDefault="000E453A">
      <w:pPr>
        <w:pStyle w:val="a9"/>
      </w:pPr>
      <w:r>
        <w:t>В случае сохранения благоприятной ценовой конъюнктуры на рынке энергоносителей, дальнейшего укрепления курса рубля, общего улучшения макроэкономической ситуации в стране, а также декларируемого правительством отказу от внешних заимствований (что может привести к дефициту суверенного долга) — инвестиции в государственные ценные бумаги будут достаточно привлекательными для инвесторов. Однако в связи с низкой доходностью и высокой дюрацией данных облигаций, операции на рынке государственного долга могут носить спекулятивный характер.</w:t>
      </w:r>
    </w:p>
    <w:p w:rsidR="000E453A" w:rsidRDefault="000E453A">
      <w:pPr>
        <w:pStyle w:val="a9"/>
      </w:pPr>
      <w:r>
        <w:t>Кроме того, всё больше российских предприятий обращаются к выпуску облигаций как способу привлечения дополнительных инвестиционных ресурсов для выполнения своих долгосрочных инвестиционных программ. Так, по итогам 2003 года суммарный объем зарегистрированных ФКЦБ России выпусков корпоративных облигаций вырос по сравнению с 2002 годом в два раза и составил 115,04 млрд. руб., в то время как по итогам 2002 года российскими предприятиями было выпущено облигаций всего лишь на 54,4 млрд. руб.</w:t>
      </w:r>
      <w:r>
        <w:rPr>
          <w:rStyle w:val="af"/>
        </w:rPr>
        <w:footnoteReference w:id="1"/>
      </w:r>
      <w:r>
        <w:t xml:space="preserve"> Основными площадками для торговли корпоративными облигациями российских эмитентов являются ММВБ и РТС.</w:t>
      </w:r>
    </w:p>
    <w:p w:rsidR="000E453A" w:rsidRDefault="000E453A">
      <w:pPr>
        <w:pStyle w:val="a9"/>
      </w:pPr>
    </w:p>
    <w:p w:rsidR="000E453A" w:rsidRDefault="000E453A">
      <w:pPr>
        <w:pStyle w:val="1"/>
      </w:pPr>
      <w:bookmarkStart w:id="4" w:name="_Toc131563994"/>
      <w:r>
        <w:t>4 Характеристика и тенденции развития рынка государственных облигаций в РФ</w:t>
      </w:r>
      <w:bookmarkEnd w:id="4"/>
    </w:p>
    <w:p w:rsidR="000E453A" w:rsidRDefault="000E453A">
      <w:pPr>
        <w:pStyle w:val="a9"/>
      </w:pPr>
    </w:p>
    <w:p w:rsidR="000E453A" w:rsidRDefault="000E453A">
      <w:pPr>
        <w:pStyle w:val="a9"/>
      </w:pPr>
      <w:r>
        <w:t xml:space="preserve">Во всех цивилизованных странах государственные ценные бумаги пользуются достаточно большим спросом среди населения благодаря своей надежности. Пусть они не самые доходные, но по сохранности они впереди любой самой крупной корпорации, и правительству народ безоговорочно доверяет свои самые важные накопления. В России же на облигации смотрят несколько под другим углом благодаря дефолту 1998 года. Здесь частные инвесторы предпочитают жить сегодняшним днем, и слепого следования за государством нет. </w:t>
      </w:r>
    </w:p>
    <w:p w:rsidR="000E453A" w:rsidRDefault="000E453A">
      <w:pPr>
        <w:pStyle w:val="a9"/>
      </w:pPr>
      <w:r>
        <w:t>Что же представляет из себя сегодняшний отечественный рынок государственных облигаций? На середину прошлого года в свободном обращении на российском рынке облигаций находилось порядка 110 выпусков государственных ценных бумаг, из которых 33 выпуска представлены облигациями федерального займа, 3 — облигациями Банка России, 43 — облигациями субъектов Федерации, 31 — облигациями муниципальных образований</w:t>
      </w:r>
      <w:r>
        <w:rPr>
          <w:rStyle w:val="af"/>
        </w:rPr>
        <w:footnoteReference w:id="2"/>
      </w:r>
      <w:r>
        <w:t xml:space="preserve">. Таким образом, на рынке государственных облигаций федеральный сегмент занимает 33% от общего числа выпусков, субфедеральный — 39%, а муниципальный — 28%. </w:t>
      </w:r>
    </w:p>
    <w:p w:rsidR="000E453A" w:rsidRDefault="000E453A">
      <w:pPr>
        <w:pStyle w:val="a9"/>
      </w:pPr>
      <w:r>
        <w:t xml:space="preserve">Но следует заметить, что данный сектор сам по себе существует в несколько искаженном виде. Так, например, бумаги федерального значения для частного инвестора не представляют никакого интереса. Изначально государственные облигации служили, и достаточно успешно, для привычных целей — привлечения дополнительных ресурсов внутри государства за счет частных инвесторов. Как краткосрочный, ликвидный и доходный инвестиционный инструмент ГКО / ОФЗ покупали и банки и физические лица. После дефолта 1998 г. состав участников этого рынка существенно изменился. Чтобы «восстановить» рынок, государство с конца 1998-го по 2004 год не разместило ни одного нового выпуска рублевых облигаций, а затем, начав размещать, отдавало предпочтение очень длинным и низкодоходным выпускам. </w:t>
      </w:r>
    </w:p>
    <w:p w:rsidR="000E453A" w:rsidRDefault="000E453A">
      <w:pPr>
        <w:pStyle w:val="a9"/>
      </w:pPr>
      <w:r>
        <w:t xml:space="preserve">На сегодняшний день самый длинный выпуск рублевых облигаций размещен до ноября 2021 г., а доходность по нему составляет порядка 8,7%. При такой доходности ГКО / ОФЗ не могут составить конкуренцию даже низкодоходным депозитам Сбербанка, поэтому инвесторам — физическим лицам такой инструмент не интересен. В настоящий момент в данном секторе остались только коммерческие банки во главе со Сбербанком и Пенсионный фонд, инвестирующий накопительную часть пенсий. По нормативам Центрального банка ГКО / ОФЗ приравнивается практически к деньгам — под них не нужно отвлекать дополнительные деньги на создание резервов, как по кредитам или корпоративным облигациям. Кроме того, ГКО / ОФЗ приносят хоть и маленький, но доход, и их можно быстро продать и превратить в деньги. </w:t>
      </w:r>
    </w:p>
    <w:p w:rsidR="000E453A" w:rsidRDefault="000E453A">
      <w:pPr>
        <w:pStyle w:val="a9"/>
      </w:pPr>
      <w:r>
        <w:t>Невозможно однозначно утверждать, что государственные облигации проигрывают корпоративным выпускам. Каждый вид облигаций, существующий на российском долговом рынке, имеет как преимущества, так и изъяны. Бумаги федерального уровня, несмотря на низкую доходность, которая с учетом инфляции носит отрицательный характер, одновременно представляют собой самый низкорискованный вид облигаций. Поэтому для осторожных инвесторов государственные бумаги будут иметь большее преимущество, чем высокодоходные и более рискованные бумаги корпоративных эмитентов. Субфедеральные и муниципальные выпуски имеют уже более высокую доходность, но риски остаются ниже, чем у большинства корпоративных облигаций. Поэтому они могут быть привлекательны для консервативных инвесторов</w:t>
      </w:r>
      <w:r>
        <w:rPr>
          <w:rStyle w:val="af"/>
        </w:rPr>
        <w:footnoteReference w:id="3"/>
      </w:r>
      <w:r>
        <w:t>.</w:t>
      </w:r>
    </w:p>
    <w:p w:rsidR="000E453A" w:rsidRDefault="000E453A">
      <w:pPr>
        <w:pStyle w:val="1"/>
        <w:rPr>
          <w:lang w:val="ru-RU"/>
        </w:rPr>
      </w:pPr>
      <w:r>
        <w:rPr>
          <w:lang w:val="ru-RU"/>
        </w:rPr>
        <w:br w:type="page"/>
      </w:r>
      <w:bookmarkStart w:id="5" w:name="_Toc131563995"/>
      <w:r>
        <w:rPr>
          <w:lang w:val="ru-RU"/>
        </w:rPr>
        <w:t>Выводы</w:t>
      </w:r>
      <w:bookmarkEnd w:id="5"/>
    </w:p>
    <w:p w:rsidR="000E453A" w:rsidRDefault="000E453A">
      <w:pPr>
        <w:pStyle w:val="a9"/>
      </w:pPr>
    </w:p>
    <w:p w:rsidR="000E453A" w:rsidRDefault="000E453A">
      <w:pPr>
        <w:pStyle w:val="a9"/>
      </w:pPr>
      <w:r>
        <w:t xml:space="preserve">Облигация — эмиссионная ценная бумага, содержащая обязательство эмитента выплатить ее владельцу (кредитору) номинальную стоимость по окончании установленного срока и периодически выплачивать определенный процент от ее стоимости. </w:t>
      </w:r>
    </w:p>
    <w:p w:rsidR="000E453A" w:rsidRDefault="000E453A">
      <w:pPr>
        <w:pStyle w:val="a9"/>
      </w:pPr>
      <w:r>
        <w:t xml:space="preserve">Облигации выпускаются государством, местными органами власти или компаниями в форме ценных бумаг с фиксированной или переменной процентной ставкой. Большая часть облигаций не имеет обеспечения и не дает права на участие в управлении. </w:t>
      </w:r>
    </w:p>
    <w:p w:rsidR="000E453A" w:rsidRDefault="000E453A">
      <w:pPr>
        <w:pStyle w:val="a9"/>
      </w:pPr>
      <w:r>
        <w:t>Государственные облигации выпускаются государством в лице общегосударственных органов власти. Государственные облигации подразделяются на облигации рыночных и нерыночных займов. Бумаги рыночных займов свободно обращаются на вторичном рынке. Облигации нерыночных займов не имеют вторичного рынка. Государственные бумаги размещаются отдельными выпусками.</w:t>
      </w:r>
    </w:p>
    <w:p w:rsidR="000E453A" w:rsidRDefault="000E453A">
      <w:pPr>
        <w:pStyle w:val="a9"/>
      </w:pPr>
      <w:r>
        <w:t>Рынок государственных облигаций является достойной альтернативой рынку банковских депозитов для юридических лиц и сберегательных вкладов для физических лиц, во многом превосходя последние как по параметрам доходности, так и по показателям надежности и ликвидности вложений.</w:t>
      </w:r>
    </w:p>
    <w:p w:rsidR="000E453A" w:rsidRDefault="000E453A">
      <w:pPr>
        <w:pStyle w:val="a9"/>
      </w:pPr>
      <w:r>
        <w:t xml:space="preserve">Традиционно считается, что инвестиции в государственные облигации – безрисковые. Потому и доходность государственных облигаций на 4-5% годовых ниже доходности корпоративных облигаций. Государственные облигации размещаются и обращаются в секции государственных ценных бумаг на ММВБ. Рынок государственных облигаций характеризуется высокой ликвидностью и большими объемами эмиссии. Этим объясняется привлекательность рынка для банковского капитала. </w:t>
      </w:r>
    </w:p>
    <w:p w:rsidR="000E453A" w:rsidRDefault="000E453A">
      <w:pPr>
        <w:pStyle w:val="a9"/>
      </w:pPr>
    </w:p>
    <w:p w:rsidR="000E453A" w:rsidRDefault="000E453A">
      <w:pPr>
        <w:pStyle w:val="1"/>
        <w:rPr>
          <w:noProof w:val="0"/>
          <w:lang w:val="ru-RU"/>
        </w:rPr>
      </w:pPr>
      <w:r>
        <w:rPr>
          <w:lang w:val="ru-RU"/>
        </w:rPr>
        <w:br w:type="page"/>
      </w:r>
      <w:bookmarkStart w:id="6" w:name="_Toc484583489"/>
      <w:bookmarkStart w:id="7" w:name="_Toc484583700"/>
      <w:bookmarkStart w:id="8" w:name="_Toc131563996"/>
      <w:r>
        <w:rPr>
          <w:noProof w:val="0"/>
          <w:lang w:val="ru-RU"/>
        </w:rPr>
        <w:t>Литература</w:t>
      </w:r>
      <w:bookmarkEnd w:id="6"/>
      <w:bookmarkEnd w:id="7"/>
      <w:bookmarkEnd w:id="8"/>
    </w:p>
    <w:p w:rsidR="000E453A" w:rsidRDefault="000E453A">
      <w:pPr>
        <w:tabs>
          <w:tab w:val="left" w:pos="851"/>
        </w:tabs>
        <w:spacing w:before="0" w:after="0" w:line="360" w:lineRule="auto"/>
        <w:jc w:val="both"/>
        <w:rPr>
          <w:sz w:val="28"/>
          <w:szCs w:val="28"/>
          <w:lang w:val="ru-RU"/>
        </w:rPr>
      </w:pPr>
    </w:p>
    <w:p w:rsidR="000E453A" w:rsidRDefault="000E453A" w:rsidP="000E453A">
      <w:pPr>
        <w:pStyle w:val="a9"/>
        <w:numPr>
          <w:ilvl w:val="0"/>
          <w:numId w:val="1"/>
        </w:numPr>
        <w:tabs>
          <w:tab w:val="clear" w:pos="1437"/>
        </w:tabs>
        <w:ind w:left="426" w:hanging="426"/>
      </w:pPr>
      <w:r>
        <w:t>Федеральный закон РФ "О рынке ценных бумаг" // Российская газета от 25 апреля 1996 года.</w:t>
      </w:r>
    </w:p>
    <w:p w:rsidR="000E453A" w:rsidRDefault="000E453A" w:rsidP="000E453A">
      <w:pPr>
        <w:pStyle w:val="a9"/>
        <w:numPr>
          <w:ilvl w:val="0"/>
          <w:numId w:val="1"/>
        </w:numPr>
        <w:tabs>
          <w:tab w:val="clear" w:pos="1437"/>
        </w:tabs>
        <w:ind w:left="426" w:hanging="426"/>
      </w:pPr>
      <w:r>
        <w:t>Письмо ЦБР от 15 января 1992г. No.18-11/52 // Ценные бумаги. Сборник нормативных документов. М., 1994.</w:t>
      </w:r>
    </w:p>
    <w:p w:rsidR="000E453A" w:rsidRDefault="000E453A" w:rsidP="000E453A">
      <w:pPr>
        <w:pStyle w:val="a9"/>
        <w:numPr>
          <w:ilvl w:val="0"/>
          <w:numId w:val="1"/>
        </w:numPr>
        <w:tabs>
          <w:tab w:val="clear" w:pos="1437"/>
        </w:tabs>
        <w:ind w:left="426" w:hanging="426"/>
      </w:pPr>
      <w:r>
        <w:t>Алексеев М.Ю. Рынок ценных бумаг. — М., Финансы и статистика, 1992.</w:t>
      </w:r>
    </w:p>
    <w:p w:rsidR="000E453A" w:rsidRDefault="000E453A" w:rsidP="000E453A">
      <w:pPr>
        <w:pStyle w:val="af3"/>
        <w:numPr>
          <w:ilvl w:val="0"/>
          <w:numId w:val="1"/>
        </w:numPr>
        <w:tabs>
          <w:tab w:val="clear" w:pos="1437"/>
        </w:tabs>
        <w:ind w:left="426" w:hanging="426"/>
      </w:pPr>
      <w:r>
        <w:t xml:space="preserve">Алиев М.А. Влияние на экономическую безопасность страны государственного регулирования валютных отношений: Автореф. М., РАГС, 2001. </w:t>
      </w:r>
    </w:p>
    <w:p w:rsidR="000E453A" w:rsidRDefault="000E453A" w:rsidP="000E453A">
      <w:pPr>
        <w:pStyle w:val="af3"/>
        <w:numPr>
          <w:ilvl w:val="0"/>
          <w:numId w:val="1"/>
        </w:numPr>
        <w:tabs>
          <w:tab w:val="clear" w:pos="1437"/>
        </w:tabs>
        <w:ind w:left="426" w:hanging="426"/>
      </w:pPr>
      <w:r>
        <w:t>Балабанов И.Т. Основы финансового менеджмента. — М., Финансы и статистика, 1995.</w:t>
      </w:r>
    </w:p>
    <w:p w:rsidR="000E453A" w:rsidRDefault="000E453A" w:rsidP="000E453A">
      <w:pPr>
        <w:pStyle w:val="af3"/>
        <w:numPr>
          <w:ilvl w:val="0"/>
          <w:numId w:val="1"/>
        </w:numPr>
        <w:tabs>
          <w:tab w:val="clear" w:pos="1437"/>
        </w:tabs>
        <w:ind w:left="426" w:hanging="426"/>
      </w:pPr>
      <w:r>
        <w:t>Банковское дело: Учебник / Под ред. О.И. Лаврушина. — М., 1998.</w:t>
      </w:r>
    </w:p>
    <w:p w:rsidR="000E453A" w:rsidRDefault="000E453A" w:rsidP="000E453A">
      <w:pPr>
        <w:pStyle w:val="a9"/>
        <w:numPr>
          <w:ilvl w:val="0"/>
          <w:numId w:val="1"/>
        </w:numPr>
        <w:tabs>
          <w:tab w:val="clear" w:pos="1437"/>
        </w:tabs>
        <w:ind w:left="426" w:hanging="426"/>
      </w:pPr>
      <w:r>
        <w:t>Бердникова Т.Б. Рынок ценных бумаг и биржевое дело: Уч. пособие. — М., Инфра М., 2002.</w:t>
      </w:r>
    </w:p>
    <w:p w:rsidR="000E453A" w:rsidRDefault="000E453A" w:rsidP="000E453A">
      <w:pPr>
        <w:pStyle w:val="a9"/>
        <w:numPr>
          <w:ilvl w:val="0"/>
          <w:numId w:val="1"/>
        </w:numPr>
        <w:tabs>
          <w:tab w:val="clear" w:pos="1437"/>
        </w:tabs>
        <w:ind w:left="426" w:hanging="426"/>
      </w:pPr>
      <w:r>
        <w:t>Жуков Е.Ф. Ценные бумаги и фондовые рынки. М., Банки и биржи, 1995.</w:t>
      </w:r>
    </w:p>
    <w:p w:rsidR="000E453A" w:rsidRDefault="000E453A" w:rsidP="000E453A">
      <w:pPr>
        <w:pStyle w:val="a9"/>
        <w:numPr>
          <w:ilvl w:val="0"/>
          <w:numId w:val="1"/>
        </w:numPr>
        <w:tabs>
          <w:tab w:val="clear" w:pos="1437"/>
        </w:tabs>
        <w:ind w:left="426" w:hanging="426"/>
      </w:pPr>
      <w:r>
        <w:t>Муравьева A. Кому дать взаймы? // Новости рынка недвижимости, № 23 от 27.06.2005.</w:t>
      </w:r>
    </w:p>
    <w:p w:rsidR="000E453A" w:rsidRDefault="000E453A" w:rsidP="000E453A">
      <w:pPr>
        <w:pStyle w:val="af3"/>
        <w:numPr>
          <w:ilvl w:val="0"/>
          <w:numId w:val="1"/>
        </w:numPr>
        <w:tabs>
          <w:tab w:val="clear" w:pos="1437"/>
        </w:tabs>
        <w:ind w:left="426" w:hanging="426"/>
      </w:pPr>
      <w:r>
        <w:t>Орешин В.П. Государственное регулирование национальной экономики. М., Инфра-М, 2000.</w:t>
      </w:r>
    </w:p>
    <w:p w:rsidR="000E453A" w:rsidRDefault="000E453A" w:rsidP="000E453A">
      <w:pPr>
        <w:pStyle w:val="a9"/>
        <w:numPr>
          <w:ilvl w:val="0"/>
          <w:numId w:val="1"/>
        </w:numPr>
        <w:tabs>
          <w:tab w:val="clear" w:pos="1437"/>
        </w:tabs>
        <w:ind w:left="426" w:hanging="426"/>
      </w:pPr>
      <w:r>
        <w:t>Современные российские облигации // Электронная публикация http://www.fora-capital.ru/5/bonds3.php</w:t>
      </w:r>
    </w:p>
    <w:p w:rsidR="000E453A" w:rsidRDefault="000E453A">
      <w:pPr>
        <w:pStyle w:val="a9"/>
      </w:pPr>
    </w:p>
    <w:p w:rsidR="000E453A" w:rsidRDefault="000E453A">
      <w:pPr>
        <w:pStyle w:val="21"/>
        <w:tabs>
          <w:tab w:val="left" w:pos="851"/>
        </w:tabs>
        <w:spacing w:line="360" w:lineRule="auto"/>
        <w:rPr>
          <w:b w:val="0"/>
          <w:bCs w:val="0"/>
        </w:rPr>
      </w:pPr>
    </w:p>
    <w:p w:rsidR="000E453A" w:rsidRDefault="000E453A">
      <w:pPr>
        <w:pStyle w:val="21"/>
        <w:tabs>
          <w:tab w:val="left" w:pos="851"/>
        </w:tabs>
        <w:spacing w:line="360" w:lineRule="auto"/>
        <w:jc w:val="both"/>
        <w:rPr>
          <w:b w:val="0"/>
          <w:bCs w:val="0"/>
        </w:rPr>
      </w:pPr>
      <w:bookmarkStart w:id="9" w:name="_GoBack"/>
      <w:bookmarkEnd w:id="9"/>
    </w:p>
    <w:sectPr w:rsidR="000E453A">
      <w:headerReference w:type="default" r:id="rId7"/>
      <w:pgSz w:w="11906" w:h="16838"/>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53A" w:rsidRDefault="000E453A">
      <w:pPr>
        <w:spacing w:before="0" w:after="0"/>
      </w:pPr>
      <w:r>
        <w:separator/>
      </w:r>
    </w:p>
  </w:endnote>
  <w:endnote w:type="continuationSeparator" w:id="0">
    <w:p w:rsidR="000E453A" w:rsidRDefault="000E453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53A" w:rsidRDefault="000E453A">
      <w:pPr>
        <w:spacing w:before="0" w:after="0"/>
      </w:pPr>
      <w:r>
        <w:separator/>
      </w:r>
    </w:p>
  </w:footnote>
  <w:footnote w:type="continuationSeparator" w:id="0">
    <w:p w:rsidR="000E453A" w:rsidRDefault="000E453A">
      <w:pPr>
        <w:spacing w:before="0" w:after="0"/>
      </w:pPr>
      <w:r>
        <w:continuationSeparator/>
      </w:r>
    </w:p>
  </w:footnote>
  <w:footnote w:id="1">
    <w:p w:rsidR="000E453A" w:rsidRDefault="000E453A">
      <w:pPr>
        <w:pStyle w:val="ad"/>
      </w:pPr>
      <w:r>
        <w:rPr>
          <w:rStyle w:val="af"/>
        </w:rPr>
        <w:footnoteRef/>
      </w:r>
      <w:r>
        <w:t xml:space="preserve"> Современные российские облигации // Электронная публикация http://www.fora-capital.ru/5/bonds3.php</w:t>
      </w:r>
    </w:p>
  </w:footnote>
  <w:footnote w:id="2">
    <w:p w:rsidR="000E453A" w:rsidRDefault="000E453A">
      <w:pPr>
        <w:pStyle w:val="ad"/>
      </w:pPr>
      <w:r>
        <w:rPr>
          <w:rStyle w:val="af"/>
        </w:rPr>
        <w:footnoteRef/>
      </w:r>
      <w:r>
        <w:t xml:space="preserve"> Муравьева A. Кому дать взаймы? // Новости рынка недвижимости, № 23 от 27.06.2005.</w:t>
      </w:r>
    </w:p>
  </w:footnote>
  <w:footnote w:id="3">
    <w:p w:rsidR="000E453A" w:rsidRDefault="000E453A">
      <w:pPr>
        <w:pStyle w:val="ad"/>
      </w:pPr>
      <w:r>
        <w:rPr>
          <w:rStyle w:val="af"/>
        </w:rPr>
        <w:footnoteRef/>
      </w:r>
      <w:r>
        <w:t xml:space="preserve"> Муравьева A. Кому дать взаймы? // Новости рынка недвижимости, № 23 от 27.06.2005.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53A" w:rsidRDefault="000764D1">
    <w:pPr>
      <w:framePr w:wrap="auto" w:vAnchor="text" w:hAnchor="margin" w:xAlign="right" w:y="1"/>
      <w:tabs>
        <w:tab w:val="left" w:pos="851"/>
      </w:tabs>
      <w:spacing w:before="0" w:after="0" w:line="480" w:lineRule="exact"/>
      <w:rPr>
        <w:rStyle w:val="a7"/>
        <w:sz w:val="28"/>
        <w:szCs w:val="28"/>
      </w:rPr>
    </w:pPr>
    <w:r>
      <w:rPr>
        <w:rStyle w:val="a7"/>
        <w:noProof/>
        <w:sz w:val="28"/>
        <w:szCs w:val="28"/>
      </w:rPr>
      <w:t>2</w:t>
    </w:r>
  </w:p>
  <w:p w:rsidR="000E453A" w:rsidRDefault="000E453A">
    <w:pPr>
      <w:tabs>
        <w:tab w:val="left" w:pos="851"/>
      </w:tabs>
      <w:spacing w:before="0" w:after="0" w:line="480" w:lineRule="exact"/>
      <w:ind w:right="360"/>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614EC"/>
    <w:multiLevelType w:val="hybridMultilevel"/>
    <w:tmpl w:val="77F8E3E0"/>
    <w:lvl w:ilvl="0" w:tplc="3D58BA54">
      <w:start w:val="1"/>
      <w:numFmt w:val="decimal"/>
      <w:lvlText w:val="%1."/>
      <w:lvlJc w:val="left"/>
      <w:pPr>
        <w:tabs>
          <w:tab w:val="num" w:pos="1437"/>
        </w:tabs>
        <w:ind w:left="1437" w:hanging="87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
    <w:nsid w:val="693C7A98"/>
    <w:multiLevelType w:val="hybridMultilevel"/>
    <w:tmpl w:val="B98009DE"/>
    <w:lvl w:ilvl="0" w:tplc="B4D27A2E">
      <w:numFmt w:val="bullet"/>
      <w:lvlText w:val="—"/>
      <w:lvlJc w:val="left"/>
      <w:pPr>
        <w:tabs>
          <w:tab w:val="num" w:pos="1571"/>
        </w:tabs>
        <w:ind w:left="1571" w:hanging="437"/>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
    <w:nsid w:val="6D3A26B0"/>
    <w:multiLevelType w:val="hybridMultilevel"/>
    <w:tmpl w:val="E54876E4"/>
    <w:lvl w:ilvl="0" w:tplc="B4D27A2E">
      <w:numFmt w:val="bullet"/>
      <w:lvlText w:val="—"/>
      <w:lvlJc w:val="left"/>
      <w:pPr>
        <w:tabs>
          <w:tab w:val="num" w:pos="1571"/>
        </w:tabs>
        <w:ind w:left="1571" w:hanging="437"/>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4D1"/>
    <w:rsid w:val="000764D1"/>
    <w:rsid w:val="000E453A"/>
    <w:rsid w:val="00372DBB"/>
    <w:rsid w:val="00A93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BB1E1D-CDA3-4CDB-AB66-B3AAA251F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rFonts w:ascii="Times New Roman" w:hAnsi="Times New Roman"/>
      <w:sz w:val="24"/>
      <w:szCs w:val="24"/>
      <w:lang w:val="uk-UA"/>
    </w:rPr>
  </w:style>
  <w:style w:type="paragraph" w:styleId="1">
    <w:name w:val="heading 1"/>
    <w:aliases w:val="Заголовок 1 Знак"/>
    <w:basedOn w:val="a"/>
    <w:next w:val="a"/>
    <w:link w:val="11"/>
    <w:uiPriority w:val="99"/>
    <w:qFormat/>
    <w:pPr>
      <w:keepNext/>
      <w:tabs>
        <w:tab w:val="left" w:pos="851"/>
      </w:tabs>
      <w:spacing w:before="0" w:after="0" w:line="360" w:lineRule="auto"/>
      <w:jc w:val="center"/>
      <w:outlineLvl w:val="0"/>
    </w:pPr>
    <w:rPr>
      <w:b/>
      <w:bCs/>
      <w:noProof/>
      <w:sz w:val="28"/>
      <w:szCs w:val="28"/>
    </w:rPr>
  </w:style>
  <w:style w:type="paragraph" w:styleId="2">
    <w:name w:val="heading 2"/>
    <w:basedOn w:val="a"/>
    <w:next w:val="a"/>
    <w:link w:val="20"/>
    <w:uiPriority w:val="99"/>
    <w:qFormat/>
    <w:pPr>
      <w:keepNext/>
      <w:tabs>
        <w:tab w:val="left" w:pos="0"/>
        <w:tab w:val="left" w:pos="851"/>
      </w:tabs>
      <w:spacing w:before="0" w:after="0" w:line="360" w:lineRule="auto"/>
      <w:jc w:val="center"/>
      <w:outlineLvl w:val="1"/>
    </w:pPr>
    <w:rPr>
      <w:b/>
      <w:bCs/>
      <w:noProof/>
      <w:sz w:val="28"/>
      <w:szCs w:val="28"/>
    </w:rPr>
  </w:style>
  <w:style w:type="paragraph" w:styleId="3">
    <w:name w:val="heading 3"/>
    <w:basedOn w:val="a"/>
    <w:next w:val="a"/>
    <w:link w:val="30"/>
    <w:uiPriority w:val="99"/>
    <w:qFormat/>
    <w:pPr>
      <w:keepNext/>
      <w:tabs>
        <w:tab w:val="left" w:pos="851"/>
      </w:tabs>
      <w:spacing w:before="0" w:after="0" w:line="360" w:lineRule="auto"/>
      <w:jc w:val="center"/>
      <w:outlineLvl w:val="2"/>
    </w:pPr>
    <w:rPr>
      <w:b/>
      <w:bCs/>
      <w:sz w:val="28"/>
      <w:szCs w:val="28"/>
    </w:rPr>
  </w:style>
  <w:style w:type="paragraph" w:styleId="7">
    <w:name w:val="heading 7"/>
    <w:basedOn w:val="a"/>
    <w:next w:val="a"/>
    <w:link w:val="70"/>
    <w:uiPriority w:val="99"/>
    <w:qFormat/>
    <w:pPr>
      <w:keepNext/>
      <w:spacing w:before="0" w:after="0"/>
      <w:outlineLvl w:val="6"/>
    </w:pPr>
    <w:rPr>
      <w:b/>
      <w:bCs/>
      <w:sz w:val="26"/>
      <w:szCs w:val="26"/>
      <w:lang w:val="ru-RU"/>
    </w:rPr>
  </w:style>
  <w:style w:type="paragraph" w:styleId="8">
    <w:name w:val="heading 8"/>
    <w:basedOn w:val="a"/>
    <w:next w:val="a"/>
    <w:link w:val="80"/>
    <w:uiPriority w:val="99"/>
    <w:qFormat/>
    <w:pPr>
      <w:keepNext/>
      <w:spacing w:before="0" w:after="0"/>
      <w:jc w:val="center"/>
      <w:outlineLvl w:val="7"/>
    </w:pPr>
    <w:rPr>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w:link w:val="1"/>
    <w:uiPriority w:val="99"/>
    <w:rPr>
      <w:b/>
      <w:bCs/>
      <w:noProof/>
      <w:sz w:val="28"/>
      <w:szCs w:val="28"/>
      <w:lang w:val="uk-UA" w:eastAsia="ru-RU"/>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70">
    <w:name w:val="Заголовок 7 Знак"/>
    <w:link w:val="7"/>
    <w:uiPriority w:val="9"/>
    <w:semiHidden/>
    <w:rPr>
      <w:sz w:val="24"/>
      <w:szCs w:val="24"/>
      <w:lang w:val="uk-UA"/>
    </w:rPr>
  </w:style>
  <w:style w:type="character" w:customStyle="1" w:styleId="80">
    <w:name w:val="Заголовок 8 Знак"/>
    <w:link w:val="8"/>
    <w:uiPriority w:val="9"/>
    <w:semiHidden/>
    <w:rPr>
      <w:i/>
      <w:iCs/>
      <w:sz w:val="24"/>
      <w:szCs w:val="24"/>
      <w:lang w:val="uk-UA"/>
    </w:rPr>
  </w:style>
  <w:style w:type="paragraph" w:styleId="a3">
    <w:name w:val="Body Text"/>
    <w:basedOn w:val="a"/>
    <w:link w:val="a4"/>
    <w:uiPriority w:val="99"/>
    <w:pPr>
      <w:tabs>
        <w:tab w:val="left" w:pos="851"/>
      </w:tabs>
      <w:spacing w:before="0" w:after="0" w:line="480" w:lineRule="exact"/>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8"/>
      <w:szCs w:val="28"/>
      <w:lang w:val="uk-UA"/>
    </w:rPr>
  </w:style>
  <w:style w:type="paragraph" w:styleId="a5">
    <w:name w:val="Title"/>
    <w:basedOn w:val="a"/>
    <w:link w:val="a6"/>
    <w:uiPriority w:val="99"/>
    <w:qFormat/>
    <w:pPr>
      <w:tabs>
        <w:tab w:val="left" w:pos="851"/>
      </w:tabs>
      <w:spacing w:before="0" w:after="0" w:line="480" w:lineRule="exact"/>
      <w:jc w:val="center"/>
    </w:pPr>
    <w:rPr>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lang w:val="uk-UA"/>
    </w:rPr>
  </w:style>
  <w:style w:type="paragraph" w:styleId="21">
    <w:name w:val="Body Text 2"/>
    <w:basedOn w:val="a"/>
    <w:link w:val="22"/>
    <w:uiPriority w:val="99"/>
    <w:pPr>
      <w:spacing w:before="0" w:after="0"/>
      <w:jc w:val="center"/>
    </w:pPr>
    <w:rPr>
      <w:b/>
      <w:bCs/>
      <w:sz w:val="28"/>
      <w:szCs w:val="28"/>
      <w:lang w:val="ru-RU"/>
    </w:rPr>
  </w:style>
  <w:style w:type="character" w:customStyle="1" w:styleId="22">
    <w:name w:val="Основной текст 2 Знак"/>
    <w:link w:val="21"/>
    <w:uiPriority w:val="99"/>
    <w:semiHidden/>
    <w:rPr>
      <w:rFonts w:ascii="Times New Roman" w:hAnsi="Times New Roman" w:cs="Times New Roman"/>
      <w:sz w:val="28"/>
      <w:szCs w:val="28"/>
      <w:lang w:val="uk-UA"/>
    </w:rPr>
  </w:style>
  <w:style w:type="character" w:styleId="a7">
    <w:name w:val="page number"/>
    <w:uiPriority w:val="99"/>
  </w:style>
  <w:style w:type="paragraph" w:styleId="a8">
    <w:name w:val="List"/>
    <w:basedOn w:val="a"/>
    <w:uiPriority w:val="99"/>
    <w:pPr>
      <w:tabs>
        <w:tab w:val="left" w:pos="851"/>
      </w:tabs>
      <w:spacing w:before="0" w:after="0" w:line="480" w:lineRule="exact"/>
      <w:ind w:left="283" w:hanging="283"/>
    </w:pPr>
    <w:rPr>
      <w:sz w:val="28"/>
      <w:szCs w:val="28"/>
    </w:rPr>
  </w:style>
  <w:style w:type="paragraph" w:customStyle="1" w:styleId="a9">
    <w:name w:val="Курсовик Знак"/>
    <w:basedOn w:val="a"/>
    <w:uiPriority w:val="99"/>
    <w:pPr>
      <w:spacing w:before="0" w:after="0" w:line="360" w:lineRule="auto"/>
      <w:ind w:firstLine="567"/>
      <w:jc w:val="both"/>
    </w:pPr>
    <w:rPr>
      <w:kern w:val="28"/>
      <w:sz w:val="28"/>
      <w:szCs w:val="28"/>
      <w:lang w:val="ru-RU"/>
    </w:rPr>
  </w:style>
  <w:style w:type="paragraph" w:styleId="10">
    <w:name w:val="toc 1"/>
    <w:basedOn w:val="a"/>
    <w:next w:val="a"/>
    <w:autoRedefine/>
    <w:uiPriority w:val="99"/>
    <w:pPr>
      <w:spacing w:before="0" w:after="0" w:line="480" w:lineRule="exact"/>
    </w:pPr>
    <w:rPr>
      <w:sz w:val="28"/>
      <w:szCs w:val="28"/>
    </w:rPr>
  </w:style>
  <w:style w:type="paragraph" w:styleId="23">
    <w:name w:val="toc 2"/>
    <w:basedOn w:val="a"/>
    <w:next w:val="a"/>
    <w:autoRedefine/>
    <w:uiPriority w:val="99"/>
    <w:pPr>
      <w:spacing w:before="0" w:after="0" w:line="480" w:lineRule="exact"/>
      <w:ind w:left="280"/>
    </w:pPr>
    <w:rPr>
      <w:sz w:val="28"/>
      <w:szCs w:val="28"/>
    </w:rPr>
  </w:style>
  <w:style w:type="paragraph" w:styleId="31">
    <w:name w:val="toc 3"/>
    <w:basedOn w:val="a"/>
    <w:next w:val="a"/>
    <w:autoRedefine/>
    <w:uiPriority w:val="99"/>
    <w:pPr>
      <w:spacing w:before="0" w:after="0" w:line="480" w:lineRule="exact"/>
      <w:ind w:left="560"/>
    </w:pPr>
    <w:rPr>
      <w:sz w:val="28"/>
      <w:szCs w:val="28"/>
    </w:rPr>
  </w:style>
  <w:style w:type="paragraph" w:styleId="4">
    <w:name w:val="toc 4"/>
    <w:basedOn w:val="a"/>
    <w:next w:val="a"/>
    <w:autoRedefine/>
    <w:uiPriority w:val="99"/>
    <w:pPr>
      <w:spacing w:before="0" w:after="0" w:line="480" w:lineRule="exact"/>
      <w:ind w:left="840"/>
    </w:pPr>
    <w:rPr>
      <w:sz w:val="28"/>
      <w:szCs w:val="28"/>
    </w:rPr>
  </w:style>
  <w:style w:type="paragraph" w:styleId="5">
    <w:name w:val="toc 5"/>
    <w:basedOn w:val="a"/>
    <w:next w:val="a"/>
    <w:autoRedefine/>
    <w:uiPriority w:val="99"/>
    <w:pPr>
      <w:spacing w:before="0" w:after="0" w:line="480" w:lineRule="exact"/>
      <w:ind w:left="1120"/>
    </w:pPr>
    <w:rPr>
      <w:sz w:val="28"/>
      <w:szCs w:val="28"/>
    </w:rPr>
  </w:style>
  <w:style w:type="paragraph" w:styleId="6">
    <w:name w:val="toc 6"/>
    <w:basedOn w:val="a"/>
    <w:next w:val="a"/>
    <w:autoRedefine/>
    <w:uiPriority w:val="99"/>
    <w:pPr>
      <w:spacing w:before="0" w:after="0" w:line="480" w:lineRule="exact"/>
      <w:ind w:left="1400"/>
    </w:pPr>
    <w:rPr>
      <w:sz w:val="28"/>
      <w:szCs w:val="28"/>
    </w:rPr>
  </w:style>
  <w:style w:type="paragraph" w:styleId="71">
    <w:name w:val="toc 7"/>
    <w:basedOn w:val="a"/>
    <w:next w:val="a"/>
    <w:autoRedefine/>
    <w:uiPriority w:val="99"/>
    <w:pPr>
      <w:spacing w:before="0" w:after="0" w:line="480" w:lineRule="exact"/>
      <w:ind w:left="1680"/>
    </w:pPr>
    <w:rPr>
      <w:sz w:val="28"/>
      <w:szCs w:val="28"/>
    </w:rPr>
  </w:style>
  <w:style w:type="paragraph" w:styleId="81">
    <w:name w:val="toc 8"/>
    <w:basedOn w:val="a"/>
    <w:next w:val="a"/>
    <w:autoRedefine/>
    <w:uiPriority w:val="99"/>
    <w:pPr>
      <w:spacing w:before="0" w:after="0" w:line="480" w:lineRule="exact"/>
      <w:ind w:left="1960"/>
    </w:pPr>
    <w:rPr>
      <w:sz w:val="28"/>
      <w:szCs w:val="28"/>
    </w:rPr>
  </w:style>
  <w:style w:type="paragraph" w:styleId="9">
    <w:name w:val="toc 9"/>
    <w:basedOn w:val="a"/>
    <w:next w:val="a"/>
    <w:autoRedefine/>
    <w:uiPriority w:val="99"/>
    <w:pPr>
      <w:spacing w:before="0" w:after="0" w:line="480" w:lineRule="exact"/>
      <w:ind w:left="2240"/>
    </w:pPr>
    <w:rPr>
      <w:sz w:val="28"/>
      <w:szCs w:val="28"/>
    </w:rPr>
  </w:style>
  <w:style w:type="paragraph" w:styleId="12">
    <w:name w:val="index 1"/>
    <w:basedOn w:val="a"/>
    <w:next w:val="a"/>
    <w:autoRedefine/>
    <w:uiPriority w:val="99"/>
    <w:pPr>
      <w:spacing w:before="0" w:after="0" w:line="480" w:lineRule="exact"/>
      <w:ind w:left="280" w:hanging="280"/>
    </w:pPr>
    <w:rPr>
      <w:sz w:val="28"/>
      <w:szCs w:val="28"/>
    </w:rPr>
  </w:style>
  <w:style w:type="paragraph" w:styleId="24">
    <w:name w:val="index 2"/>
    <w:basedOn w:val="a"/>
    <w:next w:val="a"/>
    <w:autoRedefine/>
    <w:uiPriority w:val="99"/>
    <w:pPr>
      <w:spacing w:before="0" w:after="0" w:line="480" w:lineRule="exact"/>
      <w:ind w:left="560" w:hanging="280"/>
    </w:pPr>
    <w:rPr>
      <w:sz w:val="28"/>
      <w:szCs w:val="28"/>
    </w:rPr>
  </w:style>
  <w:style w:type="paragraph" w:styleId="32">
    <w:name w:val="index 3"/>
    <w:basedOn w:val="a"/>
    <w:next w:val="a"/>
    <w:autoRedefine/>
    <w:uiPriority w:val="99"/>
    <w:pPr>
      <w:spacing w:before="0" w:after="0" w:line="480" w:lineRule="exact"/>
      <w:ind w:left="840" w:hanging="280"/>
    </w:pPr>
    <w:rPr>
      <w:sz w:val="28"/>
      <w:szCs w:val="28"/>
    </w:rPr>
  </w:style>
  <w:style w:type="paragraph" w:styleId="40">
    <w:name w:val="index 4"/>
    <w:basedOn w:val="a"/>
    <w:next w:val="a"/>
    <w:autoRedefine/>
    <w:uiPriority w:val="99"/>
    <w:pPr>
      <w:spacing w:before="0" w:after="0" w:line="480" w:lineRule="exact"/>
      <w:ind w:left="1120" w:hanging="280"/>
    </w:pPr>
    <w:rPr>
      <w:sz w:val="28"/>
      <w:szCs w:val="28"/>
    </w:rPr>
  </w:style>
  <w:style w:type="paragraph" w:styleId="50">
    <w:name w:val="index 5"/>
    <w:basedOn w:val="a"/>
    <w:next w:val="a"/>
    <w:autoRedefine/>
    <w:uiPriority w:val="99"/>
    <w:pPr>
      <w:spacing w:before="0" w:after="0" w:line="480" w:lineRule="exact"/>
      <w:ind w:left="1400" w:hanging="280"/>
    </w:pPr>
    <w:rPr>
      <w:sz w:val="28"/>
      <w:szCs w:val="28"/>
    </w:rPr>
  </w:style>
  <w:style w:type="paragraph" w:styleId="60">
    <w:name w:val="index 6"/>
    <w:basedOn w:val="a"/>
    <w:next w:val="a"/>
    <w:autoRedefine/>
    <w:uiPriority w:val="99"/>
    <w:pPr>
      <w:spacing w:before="0" w:after="0" w:line="480" w:lineRule="exact"/>
      <w:ind w:left="1680" w:hanging="280"/>
    </w:pPr>
    <w:rPr>
      <w:sz w:val="28"/>
      <w:szCs w:val="28"/>
    </w:rPr>
  </w:style>
  <w:style w:type="paragraph" w:styleId="72">
    <w:name w:val="index 7"/>
    <w:basedOn w:val="a"/>
    <w:next w:val="a"/>
    <w:autoRedefine/>
    <w:uiPriority w:val="99"/>
    <w:pPr>
      <w:spacing w:before="0" w:after="0" w:line="480" w:lineRule="exact"/>
      <w:ind w:left="1960" w:hanging="280"/>
    </w:pPr>
    <w:rPr>
      <w:sz w:val="28"/>
      <w:szCs w:val="28"/>
    </w:rPr>
  </w:style>
  <w:style w:type="paragraph" w:styleId="82">
    <w:name w:val="index 8"/>
    <w:basedOn w:val="a"/>
    <w:next w:val="a"/>
    <w:autoRedefine/>
    <w:uiPriority w:val="99"/>
    <w:pPr>
      <w:spacing w:before="0" w:after="0" w:line="480" w:lineRule="exact"/>
      <w:ind w:left="2240" w:hanging="280"/>
    </w:pPr>
    <w:rPr>
      <w:sz w:val="28"/>
      <w:szCs w:val="28"/>
    </w:rPr>
  </w:style>
  <w:style w:type="paragraph" w:styleId="90">
    <w:name w:val="index 9"/>
    <w:basedOn w:val="a"/>
    <w:next w:val="a"/>
    <w:autoRedefine/>
    <w:uiPriority w:val="99"/>
    <w:pPr>
      <w:spacing w:before="0" w:after="0" w:line="480" w:lineRule="exact"/>
      <w:ind w:left="2520" w:hanging="280"/>
    </w:pPr>
    <w:rPr>
      <w:sz w:val="28"/>
      <w:szCs w:val="28"/>
    </w:rPr>
  </w:style>
  <w:style w:type="paragraph" w:styleId="aa">
    <w:name w:val="index heading"/>
    <w:basedOn w:val="a"/>
    <w:next w:val="12"/>
    <w:uiPriority w:val="99"/>
    <w:pPr>
      <w:tabs>
        <w:tab w:val="left" w:pos="851"/>
      </w:tabs>
      <w:spacing w:before="0" w:after="0" w:line="480" w:lineRule="exact"/>
    </w:pPr>
    <w:rPr>
      <w:sz w:val="28"/>
      <w:szCs w:val="28"/>
    </w:rPr>
  </w:style>
  <w:style w:type="paragraph" w:styleId="ab">
    <w:name w:val="Normal (Web)"/>
    <w:basedOn w:val="a"/>
    <w:uiPriority w:val="99"/>
    <w:pPr>
      <w:spacing w:beforeAutospacing="1" w:afterAutospacing="1"/>
    </w:pPr>
    <w:rPr>
      <w:color w:val="000000"/>
      <w:lang w:val="ru-RU"/>
    </w:rPr>
  </w:style>
  <w:style w:type="character" w:styleId="ac">
    <w:name w:val="Hyperlink"/>
    <w:uiPriority w:val="99"/>
    <w:rPr>
      <w:color w:val="0000FF"/>
      <w:u w:val="single"/>
    </w:rPr>
  </w:style>
  <w:style w:type="paragraph" w:styleId="ad">
    <w:name w:val="footnote text"/>
    <w:basedOn w:val="a"/>
    <w:link w:val="ae"/>
    <w:autoRedefine/>
    <w:uiPriority w:val="99"/>
    <w:pPr>
      <w:tabs>
        <w:tab w:val="left" w:pos="851"/>
      </w:tabs>
      <w:spacing w:before="0" w:after="0"/>
    </w:pPr>
    <w:rPr>
      <w:sz w:val="20"/>
      <w:szCs w:val="20"/>
    </w:rPr>
  </w:style>
  <w:style w:type="character" w:customStyle="1" w:styleId="ae">
    <w:name w:val="Текст сноски Знак"/>
    <w:link w:val="ad"/>
    <w:uiPriority w:val="99"/>
    <w:semiHidden/>
    <w:rPr>
      <w:rFonts w:ascii="Times New Roman" w:hAnsi="Times New Roman" w:cs="Times New Roman"/>
      <w:sz w:val="20"/>
      <w:szCs w:val="20"/>
      <w:lang w:val="uk-UA"/>
    </w:rPr>
  </w:style>
  <w:style w:type="character" w:styleId="af">
    <w:name w:val="footnote reference"/>
    <w:uiPriority w:val="99"/>
    <w:rPr>
      <w:vertAlign w:val="superscript"/>
    </w:rPr>
  </w:style>
  <w:style w:type="paragraph" w:styleId="af0">
    <w:name w:val="header"/>
    <w:basedOn w:val="a"/>
    <w:link w:val="af1"/>
    <w:uiPriority w:val="99"/>
    <w:pPr>
      <w:tabs>
        <w:tab w:val="left" w:pos="851"/>
        <w:tab w:val="center" w:pos="4153"/>
        <w:tab w:val="right" w:pos="8306"/>
      </w:tabs>
      <w:spacing w:before="0" w:after="0" w:line="480" w:lineRule="exact"/>
    </w:pPr>
    <w:rPr>
      <w:sz w:val="28"/>
      <w:szCs w:val="28"/>
    </w:rPr>
  </w:style>
  <w:style w:type="character" w:customStyle="1" w:styleId="af1">
    <w:name w:val="Верхний колонтитул Знак"/>
    <w:link w:val="af0"/>
    <w:uiPriority w:val="99"/>
    <w:semiHidden/>
    <w:rPr>
      <w:rFonts w:ascii="Times New Roman" w:hAnsi="Times New Roman" w:cs="Times New Roman"/>
      <w:sz w:val="28"/>
      <w:szCs w:val="28"/>
      <w:lang w:val="uk-UA"/>
    </w:rPr>
  </w:style>
  <w:style w:type="paragraph" w:styleId="25">
    <w:name w:val="Body Text Indent 2"/>
    <w:basedOn w:val="a"/>
    <w:link w:val="26"/>
    <w:uiPriority w:val="99"/>
    <w:pPr>
      <w:tabs>
        <w:tab w:val="left" w:pos="851"/>
      </w:tabs>
      <w:spacing w:before="0" w:after="0" w:line="360" w:lineRule="auto"/>
      <w:ind w:left="851" w:hanging="284"/>
      <w:jc w:val="both"/>
    </w:pPr>
    <w:rPr>
      <w:noProof/>
      <w:sz w:val="28"/>
      <w:szCs w:val="28"/>
    </w:rPr>
  </w:style>
  <w:style w:type="character" w:customStyle="1" w:styleId="26">
    <w:name w:val="Основной текст с отступом 2 Знак"/>
    <w:link w:val="25"/>
    <w:uiPriority w:val="99"/>
    <w:semiHidden/>
    <w:rPr>
      <w:rFonts w:ascii="Times New Roman" w:hAnsi="Times New Roman" w:cs="Times New Roman"/>
      <w:sz w:val="28"/>
      <w:szCs w:val="28"/>
      <w:lang w:val="uk-UA"/>
    </w:rPr>
  </w:style>
  <w:style w:type="paragraph" w:customStyle="1" w:styleId="H1">
    <w:name w:val="H1"/>
    <w:basedOn w:val="a"/>
    <w:next w:val="a"/>
    <w:uiPriority w:val="99"/>
    <w:pPr>
      <w:keepNext/>
      <w:outlineLvl w:val="1"/>
    </w:pPr>
    <w:rPr>
      <w:b/>
      <w:bCs/>
      <w:kern w:val="36"/>
      <w:sz w:val="48"/>
      <w:szCs w:val="48"/>
      <w:lang w:val="ru-RU"/>
    </w:rPr>
  </w:style>
  <w:style w:type="paragraph" w:customStyle="1" w:styleId="H4">
    <w:name w:val="H4"/>
    <w:basedOn w:val="a"/>
    <w:next w:val="a"/>
    <w:uiPriority w:val="99"/>
    <w:pPr>
      <w:keepNext/>
      <w:outlineLvl w:val="4"/>
    </w:pPr>
    <w:rPr>
      <w:b/>
      <w:bCs/>
      <w:lang w:val="ru-RU"/>
    </w:rPr>
  </w:style>
  <w:style w:type="character" w:customStyle="1" w:styleId="h11">
    <w:name w:val="h11"/>
    <w:uiPriority w:val="99"/>
    <w:rPr>
      <w:sz w:val="18"/>
      <w:szCs w:val="18"/>
    </w:rPr>
  </w:style>
  <w:style w:type="character" w:customStyle="1" w:styleId="af2">
    <w:name w:val="Курсовик Знак Знак"/>
    <w:uiPriority w:val="99"/>
    <w:rPr>
      <w:kern w:val="28"/>
      <w:sz w:val="28"/>
      <w:szCs w:val="28"/>
      <w:lang w:val="ru-RU" w:eastAsia="ru-RU"/>
    </w:rPr>
  </w:style>
  <w:style w:type="paragraph" w:customStyle="1" w:styleId="af3">
    <w:name w:val="Курсовик"/>
    <w:basedOn w:val="a"/>
    <w:uiPriority w:val="99"/>
    <w:pPr>
      <w:spacing w:before="0" w:after="0" w:line="360" w:lineRule="auto"/>
      <w:ind w:firstLine="567"/>
      <w:jc w:val="both"/>
    </w:pPr>
    <w:rPr>
      <w:kern w:val="28"/>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2917</Words>
  <Characters>16630</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19508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gea</dc:creator>
  <cp:keywords/>
  <dc:description/>
  <cp:lastModifiedBy>admin</cp:lastModifiedBy>
  <cp:revision>2</cp:revision>
  <dcterms:created xsi:type="dcterms:W3CDTF">2014-03-13T21:40:00Z</dcterms:created>
  <dcterms:modified xsi:type="dcterms:W3CDTF">2014-03-13T21:40:00Z</dcterms:modified>
</cp:coreProperties>
</file>