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D" w:rsidRPr="00E007B8" w:rsidRDefault="00B12222" w:rsidP="00B12222">
      <w:pPr>
        <w:pStyle w:val="a3"/>
        <w:shd w:val="clear" w:color="000000" w:fill="auto"/>
        <w:suppressAutoHyphens/>
        <w:ind w:firstLine="0"/>
        <w:jc w:val="center"/>
        <w:outlineLvl w:val="0"/>
        <w:rPr>
          <w:b/>
        </w:rPr>
      </w:pPr>
      <w:r w:rsidRPr="00E007B8">
        <w:rPr>
          <w:b/>
        </w:rPr>
        <w:t>Содержание</w:t>
      </w:r>
    </w:p>
    <w:p w:rsidR="009734D4" w:rsidRPr="00E007B8" w:rsidRDefault="009734D4" w:rsidP="00B12222">
      <w:pPr>
        <w:pStyle w:val="a3"/>
        <w:shd w:val="clear" w:color="000000" w:fill="auto"/>
        <w:suppressAutoHyphens/>
        <w:jc w:val="center"/>
      </w:pPr>
    </w:p>
    <w:p w:rsidR="00D07E80" w:rsidRPr="00E007B8" w:rsidRDefault="00D07E80" w:rsidP="00B12222">
      <w:pPr>
        <w:pStyle w:val="11"/>
        <w:shd w:val="clear" w:color="000000" w:fill="auto"/>
        <w:tabs>
          <w:tab w:val="left" w:pos="567"/>
          <w:tab w:val="right" w:leader="dot" w:pos="9628"/>
        </w:tabs>
        <w:suppressAutoHyphens/>
        <w:spacing w:line="360" w:lineRule="auto"/>
        <w:jc w:val="both"/>
        <w:outlineLvl w:val="0"/>
        <w:rPr>
          <w:noProof/>
          <w:color w:val="000000"/>
          <w:sz w:val="28"/>
          <w:szCs w:val="28"/>
        </w:rPr>
      </w:pPr>
      <w:r w:rsidRPr="00E007B8">
        <w:rPr>
          <w:rStyle w:val="a9"/>
          <w:noProof/>
          <w:color w:val="000000"/>
          <w:sz w:val="28"/>
          <w:szCs w:val="28"/>
          <w:u w:val="none"/>
        </w:rPr>
        <w:t>Введение</w:t>
      </w:r>
    </w:p>
    <w:p w:rsidR="00D07E80" w:rsidRPr="00E007B8" w:rsidRDefault="00D07E80" w:rsidP="00B12222">
      <w:pPr>
        <w:pStyle w:val="11"/>
        <w:shd w:val="clear" w:color="000000" w:fill="auto"/>
        <w:tabs>
          <w:tab w:val="left" w:pos="480"/>
          <w:tab w:val="left" w:pos="567"/>
          <w:tab w:val="right" w:leader="dot" w:pos="9628"/>
        </w:tabs>
        <w:suppressAutoHyphens/>
        <w:spacing w:line="360" w:lineRule="auto"/>
        <w:jc w:val="both"/>
        <w:outlineLvl w:val="0"/>
        <w:rPr>
          <w:noProof/>
          <w:color w:val="000000"/>
          <w:sz w:val="28"/>
          <w:szCs w:val="28"/>
        </w:rPr>
      </w:pPr>
      <w:r w:rsidRPr="00E007B8">
        <w:rPr>
          <w:rStyle w:val="a9"/>
          <w:noProof/>
          <w:color w:val="000000"/>
          <w:sz w:val="28"/>
          <w:szCs w:val="28"/>
          <w:u w:val="none"/>
        </w:rPr>
        <w:t>1</w:t>
      </w:r>
      <w:r w:rsidRPr="00E007B8">
        <w:rPr>
          <w:noProof/>
          <w:color w:val="000000"/>
          <w:sz w:val="28"/>
          <w:szCs w:val="28"/>
        </w:rPr>
        <w:tab/>
      </w:r>
      <w:r w:rsidRPr="00E007B8">
        <w:rPr>
          <w:rStyle w:val="a9"/>
          <w:noProof/>
          <w:color w:val="000000"/>
          <w:sz w:val="28"/>
          <w:szCs w:val="28"/>
          <w:u w:val="none"/>
        </w:rPr>
        <w:t>Практика предоставления налоговых льгот предприятиям, реализующим инвестиционные проекты</w:t>
      </w:r>
    </w:p>
    <w:p w:rsidR="00D07E80" w:rsidRPr="00E007B8" w:rsidRDefault="00D07E80" w:rsidP="00B12222">
      <w:pPr>
        <w:pStyle w:val="21"/>
        <w:shd w:val="clear" w:color="000000" w:fill="auto"/>
        <w:tabs>
          <w:tab w:val="left" w:pos="567"/>
          <w:tab w:val="left" w:pos="960"/>
          <w:tab w:val="right" w:leader="dot" w:pos="9628"/>
        </w:tabs>
        <w:suppressAutoHyphens/>
        <w:spacing w:line="360" w:lineRule="auto"/>
        <w:ind w:left="0"/>
        <w:jc w:val="both"/>
        <w:outlineLvl w:val="0"/>
        <w:rPr>
          <w:noProof/>
          <w:color w:val="000000"/>
          <w:sz w:val="28"/>
          <w:szCs w:val="28"/>
        </w:rPr>
      </w:pPr>
      <w:r w:rsidRPr="00E007B8">
        <w:rPr>
          <w:rStyle w:val="a9"/>
          <w:noProof/>
          <w:color w:val="000000"/>
          <w:sz w:val="28"/>
          <w:szCs w:val="28"/>
          <w:u w:val="none"/>
        </w:rPr>
        <w:t>1.1</w:t>
      </w:r>
      <w:r w:rsidRPr="00E007B8">
        <w:rPr>
          <w:noProof/>
          <w:color w:val="000000"/>
          <w:sz w:val="28"/>
          <w:szCs w:val="28"/>
        </w:rPr>
        <w:tab/>
      </w:r>
      <w:r w:rsidRPr="00E007B8">
        <w:rPr>
          <w:rStyle w:val="a9"/>
          <w:noProof/>
          <w:color w:val="000000"/>
          <w:sz w:val="28"/>
          <w:szCs w:val="28"/>
          <w:u w:val="none"/>
        </w:rPr>
        <w:t>Значение оффшорных зон для инвестиционной привлекательности</w:t>
      </w:r>
    </w:p>
    <w:p w:rsidR="00D07E80" w:rsidRPr="00E007B8" w:rsidRDefault="00D07E80" w:rsidP="00B12222">
      <w:pPr>
        <w:pStyle w:val="21"/>
        <w:shd w:val="clear" w:color="000000" w:fill="auto"/>
        <w:tabs>
          <w:tab w:val="left" w:pos="567"/>
          <w:tab w:val="left" w:pos="960"/>
          <w:tab w:val="right" w:leader="dot" w:pos="9628"/>
        </w:tabs>
        <w:suppressAutoHyphens/>
        <w:spacing w:line="360" w:lineRule="auto"/>
        <w:ind w:left="0"/>
        <w:jc w:val="both"/>
        <w:outlineLvl w:val="0"/>
        <w:rPr>
          <w:noProof/>
          <w:color w:val="000000"/>
          <w:sz w:val="28"/>
          <w:szCs w:val="28"/>
        </w:rPr>
      </w:pPr>
      <w:r w:rsidRPr="00E007B8">
        <w:rPr>
          <w:rStyle w:val="a9"/>
          <w:noProof/>
          <w:color w:val="000000"/>
          <w:sz w:val="28"/>
          <w:szCs w:val="28"/>
          <w:u w:val="none"/>
        </w:rPr>
        <w:t>1.2</w:t>
      </w:r>
      <w:r w:rsidRPr="00E007B8">
        <w:rPr>
          <w:noProof/>
          <w:color w:val="000000"/>
          <w:sz w:val="28"/>
          <w:szCs w:val="28"/>
        </w:rPr>
        <w:tab/>
      </w:r>
      <w:r w:rsidRPr="00E007B8">
        <w:rPr>
          <w:rStyle w:val="a9"/>
          <w:noProof/>
          <w:color w:val="000000"/>
          <w:sz w:val="28"/>
          <w:szCs w:val="28"/>
          <w:u w:val="none"/>
        </w:rPr>
        <w:t>Льготы по налогам инвестиционных предприятий в Новгородской области</w:t>
      </w:r>
    </w:p>
    <w:p w:rsidR="00D07E80" w:rsidRPr="00E007B8" w:rsidRDefault="00D07E80" w:rsidP="00B12222">
      <w:pPr>
        <w:pStyle w:val="21"/>
        <w:shd w:val="clear" w:color="000000" w:fill="auto"/>
        <w:tabs>
          <w:tab w:val="left" w:pos="567"/>
          <w:tab w:val="left" w:pos="960"/>
          <w:tab w:val="right" w:leader="dot" w:pos="9628"/>
        </w:tabs>
        <w:suppressAutoHyphens/>
        <w:spacing w:line="360" w:lineRule="auto"/>
        <w:ind w:left="0"/>
        <w:jc w:val="both"/>
        <w:outlineLvl w:val="0"/>
        <w:rPr>
          <w:noProof/>
          <w:color w:val="000000"/>
          <w:sz w:val="28"/>
          <w:szCs w:val="28"/>
        </w:rPr>
      </w:pPr>
      <w:r w:rsidRPr="00E007B8">
        <w:rPr>
          <w:rStyle w:val="a9"/>
          <w:noProof/>
          <w:color w:val="000000"/>
          <w:sz w:val="28"/>
          <w:szCs w:val="28"/>
          <w:u w:val="none"/>
        </w:rPr>
        <w:t>1.3</w:t>
      </w:r>
      <w:r w:rsidRPr="00E007B8">
        <w:rPr>
          <w:noProof/>
          <w:color w:val="000000"/>
          <w:sz w:val="28"/>
          <w:szCs w:val="28"/>
        </w:rPr>
        <w:tab/>
      </w:r>
      <w:r w:rsidRPr="00E007B8">
        <w:rPr>
          <w:rStyle w:val="a9"/>
          <w:noProof/>
          <w:color w:val="000000"/>
          <w:sz w:val="28"/>
          <w:szCs w:val="28"/>
          <w:u w:val="none"/>
        </w:rPr>
        <w:t>Льготы по налогам инвестиционных предприятий в Ярославской области</w:t>
      </w:r>
    </w:p>
    <w:p w:rsidR="00D07E80" w:rsidRPr="00E007B8" w:rsidRDefault="00D07E80" w:rsidP="00B12222">
      <w:pPr>
        <w:pStyle w:val="11"/>
        <w:shd w:val="clear" w:color="000000" w:fill="auto"/>
        <w:tabs>
          <w:tab w:val="left" w:pos="480"/>
          <w:tab w:val="left" w:pos="567"/>
          <w:tab w:val="right" w:leader="dot" w:pos="9628"/>
        </w:tabs>
        <w:suppressAutoHyphens/>
        <w:spacing w:line="360" w:lineRule="auto"/>
        <w:jc w:val="both"/>
        <w:outlineLvl w:val="0"/>
        <w:rPr>
          <w:noProof/>
          <w:color w:val="000000"/>
          <w:sz w:val="28"/>
          <w:szCs w:val="28"/>
        </w:rPr>
      </w:pPr>
      <w:r w:rsidRPr="00E007B8">
        <w:rPr>
          <w:rStyle w:val="a9"/>
          <w:noProof/>
          <w:color w:val="000000"/>
          <w:sz w:val="28"/>
          <w:szCs w:val="28"/>
          <w:u w:val="none"/>
        </w:rPr>
        <w:t>2</w:t>
      </w:r>
      <w:r w:rsidRPr="00E007B8">
        <w:rPr>
          <w:noProof/>
          <w:color w:val="000000"/>
          <w:sz w:val="28"/>
          <w:szCs w:val="28"/>
        </w:rPr>
        <w:tab/>
      </w:r>
      <w:r w:rsidRPr="00E007B8">
        <w:rPr>
          <w:rStyle w:val="a9"/>
          <w:noProof/>
          <w:color w:val="000000"/>
          <w:sz w:val="28"/>
          <w:szCs w:val="28"/>
          <w:u w:val="none"/>
        </w:rPr>
        <w:t>Задача</w:t>
      </w:r>
    </w:p>
    <w:p w:rsidR="00D07E80" w:rsidRPr="00E007B8" w:rsidRDefault="00D07E80" w:rsidP="00B12222">
      <w:pPr>
        <w:pStyle w:val="11"/>
        <w:shd w:val="clear" w:color="000000" w:fill="auto"/>
        <w:tabs>
          <w:tab w:val="left" w:pos="567"/>
          <w:tab w:val="right" w:leader="dot" w:pos="9628"/>
        </w:tabs>
        <w:suppressAutoHyphens/>
        <w:spacing w:line="360" w:lineRule="auto"/>
        <w:jc w:val="both"/>
        <w:outlineLvl w:val="0"/>
        <w:rPr>
          <w:noProof/>
          <w:color w:val="000000"/>
          <w:sz w:val="28"/>
          <w:szCs w:val="28"/>
        </w:rPr>
      </w:pPr>
      <w:r w:rsidRPr="00E007B8">
        <w:rPr>
          <w:rStyle w:val="a9"/>
          <w:noProof/>
          <w:color w:val="000000"/>
          <w:sz w:val="28"/>
          <w:szCs w:val="28"/>
          <w:u w:val="none"/>
        </w:rPr>
        <w:t>Заключение</w:t>
      </w:r>
    </w:p>
    <w:p w:rsidR="00D07E80" w:rsidRPr="00E007B8" w:rsidRDefault="00D07E80" w:rsidP="00B12222">
      <w:pPr>
        <w:pStyle w:val="11"/>
        <w:shd w:val="clear" w:color="000000" w:fill="auto"/>
        <w:tabs>
          <w:tab w:val="left" w:pos="567"/>
          <w:tab w:val="right" w:leader="dot" w:pos="9628"/>
        </w:tabs>
        <w:suppressAutoHyphens/>
        <w:spacing w:line="360" w:lineRule="auto"/>
        <w:jc w:val="both"/>
        <w:outlineLvl w:val="0"/>
        <w:rPr>
          <w:noProof/>
          <w:color w:val="000000"/>
          <w:sz w:val="28"/>
          <w:szCs w:val="28"/>
        </w:rPr>
      </w:pPr>
      <w:r w:rsidRPr="00E007B8">
        <w:rPr>
          <w:rStyle w:val="a9"/>
          <w:noProof/>
          <w:color w:val="000000"/>
          <w:sz w:val="28"/>
          <w:szCs w:val="28"/>
          <w:u w:val="none"/>
        </w:rPr>
        <w:t>Список используемой литературы</w:t>
      </w:r>
    </w:p>
    <w:p w:rsidR="009734D4" w:rsidRPr="00E007B8" w:rsidRDefault="009734D4" w:rsidP="00B12222">
      <w:pPr>
        <w:pStyle w:val="a3"/>
        <w:shd w:val="clear" w:color="000000" w:fill="auto"/>
        <w:tabs>
          <w:tab w:val="left" w:pos="567"/>
        </w:tabs>
        <w:suppressAutoHyphens/>
        <w:ind w:firstLine="0"/>
        <w:outlineLvl w:val="0"/>
      </w:pPr>
    </w:p>
    <w:p w:rsidR="009734D4" w:rsidRPr="00E007B8" w:rsidRDefault="009734D4" w:rsidP="00B12222">
      <w:pPr>
        <w:pStyle w:val="a4"/>
        <w:keepNext w:val="0"/>
        <w:shd w:val="clear" w:color="000000" w:fill="auto"/>
        <w:suppressAutoHyphens/>
        <w:spacing w:before="0" w:after="0" w:line="360" w:lineRule="auto"/>
        <w:rPr>
          <w:rFonts w:cs="Times New Roman"/>
          <w:b w:val="0"/>
          <w:color w:val="000000"/>
          <w:sz w:val="28"/>
        </w:rPr>
      </w:pPr>
      <w:r w:rsidRPr="00E007B8">
        <w:rPr>
          <w:rFonts w:cs="Times New Roman"/>
          <w:color w:val="000000"/>
          <w:sz w:val="28"/>
        </w:rPr>
        <w:br w:type="page"/>
      </w:r>
      <w:bookmarkStart w:id="0" w:name="_Toc118392267"/>
      <w:r w:rsidRPr="00E007B8">
        <w:rPr>
          <w:rFonts w:cs="Times New Roman"/>
          <w:color w:val="000000"/>
          <w:sz w:val="28"/>
        </w:rPr>
        <w:t>Введение</w:t>
      </w:r>
      <w:bookmarkEnd w:id="0"/>
    </w:p>
    <w:p w:rsidR="009734D4" w:rsidRPr="00E007B8" w:rsidRDefault="009734D4" w:rsidP="00B12222">
      <w:pPr>
        <w:pStyle w:val="a3"/>
        <w:shd w:val="clear" w:color="000000" w:fill="auto"/>
        <w:suppressAutoHyphens/>
      </w:pPr>
    </w:p>
    <w:p w:rsidR="00FC1287" w:rsidRPr="00E007B8" w:rsidRDefault="00FC1287" w:rsidP="00B12222">
      <w:pPr>
        <w:pStyle w:val="a3"/>
        <w:shd w:val="clear" w:color="000000" w:fill="auto"/>
        <w:suppressAutoHyphens/>
        <w:rPr>
          <w:szCs w:val="28"/>
        </w:rPr>
      </w:pPr>
      <w:r w:rsidRPr="00E007B8">
        <w:rPr>
          <w:szCs w:val="28"/>
        </w:rPr>
        <w:t>Инвестиции - это долгосрочное вложение капитала с целью получения прибыли. В конечном итоге они используются для создания и расширения предприятий различных отраслей. Очевидно, что развитие экономики невозможно без инвестиций, при этом каждый инвестор желает, чтобы инвестиции использовались оптимальным образом, принося наибольший экономический эффект. Поэтому любой инвестиционный проект включает этап оценки данного варианта инвестирования. При этом желательно не ограничиваться рассмотрением одного варианта, а проанализировать несколько альтернативных инвестиционных проектов и выбрать наиболее эффективный.</w:t>
      </w:r>
    </w:p>
    <w:p w:rsidR="00B12222" w:rsidRPr="00E007B8" w:rsidRDefault="00FC1287" w:rsidP="00B12222">
      <w:pPr>
        <w:pStyle w:val="a3"/>
        <w:shd w:val="clear" w:color="000000" w:fill="auto"/>
        <w:suppressAutoHyphens/>
      </w:pPr>
      <w:r w:rsidRPr="00E007B8">
        <w:rPr>
          <w:szCs w:val="28"/>
        </w:rPr>
        <w:t>До сих пор не существует единой общепризнанной методики анализа инвестиционных проектов. Каждый инвестор волен выбирать те или иные методы анализа проектов. Многие инвестиционные компании используют собственные методики оценки эффективности инвестиционных проектов и отбора их для финансирования. Однако еще в 30-е годы был разработан ряд методов оценки инвестиционных проектов. С помощью этих методов рассчитываются показатели эффективности инвестиций. В той или иной степени все современные методики оценки инвестиций используют эти показатели.</w:t>
      </w:r>
      <w:r w:rsidR="0028723E" w:rsidRPr="00E007B8">
        <w:rPr>
          <w:rStyle w:val="ac"/>
          <w:vertAlign w:val="baseline"/>
        </w:rPr>
        <w:footnoteReference w:id="1"/>
      </w:r>
    </w:p>
    <w:p w:rsidR="00FC1287" w:rsidRPr="00E007B8" w:rsidRDefault="00FC1287" w:rsidP="00B12222">
      <w:pPr>
        <w:pStyle w:val="a3"/>
        <w:shd w:val="clear" w:color="000000" w:fill="auto"/>
        <w:suppressAutoHyphens/>
      </w:pPr>
      <w:r w:rsidRPr="00E007B8">
        <w:t>Но это все общие понятия и слова.</w:t>
      </w:r>
    </w:p>
    <w:p w:rsidR="009734D4" w:rsidRPr="00E007B8" w:rsidRDefault="00CA082A" w:rsidP="00B12222">
      <w:pPr>
        <w:pStyle w:val="a3"/>
        <w:shd w:val="clear" w:color="000000" w:fill="auto"/>
        <w:suppressAutoHyphens/>
      </w:pPr>
      <w:r w:rsidRPr="00E007B8">
        <w:t xml:space="preserve">Целью данной работы является </w:t>
      </w:r>
      <w:r w:rsidR="00FC1287" w:rsidRPr="00E007B8">
        <w:t xml:space="preserve">рассмотрение вопросов </w:t>
      </w:r>
      <w:r w:rsidR="00B005D8" w:rsidRPr="00E007B8">
        <w:t>инвестиционной политики предприятия</w:t>
      </w:r>
      <w:r w:rsidRPr="00E007B8">
        <w:t>.</w:t>
      </w:r>
    </w:p>
    <w:p w:rsidR="009734D4" w:rsidRPr="00E007B8" w:rsidRDefault="00CA082A" w:rsidP="00B12222">
      <w:pPr>
        <w:pStyle w:val="a3"/>
        <w:shd w:val="clear" w:color="000000" w:fill="auto"/>
        <w:suppressAutoHyphens/>
      </w:pPr>
      <w:r w:rsidRPr="00E007B8">
        <w:t>Для этого будут решены следующие задачи:</w:t>
      </w:r>
    </w:p>
    <w:p w:rsidR="00CA082A" w:rsidRPr="00E007B8" w:rsidRDefault="00B005D8" w:rsidP="00B12222">
      <w:pPr>
        <w:pStyle w:val="a3"/>
        <w:numPr>
          <w:ilvl w:val="0"/>
          <w:numId w:val="1"/>
        </w:numPr>
        <w:shd w:val="clear" w:color="000000" w:fill="auto"/>
        <w:suppressAutoHyphens/>
        <w:ind w:left="0" w:firstLine="709"/>
      </w:pPr>
      <w:r w:rsidRPr="00E007B8">
        <w:t>Показана практика предоставления налоговых льгот предприятиям, реализующим инвестиционный проект.</w:t>
      </w:r>
    </w:p>
    <w:p w:rsidR="00CA082A" w:rsidRPr="00E007B8" w:rsidRDefault="00CA082A" w:rsidP="00B12222">
      <w:pPr>
        <w:pStyle w:val="a3"/>
        <w:numPr>
          <w:ilvl w:val="0"/>
          <w:numId w:val="1"/>
        </w:numPr>
        <w:shd w:val="clear" w:color="000000" w:fill="auto"/>
        <w:suppressAutoHyphens/>
        <w:ind w:left="0" w:firstLine="709"/>
      </w:pPr>
      <w:r w:rsidRPr="00E007B8">
        <w:t>Решены задача по нахождению внутренней нормы доходности.</w:t>
      </w:r>
    </w:p>
    <w:p w:rsidR="009734D4" w:rsidRPr="00E007B8" w:rsidRDefault="009734D4" w:rsidP="00B12222">
      <w:pPr>
        <w:pStyle w:val="a4"/>
        <w:keepNext w:val="0"/>
        <w:shd w:val="clear" w:color="000000" w:fill="auto"/>
        <w:suppressAutoHyphens/>
        <w:spacing w:before="0" w:after="0" w:line="360" w:lineRule="auto"/>
        <w:rPr>
          <w:rFonts w:cs="Times New Roman"/>
          <w:color w:val="000000"/>
          <w:sz w:val="28"/>
        </w:rPr>
      </w:pPr>
      <w:r w:rsidRPr="00E007B8">
        <w:rPr>
          <w:rFonts w:cs="Times New Roman"/>
          <w:color w:val="000000"/>
          <w:sz w:val="28"/>
        </w:rPr>
        <w:br w:type="page"/>
      </w:r>
      <w:bookmarkStart w:id="1" w:name="_Toc118392268"/>
      <w:r w:rsidR="00B12222" w:rsidRPr="00E007B8">
        <w:rPr>
          <w:rFonts w:cs="Times New Roman"/>
          <w:color w:val="000000"/>
          <w:sz w:val="28"/>
        </w:rPr>
        <w:t xml:space="preserve">1 </w:t>
      </w:r>
      <w:r w:rsidR="00516CAB" w:rsidRPr="00E007B8">
        <w:rPr>
          <w:rFonts w:cs="Times New Roman"/>
          <w:color w:val="000000"/>
          <w:sz w:val="28"/>
        </w:rPr>
        <w:t>Практика предоставления налоговых льгот предприятиям, реализующим инвестиционные проекты</w:t>
      </w:r>
      <w:bookmarkEnd w:id="1"/>
    </w:p>
    <w:p w:rsidR="00B12222" w:rsidRPr="00E007B8" w:rsidRDefault="00B12222" w:rsidP="00B12222">
      <w:pPr>
        <w:pStyle w:val="a4"/>
        <w:keepNext w:val="0"/>
        <w:shd w:val="clear" w:color="000000" w:fill="auto"/>
        <w:suppressAutoHyphens/>
        <w:spacing w:before="0" w:after="0" w:line="360" w:lineRule="auto"/>
        <w:jc w:val="left"/>
        <w:rPr>
          <w:rFonts w:cs="Times New Roman"/>
          <w:color w:val="000000"/>
          <w:sz w:val="28"/>
        </w:rPr>
      </w:pPr>
    </w:p>
    <w:p w:rsidR="009734D4" w:rsidRPr="00E007B8" w:rsidRDefault="00646FFA" w:rsidP="00B12222">
      <w:pPr>
        <w:pStyle w:val="2"/>
        <w:keepNext w:val="0"/>
        <w:numPr>
          <w:ilvl w:val="1"/>
          <w:numId w:val="19"/>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2" w:name="_Toc118392269"/>
      <w:r w:rsidRPr="00E007B8">
        <w:rPr>
          <w:rFonts w:ascii="Times New Roman" w:hAnsi="Times New Roman" w:cs="Times New Roman"/>
          <w:i w:val="0"/>
          <w:color w:val="000000"/>
        </w:rPr>
        <w:t>Значение оффшорных зон</w:t>
      </w:r>
      <w:r w:rsidR="00FD7FFA" w:rsidRPr="00E007B8">
        <w:rPr>
          <w:rFonts w:ascii="Times New Roman" w:hAnsi="Times New Roman" w:cs="Times New Roman"/>
          <w:i w:val="0"/>
          <w:color w:val="000000"/>
        </w:rPr>
        <w:t xml:space="preserve"> для инвестиционной привлекательности</w:t>
      </w:r>
      <w:bookmarkEnd w:id="2"/>
    </w:p>
    <w:p w:rsidR="00B12222" w:rsidRPr="00E007B8" w:rsidRDefault="00B12222" w:rsidP="00B12222">
      <w:pPr>
        <w:pStyle w:val="ae"/>
        <w:shd w:val="clear" w:color="000000" w:fill="auto"/>
        <w:suppressAutoHyphens/>
        <w:ind w:firstLine="709"/>
        <w:jc w:val="both"/>
        <w:rPr>
          <w:color w:val="000000"/>
        </w:rPr>
      </w:pPr>
    </w:p>
    <w:p w:rsidR="00211F61" w:rsidRPr="00E007B8" w:rsidRDefault="00211F61" w:rsidP="00B12222">
      <w:pPr>
        <w:pStyle w:val="ae"/>
        <w:shd w:val="clear" w:color="000000" w:fill="auto"/>
        <w:suppressAutoHyphens/>
        <w:ind w:firstLine="709"/>
        <w:jc w:val="both"/>
        <w:rPr>
          <w:color w:val="000000"/>
        </w:rPr>
      </w:pPr>
      <w:r w:rsidRPr="00E007B8">
        <w:rPr>
          <w:color w:val="000000"/>
        </w:rPr>
        <w:t>Предоставление льгот в налогообложении является одним из инструментов устранения диспропорций в экономическом развитии различных регионов, возникающих ввиду неравномерного распределения между регионами природных и иных ресурсов. С ним связано такое явление современной экономики, как оф</w:t>
      </w:r>
      <w:r w:rsidR="00646FFA" w:rsidRPr="00E007B8">
        <w:rPr>
          <w:color w:val="000000"/>
        </w:rPr>
        <w:t>фш</w:t>
      </w:r>
      <w:r w:rsidRPr="00E007B8">
        <w:rPr>
          <w:color w:val="000000"/>
        </w:rPr>
        <w:t>орные (англ. offshore - "находящийся вдали от берега") зоны и территории. Оф</w:t>
      </w:r>
      <w:r w:rsidR="00646FFA" w:rsidRPr="00E007B8">
        <w:rPr>
          <w:color w:val="000000"/>
        </w:rPr>
        <w:t>фш</w:t>
      </w:r>
      <w:r w:rsidRPr="00E007B8">
        <w:rPr>
          <w:color w:val="000000"/>
        </w:rPr>
        <w:t>орными зонами принято называть территории (целые государства или их отдельные части), в которых действует льготный порядок налогообложения. В большинстве случаев компании, зарегистрированные в оф</w:t>
      </w:r>
      <w:r w:rsidR="00646FFA" w:rsidRPr="00E007B8">
        <w:rPr>
          <w:color w:val="000000"/>
        </w:rPr>
        <w:t>ф</w:t>
      </w:r>
      <w:r w:rsidRPr="00E007B8">
        <w:rPr>
          <w:color w:val="000000"/>
        </w:rPr>
        <w:t>шорных зонах, вообще освобождаются от налогов, уплачивая лишь символические пошлины и взносы.</w:t>
      </w:r>
    </w:p>
    <w:p w:rsidR="00211F61" w:rsidRPr="00E007B8" w:rsidRDefault="00211F61" w:rsidP="00B12222">
      <w:pPr>
        <w:pStyle w:val="ae"/>
        <w:shd w:val="clear" w:color="000000" w:fill="auto"/>
        <w:suppressAutoHyphens/>
        <w:ind w:firstLine="709"/>
        <w:jc w:val="both"/>
        <w:rPr>
          <w:color w:val="000000"/>
        </w:rPr>
      </w:pPr>
      <w:r w:rsidRPr="00E007B8">
        <w:rPr>
          <w:color w:val="000000"/>
        </w:rPr>
        <w:t>Ориентированность российской экономики на экспорт природных ресурсов определяет огромные различия в экономическом потенциале российских регионов. Так, регионы, имеющие в наличии запасы нефти, газа или каменного угля, обладают значительными преимуществами перед регионами со скудной природно-сырьевой базой. Этим, а также огромной свободой в установлении налогов и сборов, предоставленной в 90-х гг. XX века губернаторам и мэрам городов федеральной властью, объясняется возникновение территорий с льготным налогообложением. Такие территории называются свободными экономическими зонами (СЭЗ).</w:t>
      </w:r>
    </w:p>
    <w:p w:rsidR="00211F61" w:rsidRPr="00E007B8" w:rsidRDefault="00211F61" w:rsidP="00B12222">
      <w:pPr>
        <w:pStyle w:val="ae"/>
        <w:shd w:val="clear" w:color="000000" w:fill="auto"/>
        <w:suppressAutoHyphens/>
        <w:ind w:firstLine="709"/>
        <w:jc w:val="both"/>
        <w:rPr>
          <w:color w:val="000000"/>
        </w:rPr>
      </w:pPr>
      <w:r w:rsidRPr="00E007B8">
        <w:rPr>
          <w:color w:val="000000"/>
        </w:rPr>
        <w:t>Первые свободные экономические зоны на территории Российской Федерации начали образовываться в конце 80-х гг. XX века. В дальнейшем развитие СЭЗ пошло по двум направлениям, что определило возникновение свободных экономических зон двух типов:</w:t>
      </w:r>
    </w:p>
    <w:p w:rsidR="00211F61" w:rsidRPr="00E007B8" w:rsidRDefault="00211F61" w:rsidP="00B12222">
      <w:pPr>
        <w:pStyle w:val="ae"/>
        <w:shd w:val="clear" w:color="000000" w:fill="auto"/>
        <w:suppressAutoHyphens/>
        <w:ind w:firstLine="709"/>
        <w:jc w:val="both"/>
        <w:rPr>
          <w:color w:val="000000"/>
        </w:rPr>
      </w:pPr>
      <w:r w:rsidRPr="00E007B8">
        <w:rPr>
          <w:color w:val="000000"/>
        </w:rPr>
        <w:t>1. Классические оф</w:t>
      </w:r>
      <w:r w:rsidR="00646FFA" w:rsidRPr="00E007B8">
        <w:rPr>
          <w:color w:val="000000"/>
        </w:rPr>
        <w:t>ф</w:t>
      </w:r>
      <w:r w:rsidRPr="00E007B8">
        <w:rPr>
          <w:color w:val="000000"/>
        </w:rPr>
        <w:t>шоры - зоны, предоставляющие налоговые льготы предприятиям, зарегистрированным на территории данного региона, но доходы извлекающим за его пределами. Примерами могут служить Ингушетия, Калмыкия и так называемые карманные оф</w:t>
      </w:r>
      <w:r w:rsidR="00646FFA" w:rsidRPr="00E007B8">
        <w:rPr>
          <w:color w:val="000000"/>
        </w:rPr>
        <w:t>ф</w:t>
      </w:r>
      <w:r w:rsidRPr="00E007B8">
        <w:rPr>
          <w:color w:val="000000"/>
        </w:rPr>
        <w:t>шоры - Мордовия, Чукотский автономный округ, предоставляющие налоговые льготы отдельным компаниям, ориентированным преимущественно на экспорт природных ресурсов. СЭЗ этого типа характеризуются слабой законодательной базой, регламентирующей предоставление льгот; низким уровнем защищенности инвесторов от внесения изменений в законодательство "задним числом"; нецелевым использованием денежных средств, полученных в результате предоставления налоговых льгот.</w:t>
      </w:r>
    </w:p>
    <w:p w:rsidR="00211F61" w:rsidRPr="00E007B8" w:rsidRDefault="00211F61" w:rsidP="00B12222">
      <w:pPr>
        <w:pStyle w:val="ae"/>
        <w:shd w:val="clear" w:color="000000" w:fill="auto"/>
        <w:suppressAutoHyphens/>
        <w:ind w:firstLine="709"/>
        <w:jc w:val="both"/>
        <w:rPr>
          <w:color w:val="000000"/>
        </w:rPr>
      </w:pPr>
      <w:r w:rsidRPr="00E007B8">
        <w:rPr>
          <w:color w:val="000000"/>
        </w:rPr>
        <w:t>2. Зоны, предоставляющие налоговые и иные льготы компаниям, которые инвестируют собственные и привлеченные средства в проекты, одобренные администрацией региона, участвуют в реализации инвестиционных проектов на территории региона. Такие СЭЗ характеризуются изначально низким инвестиционным потенциалом, что вызвано отсутствием у этих регионов достаточной минерально-сырьевой базы. Однако, предоставляя льготы в налогообложении предприятиям, осуществляющим инвестиционные проекты на территории данных регионов, они сумели подняться в число ведущих российских регионов по инвестиционному потенциалу.</w:t>
      </w:r>
    </w:p>
    <w:p w:rsidR="00211F61" w:rsidRPr="00E007B8" w:rsidRDefault="00211F61" w:rsidP="00B12222">
      <w:pPr>
        <w:pStyle w:val="ae"/>
        <w:shd w:val="clear" w:color="000000" w:fill="auto"/>
        <w:suppressAutoHyphens/>
        <w:ind w:firstLine="709"/>
        <w:jc w:val="both"/>
        <w:rPr>
          <w:color w:val="000000"/>
        </w:rPr>
      </w:pPr>
      <w:r w:rsidRPr="00E007B8">
        <w:rPr>
          <w:color w:val="000000"/>
        </w:rPr>
        <w:t>Отличительными чертами СЭЗ второго типа являются продуманная, проработанная законодательная база, регламентирующая предоставление льгот; высокий уровень защищенности инвесторов; прозрачность использования денежных средств, полученных в результате предоставления льгот; поддержка инвесторов в вопросах, не связанных напрямую с предоставлением льгот.</w:t>
      </w:r>
    </w:p>
    <w:p w:rsidR="00211F61" w:rsidRPr="00E007B8" w:rsidRDefault="00211F61" w:rsidP="00B12222">
      <w:pPr>
        <w:pStyle w:val="ae"/>
        <w:shd w:val="clear" w:color="000000" w:fill="auto"/>
        <w:suppressAutoHyphens/>
        <w:ind w:firstLine="709"/>
        <w:rPr>
          <w:color w:val="000000"/>
        </w:rPr>
      </w:pPr>
      <w:r w:rsidRPr="00E007B8">
        <w:rPr>
          <w:color w:val="000000"/>
        </w:rPr>
        <w:t>Ко второму типу СЭЗ относятся Новгородская и Ярославская области.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Новгородская область не располагает значительными природно-сырьевыми ресурсами, которые являются катализаторами экономического роста во многих регионах Российской Федерации (нефть, газ, уголь). Поэтому для обеспечения роста экономики области региональные власти были вынуждены искать другие пути. Первым шагом в этом направлении стало создание в 1997 г. зон экономического благоприятствования на территориях Поддорского, Батецкого, Волотовского и Маревского районов области. Основным законодательным документом, регламентирующим функционирование этих зон, явилось Постановление Новгородской областной Думы от 27.12.1996 N 472-ОД "О зонах экономического благоприятствования", включающее Положение о зонах экономического благоприятствования на упомянутых территориях. Согласно Положению действующие, вновь образуемые и регистрируемые в Батецком, Волотовском, Маревском и Поддорском районах коммерческие организации (за исключением занимающихся торговлей), осуществляющие на их территории свою деятельность, освобождаются от уплаты всех налогов, по которым право льготирования принадлежит областной Думе и представительным органам местного самоуправления (налог на прибыль, налог на имущество, сбор на нужды образовательных учреждений, плата за недра, отчисления на воспроизводство минерально-сырьевой базы, лесной доход, плата за воду, земельный налог, транспортный налог), а также им возмещается из областного бюджета та часть налога на прибыль, которая зачисляется в федеральный бюджет. Суммы денежных средств, высвободившиеся в результате предоставления льгот, подлежали направлению на развитие и совершенствование производства.</w:t>
      </w:r>
    </w:p>
    <w:p w:rsidR="00211F61" w:rsidRPr="00E007B8" w:rsidRDefault="00211F61" w:rsidP="00B12222">
      <w:pPr>
        <w:pStyle w:val="ae"/>
        <w:shd w:val="clear" w:color="000000" w:fill="auto"/>
        <w:suppressAutoHyphens/>
        <w:ind w:firstLine="709"/>
        <w:jc w:val="both"/>
        <w:rPr>
          <w:color w:val="000000"/>
        </w:rPr>
      </w:pPr>
      <w:r w:rsidRPr="00E007B8">
        <w:rPr>
          <w:color w:val="000000"/>
        </w:rPr>
        <w:t>Эксперимент был признан удачным, и в 1998 г. уже на всей территории Новгородской области началось формирование законодательной среды, необходимой для создания благоприятного инвестиционного климата. Постановлением Новгородской областной Думы от 27.05.1998 N 112-ОД принят Закон "Об инвестиционной деятельности в Новгородской области" (далее - Закон).</w:t>
      </w:r>
      <w:r w:rsidR="00C15F62" w:rsidRPr="00E007B8">
        <w:rPr>
          <w:rStyle w:val="ac"/>
          <w:color w:val="000000"/>
          <w:vertAlign w:val="baseline"/>
        </w:rPr>
        <w:footnoteReference w:id="2"/>
      </w:r>
    </w:p>
    <w:p w:rsidR="00AF02C7" w:rsidRPr="00E007B8" w:rsidRDefault="00AF02C7" w:rsidP="00B12222">
      <w:pPr>
        <w:pStyle w:val="2"/>
        <w:keepNext w:val="0"/>
        <w:numPr>
          <w:ilvl w:val="1"/>
          <w:numId w:val="19"/>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3" w:name="_Toc118392270"/>
      <w:r w:rsidRPr="00E007B8">
        <w:rPr>
          <w:rFonts w:ascii="Times New Roman" w:hAnsi="Times New Roman" w:cs="Times New Roman"/>
          <w:i w:val="0"/>
          <w:color w:val="000000"/>
        </w:rPr>
        <w:t>Льготы по налогам инвестиционных предприятий</w:t>
      </w:r>
      <w:r w:rsidR="00440F07" w:rsidRPr="00E007B8">
        <w:rPr>
          <w:rFonts w:ascii="Times New Roman" w:hAnsi="Times New Roman" w:cs="Times New Roman"/>
          <w:i w:val="0"/>
          <w:color w:val="000000"/>
        </w:rPr>
        <w:t xml:space="preserve"> в Новгородской области</w:t>
      </w:r>
      <w:bookmarkEnd w:id="3"/>
    </w:p>
    <w:p w:rsidR="00B12222" w:rsidRPr="00E007B8" w:rsidRDefault="00B12222" w:rsidP="00B12222">
      <w:pPr>
        <w:pStyle w:val="ae"/>
        <w:shd w:val="clear" w:color="000000" w:fill="auto"/>
        <w:suppressAutoHyphens/>
        <w:ind w:firstLine="709"/>
        <w:jc w:val="both"/>
        <w:rPr>
          <w:color w:val="000000"/>
        </w:rPr>
      </w:pPr>
    </w:p>
    <w:p w:rsidR="00B12222" w:rsidRPr="00E007B8" w:rsidRDefault="00211F61" w:rsidP="00B12222">
      <w:pPr>
        <w:pStyle w:val="ae"/>
        <w:shd w:val="clear" w:color="000000" w:fill="auto"/>
        <w:suppressAutoHyphens/>
        <w:ind w:firstLine="709"/>
        <w:jc w:val="both"/>
        <w:rPr>
          <w:color w:val="000000"/>
        </w:rPr>
      </w:pPr>
      <w:r w:rsidRPr="00E007B8">
        <w:rPr>
          <w:color w:val="000000"/>
        </w:rPr>
        <w:t>Основным методом стимулирования инвестиционной деятельности является предоставление инвесторам льгот по налогам, право льготирования по которым принадлежит субъектам Российской Федерации, в пределах сумм, зачисляемых в областной бюджет и территориальный дорожный фонд. Льготы по уплате налогов в областной бюджет предоставляются организациям, реализующим инвестиционные проекты, одобренные Администрацией области в соответствии с законодательством Российской Федерации о налогах и сборах и областными нормативными правовыми актами о налогах и сборах.</w:t>
      </w:r>
    </w:p>
    <w:p w:rsidR="00211F61" w:rsidRPr="00E007B8" w:rsidRDefault="00211F61" w:rsidP="00B12222">
      <w:pPr>
        <w:pStyle w:val="ae"/>
        <w:shd w:val="clear" w:color="000000" w:fill="auto"/>
        <w:suppressAutoHyphens/>
        <w:ind w:firstLine="709"/>
        <w:jc w:val="both"/>
        <w:rPr>
          <w:color w:val="000000"/>
        </w:rPr>
      </w:pPr>
      <w:r w:rsidRPr="00E007B8">
        <w:rPr>
          <w:color w:val="000000"/>
        </w:rPr>
        <w:t>Таким образом, получение льгот по налогообложению возможно только после одобрения предполагаемого инвестиционного проекта Администрацией области. Решение об одобрении принимается в течение двух месяцев после представления в Администрацию области документов, полностью соответствующих требованиям упомянутого областного Закона, и оформляется распоряжением Администрации области, согласованным с Новгородским территориальным управлением ФАС России. В случае отказа в одобрении инвестиционного проекта Администрация области в адрес организации направляет мотивированное письменное уведомление.</w:t>
      </w:r>
    </w:p>
    <w:p w:rsidR="00211F61" w:rsidRPr="00E007B8" w:rsidRDefault="00211F61" w:rsidP="00B12222">
      <w:pPr>
        <w:pStyle w:val="ae"/>
        <w:shd w:val="clear" w:color="000000" w:fill="auto"/>
        <w:suppressAutoHyphens/>
        <w:ind w:firstLine="709"/>
        <w:jc w:val="both"/>
        <w:rPr>
          <w:color w:val="000000"/>
        </w:rPr>
      </w:pPr>
      <w:r w:rsidRPr="00E007B8">
        <w:rPr>
          <w:color w:val="000000"/>
        </w:rPr>
        <w:t>Основанием для предоставления налоговых льгот, помимо распоряжения Администрации области об одобрении инвестиционного проекта, являются: расчет фактического периода окупаемости инвестиционного проекта, расчеты сумм налогов, подлежащих льготированию, представляемые в налоговые органы по месту регистрации организации в сроки, установленные законодательством Российской Федерации для представления квартальной отчетности.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Организация, реализующая инвестиционный проект, одобренный Администрацией области, утрачивает право на применение налоговых льгот с первого числа месяца, следующего за датой окончания фактического периода окупаемости проекта. Если фактический период окупаемости инвестиционного проекта превышает расчетный, то организация утрачивает право на применение налоговых льгот с первого числа месяца, следующего за датой окончания расчетного периода окупаемости. Но, несмотря на это, ежегодно, не позднее 90 дней после окончания отчетного года, организация, реализующая инвестиционный проект, представляет в комитет финансов области расчет даты окончания фактического периода окупаемости.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Помимо льгот компаниям, осуществляющим инвестиции в экономику Новгородской области, Законом предусмотрено снижение ставки налога на прибыль организаций банкам, кредитным организациям и лизинговым компаниям, осуществляющим лизинговую деятельность на территории Российской Федерации.</w:t>
      </w:r>
    </w:p>
    <w:p w:rsidR="00211F61" w:rsidRPr="00E007B8" w:rsidRDefault="00211F61" w:rsidP="00B12222">
      <w:pPr>
        <w:pStyle w:val="ae"/>
        <w:shd w:val="clear" w:color="000000" w:fill="auto"/>
        <w:suppressAutoHyphens/>
        <w:ind w:firstLine="709"/>
        <w:jc w:val="both"/>
        <w:rPr>
          <w:color w:val="000000"/>
        </w:rPr>
      </w:pPr>
      <w:r w:rsidRPr="00E007B8">
        <w:rPr>
          <w:color w:val="000000"/>
        </w:rPr>
        <w:t>Сейчас льготы по налогообложению для инвесторов Новгородской области состоят в следующем:</w:t>
      </w:r>
    </w:p>
    <w:p w:rsidR="00211F61" w:rsidRPr="00E007B8" w:rsidRDefault="00211F61" w:rsidP="00B12222">
      <w:pPr>
        <w:pStyle w:val="ae"/>
        <w:shd w:val="clear" w:color="000000" w:fill="auto"/>
        <w:suppressAutoHyphens/>
        <w:ind w:firstLine="709"/>
        <w:jc w:val="both"/>
        <w:rPr>
          <w:color w:val="000000"/>
        </w:rPr>
      </w:pPr>
      <w:r w:rsidRPr="00E007B8">
        <w:rPr>
          <w:color w:val="000000"/>
        </w:rPr>
        <w:t>1. Организации, осуществляющие производственную деятельность (за исключением деятельности, относящейся к торговле и общественному питанию, материально-техническому снабжению и сбыту), не имеющие недоимки свыше шести месяцев по налоговым платежам и сборам ни в один из бюджетов и в государственные внебюджетные фонды, вкладывающие собственные и привлеченные средства (за исключением привлеченных на безвозмездной основе средств бюджетов всех уровней и государственных внебюджетных фондов) в реализацию одобренных Администрацией области конкретных инвестиционных проектов, до полной окупаемости вложенных средств, но не более расчетного срока окупаемости, период которого должен быть не менее года, рассчитанного в соответствии с Правилами расчета момента достижения полной окупаемости вложенных средств, освобождаются от уплаты в областной бюджет налога на имущество предприятий, земельного налога; кроме того, им снижается на 4% ставка налога на прибыль в части сумм налога, зачисляемого в областной бюджет.</w:t>
      </w:r>
    </w:p>
    <w:p w:rsidR="00211F61" w:rsidRPr="00E007B8" w:rsidRDefault="00211F61" w:rsidP="00B12222">
      <w:pPr>
        <w:pStyle w:val="ae"/>
        <w:shd w:val="clear" w:color="000000" w:fill="auto"/>
        <w:suppressAutoHyphens/>
        <w:ind w:firstLine="709"/>
        <w:jc w:val="both"/>
        <w:rPr>
          <w:color w:val="000000"/>
        </w:rPr>
      </w:pPr>
      <w:r w:rsidRPr="00E007B8">
        <w:rPr>
          <w:color w:val="000000"/>
        </w:rPr>
        <w:t>2. Организации, осуществляющие поддержку малого предпринимательства, в которых удельный вес оказываемых работ (услуг) субъектам малого предпринимательства составляет не менее 50% от общего объема реализованных работ (услуг), освобождаются от уплаты в областной бюджет налога на имущество предприятий, также им снижается на 4% ставка налога на прибыль в части сумм налога, зачисляемого в областной бюджет.</w:t>
      </w:r>
    </w:p>
    <w:p w:rsidR="00211F61" w:rsidRPr="00E007B8" w:rsidRDefault="00211F61" w:rsidP="00B12222">
      <w:pPr>
        <w:pStyle w:val="ae"/>
        <w:shd w:val="clear" w:color="000000" w:fill="auto"/>
        <w:suppressAutoHyphens/>
        <w:ind w:firstLine="709"/>
        <w:jc w:val="both"/>
        <w:rPr>
          <w:color w:val="000000"/>
        </w:rPr>
      </w:pPr>
      <w:r w:rsidRPr="00E007B8">
        <w:rPr>
          <w:color w:val="000000"/>
        </w:rPr>
        <w:t>3. Банкам, кредитным организациям и лизинговым компаниям снижается на 4% ставка налога на прибыль в части сумм налога, зачисляемого в областной бюджет, при условии, что объем выданных кредитов или объем финансирования по лизингу под инвестиционные проекты, одобренные Администрацией области, составляет 10% и более от общей суммы кредитов, а для лизинговых компаний - остаточной стоимости основных средств, отражаемых в балансе и переданных в лизинг.</w:t>
      </w:r>
    </w:p>
    <w:p w:rsidR="00211F61" w:rsidRPr="00E007B8" w:rsidRDefault="00211F61" w:rsidP="00B12222">
      <w:pPr>
        <w:pStyle w:val="ae"/>
        <w:shd w:val="clear" w:color="000000" w:fill="auto"/>
        <w:suppressAutoHyphens/>
        <w:ind w:firstLine="709"/>
        <w:jc w:val="both"/>
        <w:rPr>
          <w:color w:val="000000"/>
        </w:rPr>
      </w:pPr>
      <w:r w:rsidRPr="00E007B8">
        <w:rPr>
          <w:color w:val="000000"/>
        </w:rPr>
        <w:t>4. Лизинговые компании, осуществляющие лизинговую деятельность на территории Российской Федерации, - в отношении имущества, переданного в лизинг организациям, указанным в п.п.1 и 2, освобождаются от уплаты в областной бюджет налога на имущество предприятий.</w:t>
      </w:r>
    </w:p>
    <w:p w:rsidR="00211F61" w:rsidRPr="00E007B8" w:rsidRDefault="00211F61" w:rsidP="00B12222">
      <w:pPr>
        <w:pStyle w:val="ae"/>
        <w:shd w:val="clear" w:color="000000" w:fill="auto"/>
        <w:suppressAutoHyphens/>
        <w:ind w:firstLine="709"/>
        <w:jc w:val="both"/>
        <w:rPr>
          <w:color w:val="000000"/>
        </w:rPr>
      </w:pPr>
      <w:r w:rsidRPr="00E007B8">
        <w:rPr>
          <w:color w:val="000000"/>
        </w:rPr>
        <w:t>5. Организации, осуществляющие производственную деятельность, за исключением деятельности, относящейся к торговле и общественному питанию, материально-техническому снабжению и сбыту, вкладывающие собственные и привлеченные средства в реализацию одобренных Администрацией области конкретных инвестиционных проектов, до полной окупаемости вложенных средств, но не более расчетного срока окупаемости, период которого должен быть не менее одного года, рассчитанного в соответствии с Правилами расчета момента достижения полной окупаемости вложенных средств, уплачивают транспортный налог в размере 50% от установленной ставки.</w:t>
      </w:r>
    </w:p>
    <w:p w:rsidR="00211F61" w:rsidRPr="00E007B8" w:rsidRDefault="00211F61" w:rsidP="00B12222">
      <w:pPr>
        <w:pStyle w:val="ae"/>
        <w:shd w:val="clear" w:color="000000" w:fill="auto"/>
        <w:suppressAutoHyphens/>
        <w:ind w:firstLine="709"/>
        <w:jc w:val="both"/>
        <w:rPr>
          <w:color w:val="000000"/>
        </w:rPr>
      </w:pPr>
      <w:r w:rsidRPr="00E007B8">
        <w:rPr>
          <w:color w:val="000000"/>
        </w:rPr>
        <w:t>Предоставление налоговых льгот инвесторам, вкладывающим денежные средства в проекты на территории Новгородской области, стало одним из факторов, определивших резкое увеличение объема привлеченных средств, а также роста инвестиционного потенциала и снижения инвестиционного риска Новгородской области.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Помимо предоставления налоговых льгот, ключевыми факторами такого роста объема привлеченных средств стали гарантии инвесторам и повышение инвестиционной привлекательности региона. Применяется практика сопровождения перспективных проектов Администрациями области, городов и районов, оказание содействия в разрешении различных проблем, в том числе касающихся прохождения через "коридоры федеральной власти".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В результате введения льгот по налогообложению и создания необходимой законодательной базы Новгородская область вошла в число ведущих российских регионов по инвестиционной привлекательности, несмотря на свой низкий потенциал (2003 г. - 64-е место по Российской Федерации). Это стало возможным благодаря минимизации инвестиционных (в том числе законодательных) рисков в регионе. Так, рейтинг инвестиционного климата Новгородской области, по оценкам ведущего российского рейтингового агентства РА "Эксперт", составляет 3А (низкий потенциал - минимальный риск).</w:t>
      </w:r>
      <w:r w:rsidR="00000735" w:rsidRPr="00E007B8">
        <w:rPr>
          <w:rStyle w:val="ac"/>
          <w:color w:val="000000"/>
          <w:vertAlign w:val="baseline"/>
        </w:rPr>
        <w:footnoteReference w:id="3"/>
      </w:r>
    </w:p>
    <w:p w:rsidR="00B12222" w:rsidRPr="00E007B8" w:rsidRDefault="00B12222" w:rsidP="00B12222">
      <w:pPr>
        <w:pStyle w:val="ae"/>
        <w:shd w:val="clear" w:color="000000" w:fill="auto"/>
        <w:suppressAutoHyphens/>
        <w:ind w:firstLine="709"/>
        <w:jc w:val="both"/>
        <w:rPr>
          <w:color w:val="000000"/>
        </w:rPr>
      </w:pPr>
    </w:p>
    <w:p w:rsidR="004611C8" w:rsidRPr="00E007B8" w:rsidRDefault="004611C8" w:rsidP="00B12222">
      <w:pPr>
        <w:pStyle w:val="2"/>
        <w:keepNext w:val="0"/>
        <w:numPr>
          <w:ilvl w:val="1"/>
          <w:numId w:val="19"/>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4" w:name="_Toc118392271"/>
      <w:r w:rsidRPr="00E007B8">
        <w:rPr>
          <w:rFonts w:ascii="Times New Roman" w:hAnsi="Times New Roman" w:cs="Times New Roman"/>
          <w:i w:val="0"/>
          <w:color w:val="000000"/>
        </w:rPr>
        <w:t>Льготы по налогам инвестиционных предприятий в Ярославской области</w:t>
      </w:r>
      <w:bookmarkEnd w:id="4"/>
    </w:p>
    <w:p w:rsidR="00B12222" w:rsidRPr="00E007B8" w:rsidRDefault="00B12222" w:rsidP="00B12222">
      <w:pPr>
        <w:pStyle w:val="ae"/>
        <w:shd w:val="clear" w:color="000000" w:fill="auto"/>
        <w:suppressAutoHyphens/>
        <w:ind w:firstLine="709"/>
        <w:jc w:val="both"/>
        <w:rPr>
          <w:color w:val="000000"/>
        </w:rPr>
      </w:pPr>
    </w:p>
    <w:p w:rsidR="00211F61" w:rsidRPr="00E007B8" w:rsidRDefault="00211F61" w:rsidP="00B12222">
      <w:pPr>
        <w:pStyle w:val="ae"/>
        <w:shd w:val="clear" w:color="000000" w:fill="auto"/>
        <w:suppressAutoHyphens/>
        <w:ind w:firstLine="709"/>
        <w:jc w:val="both"/>
        <w:rPr>
          <w:color w:val="000000"/>
        </w:rPr>
      </w:pPr>
      <w:r w:rsidRPr="00E007B8">
        <w:rPr>
          <w:color w:val="000000"/>
        </w:rPr>
        <w:t>Ярославская область, как и Новгородская, является одним из российских регионов, не имеющих богатых природных ресурсов, но добившихся высокого рейтинга инвестиционной привлекательности.</w:t>
      </w:r>
    </w:p>
    <w:p w:rsidR="00211F61" w:rsidRPr="00E007B8" w:rsidRDefault="00211F61" w:rsidP="00B12222">
      <w:pPr>
        <w:pStyle w:val="ae"/>
        <w:shd w:val="clear" w:color="000000" w:fill="auto"/>
        <w:suppressAutoHyphens/>
        <w:ind w:firstLine="709"/>
        <w:jc w:val="both"/>
        <w:rPr>
          <w:color w:val="000000"/>
        </w:rPr>
      </w:pPr>
      <w:r w:rsidRPr="00E007B8">
        <w:rPr>
          <w:color w:val="000000"/>
        </w:rPr>
        <w:t>В 1994 г. в структуре Администрации Ярославской области был создан департамент инвестиций и инвестиционной политики, а с 2000 г. департамент экономического развития, инвестиций и международного сотрудничества. Перед инвестиционным подразделением были поставлены задачи: создание условий для привлечения внебюджетных инвестиций; комплектование пакета региональных проектов и программ; участие в формировании и исполнении бюджета развития Ярославской области. Кроме того, оно призвано исполнять роль единого органа, оказывающего инвесторам помощь в получении необходимой информации и консультаций по экономическому и инвестиционному потенциалу региона и регистрационным процедурам.</w:t>
      </w:r>
    </w:p>
    <w:p w:rsidR="00211F61" w:rsidRPr="00E007B8" w:rsidRDefault="00211F61" w:rsidP="00B12222">
      <w:pPr>
        <w:pStyle w:val="ae"/>
        <w:shd w:val="clear" w:color="000000" w:fill="auto"/>
        <w:suppressAutoHyphens/>
        <w:ind w:firstLine="709"/>
        <w:jc w:val="both"/>
        <w:rPr>
          <w:color w:val="000000"/>
        </w:rPr>
      </w:pPr>
      <w:r w:rsidRPr="00E007B8">
        <w:rPr>
          <w:color w:val="000000"/>
        </w:rPr>
        <w:t>Предоставление налоговых льгот участникам инвестиционной деятельности регулируется гл.4 Закона о государственной поддержке. Льготному налогообложению подлежат юридические лица, которым определена данная форма государственной поддержки, реализующие инвестиционные проекты (программы), включенные в Перечень. Льготное налогообложение в соответствии с Законом о государственной поддержке не может распространяться на организации, находящиеся в процессе ликвидации или реорганизации. Оно осуществляется при условии обязательного ведения отдельного бухгалтерского учета операций, осуществляемых по реализации инвестиционных проектов (программ), включенных в Перечень. Льготное налогообложение согласно Закону о государственной поддержке осуществляется в соответствии с действующим налоговым законодательством Российской Федерации.</w:t>
      </w:r>
    </w:p>
    <w:p w:rsidR="00211F61" w:rsidRPr="00E007B8" w:rsidRDefault="00211F61" w:rsidP="00B12222">
      <w:pPr>
        <w:pStyle w:val="ae"/>
        <w:shd w:val="clear" w:color="000000" w:fill="auto"/>
        <w:suppressAutoHyphens/>
        <w:ind w:firstLine="709"/>
        <w:jc w:val="both"/>
        <w:rPr>
          <w:color w:val="000000"/>
        </w:rPr>
      </w:pPr>
      <w:r w:rsidRPr="00E007B8">
        <w:rPr>
          <w:color w:val="000000"/>
        </w:rPr>
        <w:t>Настоящим Законом предусмотрены следующие формы льготного налогообложения:</w:t>
      </w:r>
    </w:p>
    <w:p w:rsidR="00211F61" w:rsidRPr="00E007B8" w:rsidRDefault="00211F61" w:rsidP="00B12222">
      <w:pPr>
        <w:pStyle w:val="ae"/>
        <w:shd w:val="clear" w:color="000000" w:fill="auto"/>
        <w:suppressAutoHyphens/>
        <w:ind w:firstLine="709"/>
        <w:jc w:val="both"/>
        <w:rPr>
          <w:color w:val="000000"/>
        </w:rPr>
      </w:pPr>
      <w:r w:rsidRPr="00E007B8">
        <w:rPr>
          <w:color w:val="000000"/>
        </w:rPr>
        <w:t>1. Льготное налогообложение имущества. Имущество, создаваемое или приобретаемое для реализации инвестиционных проектов (программ), включенных в Перечень, в том числе имущество, приобретаемое в качестве вклада в уставный капитал, и прирост стоимости модернизированных в соответствии с указанными инвестиционными проектами (программами) основных фондов, не облагается налогом на имущество предприятий в части, поступающей в областной бюджет.</w:t>
      </w:r>
    </w:p>
    <w:p w:rsidR="00211F61" w:rsidRPr="00E007B8" w:rsidRDefault="00211F61" w:rsidP="00B12222">
      <w:pPr>
        <w:pStyle w:val="ae"/>
        <w:shd w:val="clear" w:color="000000" w:fill="auto"/>
        <w:suppressAutoHyphens/>
        <w:ind w:firstLine="709"/>
        <w:jc w:val="both"/>
        <w:rPr>
          <w:color w:val="000000"/>
        </w:rPr>
      </w:pPr>
      <w:r w:rsidRPr="00E007B8">
        <w:rPr>
          <w:color w:val="000000"/>
        </w:rPr>
        <w:t>2. Льготное налогообложение прибыли. Участникам инвестиционной деятельности по налогу на прибыль организаций в части, поступающей в областной бюджет, предоставляются налоговые льготы, предусмотренные налоговым законодательством, в отношении:</w:t>
      </w:r>
      <w:r w:rsidR="007B1422" w:rsidRPr="00E007B8">
        <w:rPr>
          <w:color w:val="000000"/>
        </w:rPr>
        <w:t xml:space="preserve"> </w:t>
      </w:r>
      <w:r w:rsidRPr="00E007B8">
        <w:rPr>
          <w:color w:val="000000"/>
        </w:rPr>
        <w:t>средств, безвозмездно полученных для реализации инвестиционных проектов (программ), включенных в Перечень; прибыли, полученной от реализации продукции (работ, услуг), произведенной на созданных (приобретенных) в рамках инвестиционных проектов (программ), включенных в Перечень, мощностях или посредством внедренных технологий.</w:t>
      </w:r>
    </w:p>
    <w:p w:rsidR="00211F61" w:rsidRPr="00E007B8" w:rsidRDefault="00211F61" w:rsidP="00B12222">
      <w:pPr>
        <w:pStyle w:val="ae"/>
        <w:shd w:val="clear" w:color="000000" w:fill="auto"/>
        <w:suppressAutoHyphens/>
        <w:ind w:firstLine="709"/>
        <w:jc w:val="both"/>
        <w:rPr>
          <w:color w:val="000000"/>
        </w:rPr>
      </w:pPr>
      <w:r w:rsidRPr="00E007B8">
        <w:rPr>
          <w:color w:val="000000"/>
        </w:rPr>
        <w:t>3. Льгота по земельному налогу. Эта льгота предусматривает полное освобождение от уплаты земельного налога в части, поступающей в областной бюджет, с участка земли, вновь приобретенного в собственность, владение или пользование для реализации инвестиционного проекта или программы, включенных в Перечень.</w:t>
      </w:r>
    </w:p>
    <w:p w:rsidR="00211F61" w:rsidRPr="00E007B8" w:rsidRDefault="00211F61" w:rsidP="00B12222">
      <w:pPr>
        <w:pStyle w:val="ae"/>
        <w:shd w:val="clear" w:color="000000" w:fill="auto"/>
        <w:suppressAutoHyphens/>
        <w:ind w:firstLine="709"/>
        <w:jc w:val="both"/>
        <w:rPr>
          <w:color w:val="000000"/>
        </w:rPr>
      </w:pPr>
      <w:r w:rsidRPr="00E007B8">
        <w:rPr>
          <w:color w:val="000000"/>
        </w:rPr>
        <w:t>4. Льгота по транспортному налогу. Освобождаются от уплаты транспортного налога участники инвестиционной деятельности, реализующие инвестиционные проекты (программы) в соответствии с Законом о государственной поддержке в отношении транспортных средств, используемых при реализации инвестиционных проектов.</w:t>
      </w:r>
    </w:p>
    <w:p w:rsidR="00211F61" w:rsidRPr="00E007B8" w:rsidRDefault="00211F61" w:rsidP="00B12222">
      <w:pPr>
        <w:pStyle w:val="ae"/>
        <w:shd w:val="clear" w:color="000000" w:fill="auto"/>
        <w:suppressAutoHyphens/>
        <w:ind w:firstLine="709"/>
        <w:jc w:val="both"/>
        <w:rPr>
          <w:color w:val="000000"/>
        </w:rPr>
      </w:pPr>
      <w:r w:rsidRPr="00E007B8">
        <w:rPr>
          <w:color w:val="000000"/>
        </w:rPr>
        <w:t>Льготное налогообложение действует в течение периода окупаемости проекта (программы) с начала реализации продукции (работ, услуг), произведенной на созданных (приобретенных) в рамках инвестиционных проектов (программ), включенных в Перечень, мощностях или посредством внедренных технологий, но не более 5 лет. Датой окончания периода окупаемости проекта (программы) является последний день месяца, в котором разность между суммой чистой прибыли и объемом инвестиционных затрат приобретает положительное значение. В случае если инвестиционные затраты произведены в иностранной валюте, датой окончания периода окупаемости проекта (программы) является последний день месяца, в котором разность между суммой чистой прибыли и объемом инвестиционных затрат, исчисленных в рублях путем пересчета иностранной валюты в рубли по курсу ЦБ РФ на дату совершения операции в соответствии с установленным порядком бухгалтерского учета, приобретает положительное значение</w:t>
      </w:r>
      <w:r w:rsidR="00407FBF" w:rsidRPr="00E007B8">
        <w:rPr>
          <w:rStyle w:val="ac"/>
          <w:color w:val="000000"/>
          <w:vertAlign w:val="baseline"/>
        </w:rPr>
        <w:footnoteReference w:id="4"/>
      </w:r>
      <w:r w:rsidRPr="00E007B8">
        <w:rPr>
          <w:color w:val="000000"/>
        </w:rPr>
        <w:t>.</w:t>
      </w:r>
    </w:p>
    <w:p w:rsidR="00211F61" w:rsidRPr="00E007B8" w:rsidRDefault="00211F61" w:rsidP="00B12222">
      <w:pPr>
        <w:pStyle w:val="ae"/>
        <w:shd w:val="clear" w:color="000000" w:fill="auto"/>
        <w:suppressAutoHyphens/>
        <w:ind w:firstLine="709"/>
        <w:jc w:val="both"/>
        <w:rPr>
          <w:color w:val="000000"/>
        </w:rPr>
      </w:pPr>
      <w:r w:rsidRPr="00E007B8">
        <w:rPr>
          <w:color w:val="000000"/>
        </w:rPr>
        <w:t>Итак, очевидно, что предоставление льгот в налогообложении является мощным инструментом улучшения инвестиционной привлекательности регионов с низким экономическим потенциалом. Однако эффективное применение данного инструмента в Российской Федерации возможно при соблюдении ряда условий:</w:t>
      </w:r>
    </w:p>
    <w:p w:rsidR="00211F61" w:rsidRPr="00E007B8" w:rsidRDefault="00211F61" w:rsidP="00B12222">
      <w:pPr>
        <w:pStyle w:val="ae"/>
        <w:shd w:val="clear" w:color="000000" w:fill="auto"/>
        <w:suppressAutoHyphens/>
        <w:ind w:firstLine="709"/>
        <w:jc w:val="both"/>
        <w:rPr>
          <w:color w:val="000000"/>
        </w:rPr>
      </w:pPr>
      <w:r w:rsidRPr="00E007B8">
        <w:rPr>
          <w:color w:val="000000"/>
        </w:rPr>
        <w:t>1. Предоставление льгот только тем компаниям, которые инвестируют собственные и привлеченные средства в проекты, одобренные администрацией региона, участвуют в реализации инвестиционных проектов на территории региона.</w:t>
      </w:r>
    </w:p>
    <w:p w:rsidR="00211F61" w:rsidRPr="00E007B8" w:rsidRDefault="00211F61" w:rsidP="00B12222">
      <w:pPr>
        <w:pStyle w:val="ae"/>
        <w:shd w:val="clear" w:color="000000" w:fill="auto"/>
        <w:suppressAutoHyphens/>
        <w:ind w:firstLine="709"/>
        <w:jc w:val="both"/>
        <w:rPr>
          <w:color w:val="000000"/>
        </w:rPr>
      </w:pPr>
      <w:r w:rsidRPr="00E007B8">
        <w:rPr>
          <w:color w:val="000000"/>
        </w:rPr>
        <w:t>2. Использование денежных средств, возникающих в результате предоставления льгот, на развитие инфраструктуры региона.</w:t>
      </w:r>
    </w:p>
    <w:p w:rsidR="00211F61" w:rsidRPr="00E007B8" w:rsidRDefault="00211F61" w:rsidP="00B12222">
      <w:pPr>
        <w:pStyle w:val="ae"/>
        <w:shd w:val="clear" w:color="000000" w:fill="auto"/>
        <w:suppressAutoHyphens/>
        <w:ind w:firstLine="709"/>
        <w:jc w:val="both"/>
        <w:rPr>
          <w:color w:val="000000"/>
        </w:rPr>
      </w:pPr>
      <w:r w:rsidRPr="00E007B8">
        <w:rPr>
          <w:color w:val="000000"/>
        </w:rPr>
        <w:t>3. Жесткий контроль за целевым использованием полученных денежных средств.</w:t>
      </w:r>
    </w:p>
    <w:p w:rsidR="00211F61" w:rsidRPr="00E007B8" w:rsidRDefault="00211F61" w:rsidP="00B12222">
      <w:pPr>
        <w:pStyle w:val="ae"/>
        <w:shd w:val="clear" w:color="000000" w:fill="auto"/>
        <w:suppressAutoHyphens/>
        <w:ind w:firstLine="709"/>
        <w:jc w:val="both"/>
        <w:rPr>
          <w:color w:val="000000"/>
        </w:rPr>
      </w:pPr>
      <w:r w:rsidRPr="00E007B8">
        <w:rPr>
          <w:color w:val="000000"/>
        </w:rPr>
        <w:t>4. Создание законодательной базы, регламентирующей вопросы предоставления льгот.</w:t>
      </w:r>
      <w:r w:rsidR="00000735" w:rsidRPr="00E007B8">
        <w:rPr>
          <w:rStyle w:val="ac"/>
          <w:color w:val="000000"/>
          <w:vertAlign w:val="baseline"/>
        </w:rPr>
        <w:footnoteReference w:id="5"/>
      </w:r>
    </w:p>
    <w:p w:rsidR="00B12222" w:rsidRPr="00E007B8" w:rsidRDefault="00B12222" w:rsidP="00B12222">
      <w:pPr>
        <w:pStyle w:val="a4"/>
        <w:keepNext w:val="0"/>
        <w:shd w:val="clear" w:color="000000" w:fill="auto"/>
        <w:suppressAutoHyphens/>
        <w:spacing w:before="0" w:after="0" w:line="360" w:lineRule="auto"/>
        <w:ind w:left="709"/>
        <w:jc w:val="left"/>
        <w:rPr>
          <w:rFonts w:cs="Times New Roman"/>
          <w:color w:val="000000"/>
          <w:sz w:val="28"/>
        </w:rPr>
      </w:pPr>
    </w:p>
    <w:p w:rsidR="009734D4" w:rsidRPr="00E007B8" w:rsidRDefault="009734D4" w:rsidP="00B12222">
      <w:pPr>
        <w:pStyle w:val="a4"/>
        <w:keepNext w:val="0"/>
        <w:shd w:val="clear" w:color="000000" w:fill="auto"/>
        <w:suppressAutoHyphens/>
        <w:spacing w:before="0" w:after="0" w:line="360" w:lineRule="auto"/>
        <w:rPr>
          <w:rFonts w:cs="Times New Roman"/>
          <w:b w:val="0"/>
          <w:color w:val="000000"/>
          <w:sz w:val="28"/>
        </w:rPr>
      </w:pPr>
      <w:r w:rsidRPr="00E007B8">
        <w:rPr>
          <w:rFonts w:cs="Times New Roman"/>
          <w:color w:val="000000"/>
          <w:sz w:val="28"/>
        </w:rPr>
        <w:br w:type="page"/>
      </w:r>
      <w:bookmarkStart w:id="5" w:name="_Toc118392272"/>
      <w:r w:rsidRPr="00E007B8">
        <w:rPr>
          <w:rFonts w:cs="Times New Roman"/>
          <w:color w:val="000000"/>
          <w:sz w:val="28"/>
        </w:rPr>
        <w:t>Задача</w:t>
      </w:r>
      <w:bookmarkEnd w:id="5"/>
    </w:p>
    <w:p w:rsidR="009734D4" w:rsidRPr="00E007B8" w:rsidRDefault="009734D4" w:rsidP="00B12222">
      <w:pPr>
        <w:pStyle w:val="a3"/>
        <w:shd w:val="clear" w:color="000000" w:fill="auto"/>
        <w:suppressAutoHyphens/>
      </w:pPr>
    </w:p>
    <w:p w:rsidR="00284669" w:rsidRPr="00E007B8" w:rsidRDefault="00284669" w:rsidP="00B12222">
      <w:pPr>
        <w:pStyle w:val="a3"/>
        <w:shd w:val="clear" w:color="000000" w:fill="auto"/>
        <w:suppressAutoHyphens/>
      </w:pPr>
      <w:r w:rsidRPr="00E007B8">
        <w:t>Рассчитайте внутреннюю норму доходности одного из денежных потоков с точностью до двух знаков после запятой методом последовательных приближений. Результаты вычислений оформить в виде таблицы.</w:t>
      </w:r>
      <w:r w:rsidR="00B12222" w:rsidRPr="00E007B8">
        <w:t xml:space="preserve"> </w:t>
      </w:r>
      <w:r w:rsidRPr="00E007B8">
        <w:t>Исходные данные в таблице 1.</w:t>
      </w:r>
    </w:p>
    <w:p w:rsidR="00B12222" w:rsidRPr="00E007B8" w:rsidRDefault="00B12222" w:rsidP="00B12222">
      <w:pPr>
        <w:pStyle w:val="a3"/>
        <w:shd w:val="clear" w:color="000000" w:fill="auto"/>
        <w:suppressAutoHyphens/>
        <w:jc w:val="right"/>
      </w:pPr>
    </w:p>
    <w:p w:rsidR="00284669" w:rsidRPr="00E007B8" w:rsidRDefault="00B12222" w:rsidP="00B12222">
      <w:pPr>
        <w:pStyle w:val="a3"/>
        <w:shd w:val="clear" w:color="000000" w:fill="auto"/>
        <w:suppressAutoHyphens/>
        <w:jc w:val="right"/>
      </w:pPr>
      <w:r w:rsidRPr="00E007B8">
        <w:t>Таблица 1</w:t>
      </w:r>
    </w:p>
    <w:p w:rsidR="00284669" w:rsidRPr="00E007B8" w:rsidRDefault="00D23A31" w:rsidP="00B12222">
      <w:pPr>
        <w:pStyle w:val="a3"/>
        <w:shd w:val="clear" w:color="000000" w:fill="auto"/>
        <w:suppressAutoHyphens/>
        <w:ind w:firstLine="0"/>
        <w:jc w:val="center"/>
        <w:outlineLvl w:val="0"/>
        <w:rPr>
          <w:b/>
        </w:rPr>
      </w:pPr>
      <w:r w:rsidRPr="00E007B8">
        <w:rPr>
          <w:b/>
        </w:rPr>
        <w:t>Исходные данные</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2268"/>
      </w:tblGrid>
      <w:tr w:rsidR="00507208" w:rsidRPr="00E007B8" w:rsidTr="00E007B8">
        <w:trPr>
          <w:jc w:val="center"/>
        </w:trPr>
        <w:tc>
          <w:tcPr>
            <w:tcW w:w="2376"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В0 – С0</w:t>
            </w:r>
          </w:p>
        </w:tc>
        <w:tc>
          <w:tcPr>
            <w:tcW w:w="1985"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В1 – С1</w:t>
            </w:r>
          </w:p>
        </w:tc>
        <w:tc>
          <w:tcPr>
            <w:tcW w:w="2268"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В2 – С2</w:t>
            </w:r>
          </w:p>
        </w:tc>
      </w:tr>
      <w:tr w:rsidR="00507208" w:rsidRPr="00E007B8" w:rsidTr="00E007B8">
        <w:trPr>
          <w:jc w:val="center"/>
        </w:trPr>
        <w:tc>
          <w:tcPr>
            <w:tcW w:w="2376"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-15</w:t>
            </w:r>
          </w:p>
        </w:tc>
        <w:tc>
          <w:tcPr>
            <w:tcW w:w="1985"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13</w:t>
            </w:r>
          </w:p>
        </w:tc>
        <w:tc>
          <w:tcPr>
            <w:tcW w:w="2268"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14</w:t>
            </w:r>
          </w:p>
        </w:tc>
      </w:tr>
      <w:tr w:rsidR="00507208" w:rsidRPr="00E007B8" w:rsidTr="00E007B8">
        <w:trPr>
          <w:jc w:val="center"/>
        </w:trPr>
        <w:tc>
          <w:tcPr>
            <w:tcW w:w="2376"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0 год</w:t>
            </w:r>
          </w:p>
        </w:tc>
        <w:tc>
          <w:tcPr>
            <w:tcW w:w="1985"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1 год</w:t>
            </w:r>
          </w:p>
        </w:tc>
        <w:tc>
          <w:tcPr>
            <w:tcW w:w="2268" w:type="dxa"/>
            <w:shd w:val="clear" w:color="auto" w:fill="auto"/>
          </w:tcPr>
          <w:p w:rsidR="00507208" w:rsidRPr="00E007B8" w:rsidRDefault="00507208" w:rsidP="00E007B8">
            <w:pPr>
              <w:pStyle w:val="a3"/>
              <w:shd w:val="clear" w:color="000000" w:fill="auto"/>
              <w:suppressAutoHyphens/>
              <w:ind w:firstLine="0"/>
              <w:jc w:val="left"/>
              <w:rPr>
                <w:sz w:val="20"/>
              </w:rPr>
            </w:pPr>
            <w:r w:rsidRPr="00E007B8">
              <w:rPr>
                <w:sz w:val="20"/>
              </w:rPr>
              <w:t>2 год</w:t>
            </w:r>
          </w:p>
        </w:tc>
      </w:tr>
    </w:tbl>
    <w:p w:rsidR="009734D4" w:rsidRPr="00E007B8" w:rsidRDefault="009734D4" w:rsidP="00B12222">
      <w:pPr>
        <w:pStyle w:val="a3"/>
        <w:shd w:val="clear" w:color="000000" w:fill="auto"/>
        <w:suppressAutoHyphens/>
      </w:pPr>
    </w:p>
    <w:p w:rsidR="009734D4" w:rsidRPr="00E007B8" w:rsidRDefault="00CC01B1" w:rsidP="00B12222">
      <w:pPr>
        <w:pStyle w:val="a3"/>
        <w:shd w:val="clear" w:color="000000" w:fill="auto"/>
        <w:suppressAutoHyphens/>
      </w:pPr>
      <w:r w:rsidRPr="00E007B8">
        <w:t>Решение:</w:t>
      </w:r>
    </w:p>
    <w:p w:rsidR="00CC01B1" w:rsidRPr="00E007B8" w:rsidRDefault="00CC01B1" w:rsidP="00B12222">
      <w:pPr>
        <w:pStyle w:val="a3"/>
        <w:shd w:val="clear" w:color="000000" w:fill="auto"/>
        <w:suppressAutoHyphens/>
      </w:pPr>
      <w:r w:rsidRPr="00E007B8">
        <w:t>Внутренняя норма доходности –</w:t>
      </w:r>
      <w:r w:rsidR="00507208" w:rsidRPr="00E007B8">
        <w:t xml:space="preserve"> </w:t>
      </w:r>
      <w:r w:rsidRPr="00E007B8">
        <w:t xml:space="preserve">ставка дисконта, при которой </w:t>
      </w:r>
      <w:r w:rsidRPr="00E007B8">
        <w:rPr>
          <w:lang w:val="en-US"/>
        </w:rPr>
        <w:t>NPV</w:t>
      </w:r>
      <w:r w:rsidRPr="00E007B8">
        <w:t xml:space="preserve"> = 0.</w:t>
      </w:r>
    </w:p>
    <w:p w:rsidR="00B12222" w:rsidRPr="00E007B8" w:rsidRDefault="00B12222" w:rsidP="00B12222">
      <w:pPr>
        <w:pStyle w:val="a3"/>
        <w:shd w:val="clear" w:color="000000" w:fill="auto"/>
        <w:suppressAutoHyphens/>
      </w:pPr>
    </w:p>
    <w:p w:rsidR="00CC01B1" w:rsidRPr="00E007B8" w:rsidRDefault="003D33EA" w:rsidP="00B12222">
      <w:pPr>
        <w:pStyle w:val="a3"/>
        <w:shd w:val="clear" w:color="000000" w:fill="auto"/>
        <w:suppressAutoHyphens/>
      </w:pPr>
      <w:r>
        <w:pict>
          <v:shape id="_x0000_i1040" type="#_x0000_t75" style="width:111.75pt;height:35.25pt">
            <v:imagedata r:id="rId7" o:title=""/>
          </v:shape>
        </w:pict>
      </w:r>
    </w:p>
    <w:p w:rsidR="00B12222" w:rsidRPr="00E007B8" w:rsidRDefault="00B12222" w:rsidP="00B12222">
      <w:pPr>
        <w:pStyle w:val="a3"/>
        <w:shd w:val="clear" w:color="000000" w:fill="auto"/>
        <w:suppressAutoHyphens/>
        <w:jc w:val="center"/>
      </w:pPr>
    </w:p>
    <w:p w:rsidR="00CC01B1" w:rsidRPr="00E007B8" w:rsidRDefault="00CC01B1" w:rsidP="00B12222">
      <w:pPr>
        <w:pStyle w:val="a3"/>
        <w:shd w:val="clear" w:color="000000" w:fill="auto"/>
        <w:suppressAutoHyphens/>
      </w:pPr>
      <w:r w:rsidRPr="00E007B8">
        <w:t>Решение представим в таблице</w:t>
      </w:r>
      <w:r w:rsidR="00627A63" w:rsidRPr="00E007B8">
        <w:t xml:space="preserve"> 2</w:t>
      </w:r>
      <w:r w:rsidRPr="00E007B8">
        <w:t>:</w:t>
      </w:r>
    </w:p>
    <w:p w:rsidR="00B12222" w:rsidRPr="00E007B8" w:rsidRDefault="00B12222" w:rsidP="00B12222">
      <w:pPr>
        <w:pStyle w:val="a3"/>
        <w:shd w:val="clear" w:color="000000" w:fill="auto"/>
        <w:suppressAutoHyphens/>
        <w:jc w:val="right"/>
      </w:pPr>
    </w:p>
    <w:p w:rsidR="00CC01B1" w:rsidRPr="00E007B8" w:rsidRDefault="00B12222" w:rsidP="00B12222">
      <w:pPr>
        <w:pStyle w:val="a3"/>
        <w:shd w:val="clear" w:color="000000" w:fill="auto"/>
        <w:suppressAutoHyphens/>
        <w:jc w:val="right"/>
      </w:pPr>
      <w:r w:rsidRPr="00E007B8">
        <w:t>Таблица 2</w:t>
      </w:r>
    </w:p>
    <w:p w:rsidR="000E5676" w:rsidRPr="00E007B8" w:rsidRDefault="000E5676" w:rsidP="00B12222">
      <w:pPr>
        <w:pStyle w:val="a3"/>
        <w:shd w:val="clear" w:color="000000" w:fill="auto"/>
        <w:suppressAutoHyphens/>
        <w:ind w:firstLine="0"/>
        <w:jc w:val="center"/>
        <w:outlineLvl w:val="0"/>
        <w:rPr>
          <w:b/>
        </w:rPr>
      </w:pPr>
      <w:r w:rsidRPr="00E007B8">
        <w:rPr>
          <w:b/>
        </w:rPr>
        <w:t>Решение задачи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0E5676" w:rsidRPr="00E007B8" w:rsidTr="00E007B8">
        <w:trPr>
          <w:jc w:val="center"/>
        </w:trPr>
        <w:tc>
          <w:tcPr>
            <w:tcW w:w="2518" w:type="dxa"/>
            <w:shd w:val="clear" w:color="auto" w:fill="auto"/>
          </w:tcPr>
          <w:p w:rsidR="000E5676" w:rsidRPr="00E007B8" w:rsidRDefault="008F6E27" w:rsidP="00E007B8">
            <w:pPr>
              <w:pStyle w:val="a3"/>
              <w:shd w:val="clear" w:color="000000" w:fill="auto"/>
              <w:suppressAutoHyphens/>
              <w:ind w:firstLine="0"/>
              <w:jc w:val="left"/>
              <w:rPr>
                <w:sz w:val="20"/>
              </w:rPr>
            </w:pPr>
            <w:r w:rsidRPr="00E007B8">
              <w:rPr>
                <w:sz w:val="20"/>
              </w:rPr>
              <w:t>Ставка дисконта</w:t>
            </w:r>
            <w:r w:rsidR="00E1029F" w:rsidRPr="00E007B8">
              <w:rPr>
                <w:sz w:val="20"/>
              </w:rPr>
              <w:t xml:space="preserve">, </w:t>
            </w:r>
            <w:r w:rsidR="00507208" w:rsidRPr="00E007B8">
              <w:rPr>
                <w:sz w:val="20"/>
              </w:rPr>
              <w:t>долях</w:t>
            </w:r>
          </w:p>
        </w:tc>
        <w:tc>
          <w:tcPr>
            <w:tcW w:w="2552" w:type="dxa"/>
            <w:shd w:val="clear" w:color="auto" w:fill="auto"/>
          </w:tcPr>
          <w:p w:rsidR="000E5676" w:rsidRPr="00E007B8" w:rsidRDefault="008F6E27" w:rsidP="00E007B8">
            <w:pPr>
              <w:pStyle w:val="a3"/>
              <w:shd w:val="clear" w:color="000000" w:fill="auto"/>
              <w:suppressAutoHyphens/>
              <w:ind w:firstLine="0"/>
              <w:jc w:val="left"/>
              <w:rPr>
                <w:sz w:val="20"/>
              </w:rPr>
            </w:pPr>
            <w:r w:rsidRPr="00E007B8">
              <w:rPr>
                <w:sz w:val="20"/>
                <w:lang w:val="en-US"/>
              </w:rPr>
              <w:t>NPV</w:t>
            </w:r>
          </w:p>
        </w:tc>
      </w:tr>
      <w:tr w:rsidR="00507208" w:rsidRPr="00E007B8" w:rsidTr="00E007B8">
        <w:trPr>
          <w:jc w:val="center"/>
        </w:trPr>
        <w:tc>
          <w:tcPr>
            <w:tcW w:w="2518"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0,491</w:t>
            </w:r>
          </w:p>
        </w:tc>
        <w:tc>
          <w:tcPr>
            <w:tcW w:w="2552"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0,017</w:t>
            </w:r>
          </w:p>
        </w:tc>
      </w:tr>
      <w:tr w:rsidR="00507208" w:rsidRPr="00E007B8" w:rsidTr="00E007B8">
        <w:trPr>
          <w:jc w:val="center"/>
        </w:trPr>
        <w:tc>
          <w:tcPr>
            <w:tcW w:w="2518"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0,492</w:t>
            </w:r>
          </w:p>
        </w:tc>
        <w:tc>
          <w:tcPr>
            <w:tcW w:w="2552"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0,002</w:t>
            </w:r>
          </w:p>
        </w:tc>
      </w:tr>
      <w:tr w:rsidR="00507208" w:rsidRPr="00E007B8" w:rsidTr="00E007B8">
        <w:trPr>
          <w:jc w:val="center"/>
        </w:trPr>
        <w:tc>
          <w:tcPr>
            <w:tcW w:w="2518"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0,4921</w:t>
            </w:r>
          </w:p>
        </w:tc>
        <w:tc>
          <w:tcPr>
            <w:tcW w:w="2552"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0,0008</w:t>
            </w:r>
          </w:p>
        </w:tc>
      </w:tr>
      <w:tr w:rsidR="00507208" w:rsidRPr="00E007B8" w:rsidTr="00E007B8">
        <w:trPr>
          <w:jc w:val="center"/>
        </w:trPr>
        <w:tc>
          <w:tcPr>
            <w:tcW w:w="2518" w:type="dxa"/>
            <w:shd w:val="clear" w:color="auto" w:fill="auto"/>
          </w:tcPr>
          <w:p w:rsidR="00507208" w:rsidRPr="00E007B8" w:rsidRDefault="00507208" w:rsidP="00E007B8">
            <w:pPr>
              <w:shd w:val="clear" w:color="000000" w:fill="auto"/>
              <w:suppressAutoHyphens/>
              <w:spacing w:line="360" w:lineRule="auto"/>
              <w:rPr>
                <w:color w:val="000000"/>
                <w:sz w:val="20"/>
                <w:szCs w:val="28"/>
              </w:rPr>
            </w:pPr>
            <w:r w:rsidRPr="00E007B8">
              <w:rPr>
                <w:color w:val="000000"/>
                <w:sz w:val="20"/>
                <w:szCs w:val="28"/>
              </w:rPr>
              <w:t>0,4922</w:t>
            </w:r>
          </w:p>
        </w:tc>
        <w:tc>
          <w:tcPr>
            <w:tcW w:w="2552" w:type="dxa"/>
            <w:shd w:val="clear" w:color="auto" w:fill="auto"/>
          </w:tcPr>
          <w:p w:rsidR="00507208" w:rsidRPr="00E007B8" w:rsidRDefault="00536B93" w:rsidP="00E007B8">
            <w:pPr>
              <w:shd w:val="clear" w:color="000000" w:fill="auto"/>
              <w:suppressAutoHyphens/>
              <w:spacing w:line="360" w:lineRule="auto"/>
              <w:rPr>
                <w:color w:val="000000"/>
                <w:sz w:val="20"/>
                <w:szCs w:val="28"/>
              </w:rPr>
            </w:pPr>
            <w:r w:rsidRPr="00E007B8">
              <w:rPr>
                <w:color w:val="000000"/>
                <w:sz w:val="20"/>
                <w:szCs w:val="28"/>
              </w:rPr>
              <w:t>-</w:t>
            </w:r>
            <w:r w:rsidR="00507208" w:rsidRPr="00E007B8">
              <w:rPr>
                <w:color w:val="000000"/>
                <w:sz w:val="20"/>
                <w:szCs w:val="28"/>
              </w:rPr>
              <w:t>0,0006</w:t>
            </w:r>
          </w:p>
        </w:tc>
      </w:tr>
    </w:tbl>
    <w:p w:rsidR="00C323DA" w:rsidRPr="00E007B8" w:rsidRDefault="00C323DA" w:rsidP="00B12222">
      <w:pPr>
        <w:pStyle w:val="a3"/>
        <w:shd w:val="clear" w:color="000000" w:fill="auto"/>
        <w:suppressAutoHyphens/>
      </w:pPr>
    </w:p>
    <w:p w:rsidR="00A97232" w:rsidRPr="00E007B8" w:rsidRDefault="00560185" w:rsidP="00B12222">
      <w:pPr>
        <w:pStyle w:val="a3"/>
        <w:shd w:val="clear" w:color="000000" w:fill="auto"/>
        <w:suppressAutoHyphens/>
      </w:pPr>
      <w:r w:rsidRPr="00E007B8">
        <w:t>Найдем более точное значение внутренней нормы доходности:</w:t>
      </w:r>
    </w:p>
    <w:p w:rsidR="00560185" w:rsidRPr="00E007B8" w:rsidRDefault="00560185" w:rsidP="00B12222">
      <w:pPr>
        <w:pStyle w:val="a3"/>
        <w:shd w:val="clear" w:color="000000" w:fill="auto"/>
        <w:suppressAutoHyphens/>
      </w:pPr>
      <w:r w:rsidRPr="00E007B8">
        <w:rPr>
          <w:lang w:val="en-US"/>
        </w:rPr>
        <w:t>R</w:t>
      </w:r>
      <w:r w:rsidRPr="00E007B8">
        <w:t xml:space="preserve"> = 0,4921 + ((0,0008*(0,4922 – 0,4921)/(0,0008 + 0,0006)) = 0,492157</w:t>
      </w:r>
    </w:p>
    <w:p w:rsidR="00536B93" w:rsidRPr="00E007B8" w:rsidRDefault="00560185" w:rsidP="00B12222">
      <w:pPr>
        <w:pStyle w:val="a3"/>
        <w:shd w:val="clear" w:color="000000" w:fill="auto"/>
        <w:suppressAutoHyphens/>
      </w:pPr>
      <w:r w:rsidRPr="00E007B8">
        <w:rPr>
          <w:lang w:val="en-US"/>
        </w:rPr>
        <w:t>R</w:t>
      </w:r>
      <w:r w:rsidRPr="00E007B8">
        <w:t xml:space="preserve"> = 49,2157%.</w:t>
      </w:r>
    </w:p>
    <w:p w:rsidR="009734D4" w:rsidRPr="00E007B8" w:rsidRDefault="009734D4" w:rsidP="00B12222">
      <w:pPr>
        <w:pStyle w:val="a4"/>
        <w:keepNext w:val="0"/>
        <w:shd w:val="clear" w:color="000000" w:fill="auto"/>
        <w:suppressAutoHyphens/>
        <w:spacing w:before="0" w:after="0" w:line="360" w:lineRule="auto"/>
        <w:rPr>
          <w:rFonts w:cs="Times New Roman"/>
          <w:b w:val="0"/>
          <w:color w:val="000000"/>
          <w:sz w:val="28"/>
        </w:rPr>
      </w:pPr>
      <w:r w:rsidRPr="00E007B8">
        <w:rPr>
          <w:rFonts w:cs="Times New Roman"/>
          <w:color w:val="000000"/>
          <w:sz w:val="28"/>
        </w:rPr>
        <w:br w:type="page"/>
      </w:r>
      <w:bookmarkStart w:id="6" w:name="_Toc118392273"/>
      <w:r w:rsidRPr="00E007B8">
        <w:rPr>
          <w:rFonts w:cs="Times New Roman"/>
          <w:color w:val="000000"/>
          <w:sz w:val="28"/>
        </w:rPr>
        <w:t>Заключение</w:t>
      </w:r>
      <w:bookmarkEnd w:id="6"/>
    </w:p>
    <w:p w:rsidR="009734D4" w:rsidRPr="00E007B8" w:rsidRDefault="009734D4" w:rsidP="00B12222">
      <w:pPr>
        <w:pStyle w:val="a3"/>
        <w:shd w:val="clear" w:color="000000" w:fill="auto"/>
        <w:suppressAutoHyphens/>
      </w:pPr>
    </w:p>
    <w:p w:rsidR="00FD7FFA" w:rsidRPr="00E007B8" w:rsidRDefault="00FD7FFA" w:rsidP="00B12222">
      <w:pPr>
        <w:pStyle w:val="a3"/>
        <w:shd w:val="clear" w:color="000000" w:fill="auto"/>
        <w:suppressAutoHyphens/>
        <w:rPr>
          <w:szCs w:val="28"/>
        </w:rPr>
      </w:pPr>
      <w:r w:rsidRPr="00E007B8">
        <w:rPr>
          <w:szCs w:val="28"/>
        </w:rPr>
        <w:t>Инвестиции - это долгосрочное вложение капитала с целью получения прибыли. Очевидно, что развитие экономики невозможно без инвестиций, при этом каждый инвестор желает, чтобы инвестиции использовались оптимальным образом, принося наибольший экономический эффект.</w:t>
      </w:r>
    </w:p>
    <w:p w:rsidR="00FD7FFA" w:rsidRPr="00E007B8" w:rsidRDefault="00FD7FFA" w:rsidP="00B12222">
      <w:pPr>
        <w:pStyle w:val="a3"/>
        <w:shd w:val="clear" w:color="000000" w:fill="auto"/>
        <w:suppressAutoHyphens/>
      </w:pPr>
      <w:r w:rsidRPr="00E007B8">
        <w:t>Предоставление льгот в налогообложении является одним из инструментов устранения диспропорций в экономическом развитии различных регионов, возникающих ввиду неравномерного распределения между регионами природных и иных ресурсов. С ним связано такое явление современной экономики, как оффшорные (англ. offshore - "находящийся вдали от берега") зоны и территории. Оффшорными зонами принято называть территории (целые государства или их отдельные части), в которых действует льготный порядок налогообложения.</w:t>
      </w:r>
    </w:p>
    <w:p w:rsidR="00FD7FFA" w:rsidRPr="00E007B8" w:rsidRDefault="00FD7FFA" w:rsidP="00B12222">
      <w:pPr>
        <w:pStyle w:val="a3"/>
        <w:shd w:val="clear" w:color="000000" w:fill="auto"/>
        <w:suppressAutoHyphens/>
      </w:pPr>
      <w:r w:rsidRPr="00E007B8">
        <w:t>Развитие СЭЗ пошло по двум направлениям, что определило возникновение свободных экономических зон двух типов:</w:t>
      </w:r>
    </w:p>
    <w:p w:rsidR="00B12222" w:rsidRPr="00E007B8" w:rsidRDefault="00FD7FFA" w:rsidP="00B12222">
      <w:pPr>
        <w:pStyle w:val="a3"/>
        <w:shd w:val="clear" w:color="000000" w:fill="auto"/>
        <w:suppressAutoHyphens/>
      </w:pPr>
      <w:r w:rsidRPr="00E007B8">
        <w:t>1. Классические оффшоры - зоны, предоставляющие налоговые льготы предприятиям, зарегистрированным на территории данного региона, но доходы извлекающим за его пределами.</w:t>
      </w:r>
    </w:p>
    <w:p w:rsidR="00B12222" w:rsidRPr="00E007B8" w:rsidRDefault="00FD7FFA" w:rsidP="00B12222">
      <w:pPr>
        <w:pStyle w:val="a3"/>
        <w:shd w:val="clear" w:color="000000" w:fill="auto"/>
        <w:suppressAutoHyphens/>
      </w:pPr>
      <w:r w:rsidRPr="00E007B8">
        <w:t>2. Зоны, предоставляющие налоговые и иные льготы компаниям, которые инвестируют собственные и привлеченные средства в проекты, одобренные администрацией региона, участвуют в реализации инвестиционных проектов на территории региона.</w:t>
      </w:r>
    </w:p>
    <w:p w:rsidR="00FD7FFA" w:rsidRPr="00E007B8" w:rsidRDefault="00FD7FFA" w:rsidP="00B12222">
      <w:pPr>
        <w:pStyle w:val="a3"/>
        <w:shd w:val="clear" w:color="000000" w:fill="auto"/>
        <w:suppressAutoHyphens/>
      </w:pPr>
      <w:r w:rsidRPr="00E007B8">
        <w:t>Ко второму типу СЭЗ относятся Новгородская и Ярославская области.</w:t>
      </w:r>
    </w:p>
    <w:p w:rsidR="009734D4" w:rsidRPr="00E007B8" w:rsidRDefault="00FD7FFA" w:rsidP="00B12222">
      <w:pPr>
        <w:pStyle w:val="a3"/>
        <w:shd w:val="clear" w:color="000000" w:fill="auto"/>
        <w:suppressAutoHyphens/>
      </w:pPr>
      <w:r w:rsidRPr="00E007B8">
        <w:t>Особенности предоставления налоговых льгот в этих СЭЗах были подробно рассмотрены в работе.</w:t>
      </w:r>
    </w:p>
    <w:p w:rsidR="007A6D8E" w:rsidRPr="00E007B8" w:rsidRDefault="00FD7FFA" w:rsidP="00B12222">
      <w:pPr>
        <w:pStyle w:val="a3"/>
        <w:shd w:val="clear" w:color="000000" w:fill="auto"/>
        <w:suppressAutoHyphens/>
      </w:pPr>
      <w:r w:rsidRPr="00E007B8">
        <w:t>Кроме этого была решена задача по расчету внутренней нормы доходности.</w:t>
      </w:r>
    </w:p>
    <w:p w:rsidR="009734D4" w:rsidRPr="00E007B8" w:rsidRDefault="009734D4" w:rsidP="00B12222">
      <w:pPr>
        <w:pStyle w:val="a4"/>
        <w:keepNext w:val="0"/>
        <w:shd w:val="clear" w:color="000000" w:fill="auto"/>
        <w:suppressAutoHyphens/>
        <w:spacing w:before="0" w:after="0" w:line="360" w:lineRule="auto"/>
        <w:rPr>
          <w:rFonts w:cs="Times New Roman"/>
          <w:color w:val="000000"/>
          <w:sz w:val="28"/>
        </w:rPr>
      </w:pPr>
      <w:r w:rsidRPr="00E007B8">
        <w:rPr>
          <w:rFonts w:cs="Times New Roman"/>
          <w:color w:val="000000"/>
          <w:sz w:val="28"/>
        </w:rPr>
        <w:br w:type="page"/>
      </w:r>
      <w:bookmarkStart w:id="7" w:name="_Toc118392274"/>
      <w:r w:rsidRPr="00E007B8">
        <w:rPr>
          <w:rFonts w:cs="Times New Roman"/>
          <w:color w:val="000000"/>
          <w:sz w:val="28"/>
        </w:rPr>
        <w:t>Список используемой литературы</w:t>
      </w:r>
      <w:bookmarkEnd w:id="7"/>
    </w:p>
    <w:p w:rsidR="00C15F62" w:rsidRPr="00E007B8" w:rsidRDefault="00C15F62" w:rsidP="00B12222">
      <w:pPr>
        <w:pStyle w:val="a3"/>
        <w:shd w:val="clear" w:color="000000" w:fill="auto"/>
        <w:suppressAutoHyphens/>
      </w:pPr>
    </w:p>
    <w:p w:rsidR="00712275" w:rsidRPr="00E007B8" w:rsidRDefault="00712275" w:rsidP="00B12222">
      <w:pPr>
        <w:numPr>
          <w:ilvl w:val="0"/>
          <w:numId w:val="12"/>
        </w:numPr>
        <w:shd w:val="clear" w:color="000000" w:fill="auto"/>
        <w:tabs>
          <w:tab w:val="left" w:pos="426"/>
          <w:tab w:val="left" w:pos="610"/>
        </w:tabs>
        <w:suppressAutoHyphens/>
        <w:spacing w:line="360" w:lineRule="auto"/>
        <w:ind w:left="0" w:firstLine="0"/>
        <w:outlineLvl w:val="0"/>
        <w:rPr>
          <w:color w:val="000000"/>
          <w:sz w:val="28"/>
          <w:szCs w:val="28"/>
        </w:rPr>
      </w:pPr>
      <w:r w:rsidRPr="00E007B8">
        <w:rPr>
          <w:color w:val="000000"/>
          <w:sz w:val="28"/>
          <w:szCs w:val="28"/>
          <w:lang w:val="en-US"/>
        </w:rPr>
        <w:t>Bopo</w:t>
      </w:r>
      <w:r w:rsidR="00B12222" w:rsidRPr="00E007B8">
        <w:rPr>
          <w:color w:val="000000"/>
          <w:sz w:val="28"/>
          <w:szCs w:val="28"/>
        </w:rPr>
        <w:t>нцовский А.</w:t>
      </w:r>
      <w:r w:rsidRPr="00E007B8">
        <w:rPr>
          <w:color w:val="000000"/>
          <w:sz w:val="28"/>
          <w:szCs w:val="28"/>
        </w:rPr>
        <w:t>В. Инвестиции и финансирование: Методы оценки и обоснования. –СПб.: Изд-во СПб ун-та, 2000.</w:t>
      </w:r>
    </w:p>
    <w:p w:rsidR="005F1139" w:rsidRPr="00E007B8" w:rsidRDefault="005F1139" w:rsidP="00B12222">
      <w:pPr>
        <w:pStyle w:val="a3"/>
        <w:numPr>
          <w:ilvl w:val="0"/>
          <w:numId w:val="12"/>
        </w:numPr>
        <w:shd w:val="clear" w:color="000000" w:fill="auto"/>
        <w:tabs>
          <w:tab w:val="left" w:pos="426"/>
        </w:tabs>
        <w:suppressAutoHyphens/>
        <w:ind w:left="0" w:firstLine="0"/>
        <w:jc w:val="left"/>
        <w:outlineLvl w:val="0"/>
        <w:rPr>
          <w:bCs/>
          <w:szCs w:val="28"/>
        </w:rPr>
      </w:pPr>
      <w:r w:rsidRPr="00E007B8">
        <w:t>Дайн А. и др. Маркетинг. – М.: Экономика, 1999.</w:t>
      </w:r>
    </w:p>
    <w:p w:rsidR="00407FBF" w:rsidRPr="00E007B8" w:rsidRDefault="00407FBF" w:rsidP="00B12222">
      <w:pPr>
        <w:pStyle w:val="a3"/>
        <w:numPr>
          <w:ilvl w:val="0"/>
          <w:numId w:val="12"/>
        </w:numPr>
        <w:shd w:val="clear" w:color="000000" w:fill="auto"/>
        <w:tabs>
          <w:tab w:val="left" w:pos="426"/>
        </w:tabs>
        <w:suppressAutoHyphens/>
        <w:ind w:left="0" w:firstLine="0"/>
        <w:jc w:val="left"/>
        <w:outlineLvl w:val="0"/>
      </w:pPr>
      <w:r w:rsidRPr="00E007B8">
        <w:rPr>
          <w:bCs/>
          <w:szCs w:val="28"/>
        </w:rPr>
        <w:t>Пацык А.А. Влияние налоговых льгот на инвестиционную привлекательность российских регионов // Все о налогах, № 1, 2005.</w:t>
      </w:r>
    </w:p>
    <w:p w:rsidR="00407FBF" w:rsidRPr="00E007B8" w:rsidRDefault="00407FBF" w:rsidP="00B12222">
      <w:pPr>
        <w:pStyle w:val="a3"/>
        <w:numPr>
          <w:ilvl w:val="0"/>
          <w:numId w:val="12"/>
        </w:numPr>
        <w:shd w:val="clear" w:color="000000" w:fill="auto"/>
        <w:tabs>
          <w:tab w:val="left" w:pos="426"/>
        </w:tabs>
        <w:suppressAutoHyphens/>
        <w:ind w:left="0" w:firstLine="0"/>
        <w:jc w:val="left"/>
        <w:outlineLvl w:val="0"/>
      </w:pPr>
      <w:r w:rsidRPr="00E007B8">
        <w:t>Пацык А.А. Ярославская область: улучшение инвестиционного климата с помощью предоставления налоговых льгот // Налоговое планирование, № 1, 2005.</w:t>
      </w:r>
    </w:p>
    <w:p w:rsidR="00CC609B" w:rsidRPr="00E007B8" w:rsidRDefault="0028723E" w:rsidP="00B12222">
      <w:pPr>
        <w:pStyle w:val="a3"/>
        <w:numPr>
          <w:ilvl w:val="0"/>
          <w:numId w:val="12"/>
        </w:numPr>
        <w:shd w:val="clear" w:color="000000" w:fill="auto"/>
        <w:tabs>
          <w:tab w:val="left" w:pos="426"/>
        </w:tabs>
        <w:suppressAutoHyphens/>
        <w:ind w:left="0" w:firstLine="0"/>
        <w:jc w:val="left"/>
        <w:outlineLvl w:val="0"/>
        <w:rPr>
          <w:szCs w:val="28"/>
        </w:rPr>
      </w:pPr>
      <w:r w:rsidRPr="00E007B8">
        <w:rPr>
          <w:szCs w:val="28"/>
        </w:rPr>
        <w:t>http://www.vmgroup.ru/Win/Public2.htm</w:t>
      </w:r>
      <w:bookmarkStart w:id="8" w:name="_GoBack"/>
      <w:bookmarkEnd w:id="8"/>
    </w:p>
    <w:sectPr w:rsidR="00CC609B" w:rsidRPr="00E007B8" w:rsidSect="00B12222">
      <w:headerReference w:type="even"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B8" w:rsidRDefault="00E007B8">
      <w:r>
        <w:separator/>
      </w:r>
    </w:p>
  </w:endnote>
  <w:endnote w:type="continuationSeparator" w:id="0">
    <w:p w:rsidR="00E007B8" w:rsidRDefault="00E0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B8" w:rsidRDefault="00E007B8">
      <w:r>
        <w:separator/>
      </w:r>
    </w:p>
  </w:footnote>
  <w:footnote w:type="continuationSeparator" w:id="0">
    <w:p w:rsidR="00E007B8" w:rsidRDefault="00E007B8">
      <w:r>
        <w:continuationSeparator/>
      </w:r>
    </w:p>
  </w:footnote>
  <w:footnote w:id="1">
    <w:p w:rsidR="00E007B8" w:rsidRDefault="009527DF" w:rsidP="00A92EE6">
      <w:pPr>
        <w:shd w:val="clear" w:color="auto" w:fill="FFFFFF"/>
        <w:tabs>
          <w:tab w:val="left" w:pos="610"/>
        </w:tabs>
        <w:jc w:val="both"/>
      </w:pPr>
      <w:r w:rsidRPr="00A92EE6">
        <w:rPr>
          <w:rStyle w:val="ac"/>
          <w:sz w:val="20"/>
          <w:szCs w:val="20"/>
        </w:rPr>
        <w:footnoteRef/>
      </w:r>
      <w:r w:rsidRPr="00A92EE6">
        <w:rPr>
          <w:sz w:val="20"/>
          <w:szCs w:val="20"/>
        </w:rPr>
        <w:t xml:space="preserve"> </w:t>
      </w:r>
      <w:r w:rsidR="00A92EE6" w:rsidRPr="00A92EE6">
        <w:rPr>
          <w:sz w:val="20"/>
          <w:szCs w:val="20"/>
          <w:lang w:val="en-US"/>
        </w:rPr>
        <w:t>Bopo</w:t>
      </w:r>
      <w:r w:rsidR="00A92EE6" w:rsidRPr="00A92EE6">
        <w:rPr>
          <w:sz w:val="20"/>
          <w:szCs w:val="20"/>
        </w:rPr>
        <w:t xml:space="preserve">нцовский А. В. Инвестиции и финансирование: Методы </w:t>
      </w:r>
      <w:r w:rsidR="00A92EE6" w:rsidRPr="00A92EE6">
        <w:rPr>
          <w:spacing w:val="2"/>
          <w:sz w:val="20"/>
          <w:szCs w:val="20"/>
        </w:rPr>
        <w:t>оценки и обоснования. –СПб.: Изд-во СПб ун-та, 2000.</w:t>
      </w:r>
    </w:p>
  </w:footnote>
  <w:footnote w:id="2">
    <w:p w:rsidR="00E007B8" w:rsidRDefault="00C15F62" w:rsidP="00000735">
      <w:pPr>
        <w:pStyle w:val="a3"/>
        <w:spacing w:line="240" w:lineRule="auto"/>
        <w:ind w:firstLine="0"/>
      </w:pPr>
      <w:r w:rsidRPr="00000735">
        <w:rPr>
          <w:rStyle w:val="ac"/>
          <w:sz w:val="20"/>
          <w:szCs w:val="20"/>
        </w:rPr>
        <w:footnoteRef/>
      </w:r>
      <w:r w:rsidRPr="00000735">
        <w:rPr>
          <w:sz w:val="20"/>
          <w:szCs w:val="20"/>
        </w:rPr>
        <w:t xml:space="preserve"> </w:t>
      </w:r>
      <w:r w:rsidR="00000735" w:rsidRPr="00000735">
        <w:rPr>
          <w:sz w:val="20"/>
          <w:szCs w:val="20"/>
        </w:rPr>
        <w:t>А.А. Пацык. Влияние налоговых льгот на инвестиционную привлекательность российских регионов // Все о налогах, № 1, 2005.</w:t>
      </w:r>
    </w:p>
  </w:footnote>
  <w:footnote w:id="3">
    <w:p w:rsidR="00E007B8" w:rsidRDefault="00000735" w:rsidP="00000735">
      <w:pPr>
        <w:pStyle w:val="a3"/>
        <w:spacing w:line="240" w:lineRule="auto"/>
        <w:ind w:firstLine="0"/>
      </w:pPr>
      <w:r w:rsidRPr="00000735">
        <w:rPr>
          <w:rStyle w:val="ac"/>
          <w:sz w:val="20"/>
          <w:szCs w:val="20"/>
        </w:rPr>
        <w:footnoteRef/>
      </w:r>
      <w:r w:rsidRPr="00000735">
        <w:rPr>
          <w:sz w:val="20"/>
          <w:szCs w:val="20"/>
        </w:rPr>
        <w:t xml:space="preserve"> А.А. Пацык. Влияние налоговых льгот на инвестиционную привлекательность российских регионов // Все о налогах, № 1, 2005.</w:t>
      </w:r>
    </w:p>
  </w:footnote>
  <w:footnote w:id="4">
    <w:p w:rsidR="00E007B8" w:rsidRDefault="00407FBF" w:rsidP="00407FBF">
      <w:pPr>
        <w:shd w:val="clear" w:color="auto" w:fill="FFFFFF"/>
        <w:tabs>
          <w:tab w:val="left" w:pos="610"/>
        </w:tabs>
        <w:spacing w:line="360" w:lineRule="auto"/>
        <w:jc w:val="both"/>
      </w:pPr>
      <w:r w:rsidRPr="00407FBF">
        <w:rPr>
          <w:rStyle w:val="ac"/>
          <w:sz w:val="20"/>
        </w:rPr>
        <w:footnoteRef/>
      </w:r>
      <w:r w:rsidRPr="00407FBF">
        <w:rPr>
          <w:sz w:val="20"/>
          <w:szCs w:val="20"/>
        </w:rPr>
        <w:t xml:space="preserve"> </w:t>
      </w:r>
      <w:r w:rsidRPr="00407FBF">
        <w:rPr>
          <w:sz w:val="20"/>
          <w:szCs w:val="20"/>
          <w:lang w:val="en-US"/>
        </w:rPr>
        <w:t>Bopo</w:t>
      </w:r>
      <w:r w:rsidRPr="00407FBF">
        <w:rPr>
          <w:sz w:val="20"/>
          <w:szCs w:val="20"/>
        </w:rPr>
        <w:t xml:space="preserve">нцовский А. В. Инвестиции и финансирование: Методы </w:t>
      </w:r>
      <w:r w:rsidRPr="00407FBF">
        <w:rPr>
          <w:spacing w:val="2"/>
          <w:sz w:val="20"/>
          <w:szCs w:val="20"/>
        </w:rPr>
        <w:t>оценки и обоснования. –СПб.: Изд-во СПб ун-та, 2000.</w:t>
      </w:r>
    </w:p>
  </w:footnote>
  <w:footnote w:id="5">
    <w:p w:rsidR="00E007B8" w:rsidRDefault="00000735" w:rsidP="00000735">
      <w:pPr>
        <w:pStyle w:val="a3"/>
        <w:spacing w:line="240" w:lineRule="auto"/>
        <w:ind w:firstLine="0"/>
      </w:pPr>
      <w:r w:rsidRPr="00000735">
        <w:rPr>
          <w:rStyle w:val="ac"/>
          <w:sz w:val="20"/>
          <w:szCs w:val="20"/>
        </w:rPr>
        <w:footnoteRef/>
      </w:r>
      <w:r w:rsidRPr="00000735">
        <w:rPr>
          <w:sz w:val="20"/>
          <w:szCs w:val="20"/>
        </w:rPr>
        <w:t xml:space="preserve"> А.А. Пацык. Ярославская область: улучшение инвестиционного климата с помощью предоставления налоговых льгот // Налоговое планирование, № 1,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DF" w:rsidRDefault="009527DF" w:rsidP="004971DE">
    <w:pPr>
      <w:pStyle w:val="a5"/>
      <w:framePr w:wrap="around" w:vAnchor="text" w:hAnchor="margin" w:xAlign="right" w:y="1"/>
      <w:rPr>
        <w:rStyle w:val="a7"/>
      </w:rPr>
    </w:pPr>
  </w:p>
  <w:p w:rsidR="009527DF" w:rsidRDefault="009527DF" w:rsidP="009734D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numPicBullet w:numPicBulletId="2">
    <w:pict>
      <v:shape id="_x0000_i1050" type="#_x0000_t75" style="width:3in;height:3in" o:bullet="t">
        <v:imagedata r:id="rId3" o:title=""/>
      </v:shape>
    </w:pict>
  </w:numPicBullet>
  <w:abstractNum w:abstractNumId="0">
    <w:nsid w:val="11BF0B77"/>
    <w:multiLevelType w:val="multilevel"/>
    <w:tmpl w:val="0C06BA4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A6010"/>
    <w:multiLevelType w:val="multilevel"/>
    <w:tmpl w:val="2DD8366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856481B"/>
    <w:multiLevelType w:val="multilevel"/>
    <w:tmpl w:val="E006F5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D2CF1"/>
    <w:multiLevelType w:val="multilevel"/>
    <w:tmpl w:val="B356A1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F6DC9"/>
    <w:multiLevelType w:val="multilevel"/>
    <w:tmpl w:val="F4C49E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23C1915"/>
    <w:multiLevelType w:val="hybridMultilevel"/>
    <w:tmpl w:val="E8D281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810DA9"/>
    <w:multiLevelType w:val="hybridMultilevel"/>
    <w:tmpl w:val="A00C7B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E4E11C8"/>
    <w:multiLevelType w:val="hybridMultilevel"/>
    <w:tmpl w:val="C21E9E26"/>
    <w:lvl w:ilvl="0" w:tplc="A7ACE96A">
      <w:start w:val="1"/>
      <w:numFmt w:val="decimal"/>
      <w:lvlText w:val="%1."/>
      <w:lvlJc w:val="left"/>
      <w:pPr>
        <w:tabs>
          <w:tab w:val="num" w:pos="720"/>
        </w:tabs>
        <w:ind w:left="720" w:hanging="360"/>
      </w:pPr>
      <w:rPr>
        <w:rFonts w:cs="Times New Roman" w:hint="default"/>
      </w:rPr>
    </w:lvl>
    <w:lvl w:ilvl="1" w:tplc="0FC2D0EC">
      <w:numFmt w:val="none"/>
      <w:lvlText w:val=""/>
      <w:lvlJc w:val="left"/>
      <w:pPr>
        <w:tabs>
          <w:tab w:val="num" w:pos="360"/>
        </w:tabs>
      </w:pPr>
      <w:rPr>
        <w:rFonts w:cs="Times New Roman"/>
      </w:rPr>
    </w:lvl>
    <w:lvl w:ilvl="2" w:tplc="A3B6F1E4">
      <w:numFmt w:val="none"/>
      <w:lvlText w:val=""/>
      <w:lvlJc w:val="left"/>
      <w:pPr>
        <w:tabs>
          <w:tab w:val="num" w:pos="360"/>
        </w:tabs>
      </w:pPr>
      <w:rPr>
        <w:rFonts w:cs="Times New Roman"/>
      </w:rPr>
    </w:lvl>
    <w:lvl w:ilvl="3" w:tplc="4CCCA124">
      <w:numFmt w:val="none"/>
      <w:lvlText w:val=""/>
      <w:lvlJc w:val="left"/>
      <w:pPr>
        <w:tabs>
          <w:tab w:val="num" w:pos="360"/>
        </w:tabs>
      </w:pPr>
      <w:rPr>
        <w:rFonts w:cs="Times New Roman"/>
      </w:rPr>
    </w:lvl>
    <w:lvl w:ilvl="4" w:tplc="8034DFC0">
      <w:numFmt w:val="none"/>
      <w:lvlText w:val=""/>
      <w:lvlJc w:val="left"/>
      <w:pPr>
        <w:tabs>
          <w:tab w:val="num" w:pos="360"/>
        </w:tabs>
      </w:pPr>
      <w:rPr>
        <w:rFonts w:cs="Times New Roman"/>
      </w:rPr>
    </w:lvl>
    <w:lvl w:ilvl="5" w:tplc="7046C0AC">
      <w:numFmt w:val="none"/>
      <w:lvlText w:val=""/>
      <w:lvlJc w:val="left"/>
      <w:pPr>
        <w:tabs>
          <w:tab w:val="num" w:pos="360"/>
        </w:tabs>
      </w:pPr>
      <w:rPr>
        <w:rFonts w:cs="Times New Roman"/>
      </w:rPr>
    </w:lvl>
    <w:lvl w:ilvl="6" w:tplc="01100C92">
      <w:numFmt w:val="none"/>
      <w:lvlText w:val=""/>
      <w:lvlJc w:val="left"/>
      <w:pPr>
        <w:tabs>
          <w:tab w:val="num" w:pos="360"/>
        </w:tabs>
      </w:pPr>
      <w:rPr>
        <w:rFonts w:cs="Times New Roman"/>
      </w:rPr>
    </w:lvl>
    <w:lvl w:ilvl="7" w:tplc="BBC2B43C">
      <w:numFmt w:val="none"/>
      <w:lvlText w:val=""/>
      <w:lvlJc w:val="left"/>
      <w:pPr>
        <w:tabs>
          <w:tab w:val="num" w:pos="360"/>
        </w:tabs>
      </w:pPr>
      <w:rPr>
        <w:rFonts w:cs="Times New Roman"/>
      </w:rPr>
    </w:lvl>
    <w:lvl w:ilvl="8" w:tplc="12CC9EE8">
      <w:numFmt w:val="none"/>
      <w:lvlText w:val=""/>
      <w:lvlJc w:val="left"/>
      <w:pPr>
        <w:tabs>
          <w:tab w:val="num" w:pos="360"/>
        </w:tabs>
      </w:pPr>
      <w:rPr>
        <w:rFonts w:cs="Times New Roman"/>
      </w:rPr>
    </w:lvl>
  </w:abstractNum>
  <w:abstractNum w:abstractNumId="8">
    <w:nsid w:val="36324871"/>
    <w:multiLevelType w:val="multilevel"/>
    <w:tmpl w:val="979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90E61"/>
    <w:multiLevelType w:val="hybridMultilevel"/>
    <w:tmpl w:val="C91482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18B3483"/>
    <w:multiLevelType w:val="hybridMultilevel"/>
    <w:tmpl w:val="B714288C"/>
    <w:lvl w:ilvl="0" w:tplc="C590AF4A">
      <w:start w:val="1"/>
      <w:numFmt w:val="decimal"/>
      <w:lvlText w:val="%1."/>
      <w:lvlJc w:val="left"/>
      <w:pPr>
        <w:tabs>
          <w:tab w:val="num" w:pos="720"/>
        </w:tabs>
        <w:ind w:left="720" w:hanging="360"/>
      </w:pPr>
      <w:rPr>
        <w:rFonts w:cs="Times New Roman" w:hint="default"/>
      </w:rPr>
    </w:lvl>
    <w:lvl w:ilvl="1" w:tplc="321CDD6C">
      <w:numFmt w:val="none"/>
      <w:lvlText w:val=""/>
      <w:lvlJc w:val="left"/>
      <w:pPr>
        <w:tabs>
          <w:tab w:val="num" w:pos="360"/>
        </w:tabs>
      </w:pPr>
      <w:rPr>
        <w:rFonts w:cs="Times New Roman"/>
      </w:rPr>
    </w:lvl>
    <w:lvl w:ilvl="2" w:tplc="188E3F3C">
      <w:numFmt w:val="none"/>
      <w:lvlText w:val=""/>
      <w:lvlJc w:val="left"/>
      <w:pPr>
        <w:tabs>
          <w:tab w:val="num" w:pos="360"/>
        </w:tabs>
      </w:pPr>
      <w:rPr>
        <w:rFonts w:cs="Times New Roman"/>
      </w:rPr>
    </w:lvl>
    <w:lvl w:ilvl="3" w:tplc="480E9154">
      <w:numFmt w:val="none"/>
      <w:lvlText w:val=""/>
      <w:lvlJc w:val="left"/>
      <w:pPr>
        <w:tabs>
          <w:tab w:val="num" w:pos="360"/>
        </w:tabs>
      </w:pPr>
      <w:rPr>
        <w:rFonts w:cs="Times New Roman"/>
      </w:rPr>
    </w:lvl>
    <w:lvl w:ilvl="4" w:tplc="AE569BCA">
      <w:numFmt w:val="none"/>
      <w:lvlText w:val=""/>
      <w:lvlJc w:val="left"/>
      <w:pPr>
        <w:tabs>
          <w:tab w:val="num" w:pos="360"/>
        </w:tabs>
      </w:pPr>
      <w:rPr>
        <w:rFonts w:cs="Times New Roman"/>
      </w:rPr>
    </w:lvl>
    <w:lvl w:ilvl="5" w:tplc="2A8246D6">
      <w:numFmt w:val="none"/>
      <w:lvlText w:val=""/>
      <w:lvlJc w:val="left"/>
      <w:pPr>
        <w:tabs>
          <w:tab w:val="num" w:pos="360"/>
        </w:tabs>
      </w:pPr>
      <w:rPr>
        <w:rFonts w:cs="Times New Roman"/>
      </w:rPr>
    </w:lvl>
    <w:lvl w:ilvl="6" w:tplc="E7C4F930">
      <w:numFmt w:val="none"/>
      <w:lvlText w:val=""/>
      <w:lvlJc w:val="left"/>
      <w:pPr>
        <w:tabs>
          <w:tab w:val="num" w:pos="360"/>
        </w:tabs>
      </w:pPr>
      <w:rPr>
        <w:rFonts w:cs="Times New Roman"/>
      </w:rPr>
    </w:lvl>
    <w:lvl w:ilvl="7" w:tplc="5BC4C4F2">
      <w:numFmt w:val="none"/>
      <w:lvlText w:val=""/>
      <w:lvlJc w:val="left"/>
      <w:pPr>
        <w:tabs>
          <w:tab w:val="num" w:pos="360"/>
        </w:tabs>
      </w:pPr>
      <w:rPr>
        <w:rFonts w:cs="Times New Roman"/>
      </w:rPr>
    </w:lvl>
    <w:lvl w:ilvl="8" w:tplc="248C7D92">
      <w:numFmt w:val="none"/>
      <w:lvlText w:val=""/>
      <w:lvlJc w:val="left"/>
      <w:pPr>
        <w:tabs>
          <w:tab w:val="num" w:pos="360"/>
        </w:tabs>
      </w:pPr>
      <w:rPr>
        <w:rFonts w:cs="Times New Roman"/>
      </w:rPr>
    </w:lvl>
  </w:abstractNum>
  <w:abstractNum w:abstractNumId="11">
    <w:nsid w:val="4D810257"/>
    <w:multiLevelType w:val="hybridMultilevel"/>
    <w:tmpl w:val="C472D1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4121106"/>
    <w:multiLevelType w:val="hybridMultilevel"/>
    <w:tmpl w:val="74B270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443521B"/>
    <w:multiLevelType w:val="hybridMultilevel"/>
    <w:tmpl w:val="5D24AA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0E2882"/>
    <w:multiLevelType w:val="hybridMultilevel"/>
    <w:tmpl w:val="F06AA91A"/>
    <w:lvl w:ilvl="0" w:tplc="94562D8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1470CF1"/>
    <w:multiLevelType w:val="multilevel"/>
    <w:tmpl w:val="4CC4729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764979"/>
    <w:multiLevelType w:val="multilevel"/>
    <w:tmpl w:val="EE6685C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A323A"/>
    <w:multiLevelType w:val="hybridMultilevel"/>
    <w:tmpl w:val="36584A0C"/>
    <w:lvl w:ilvl="0" w:tplc="9F0AC0F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AD1E4E"/>
    <w:multiLevelType w:val="multilevel"/>
    <w:tmpl w:val="60B46F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2"/>
  </w:num>
  <w:num w:numId="3">
    <w:abstractNumId w:val="15"/>
  </w:num>
  <w:num w:numId="4">
    <w:abstractNumId w:val="16"/>
  </w:num>
  <w:num w:numId="5">
    <w:abstractNumId w:val="3"/>
  </w:num>
  <w:num w:numId="6">
    <w:abstractNumId w:val="0"/>
  </w:num>
  <w:num w:numId="7">
    <w:abstractNumId w:val="13"/>
  </w:num>
  <w:num w:numId="8">
    <w:abstractNumId w:val="5"/>
  </w:num>
  <w:num w:numId="9">
    <w:abstractNumId w:val="11"/>
  </w:num>
  <w:num w:numId="10">
    <w:abstractNumId w:val="12"/>
  </w:num>
  <w:num w:numId="11">
    <w:abstractNumId w:val="9"/>
  </w:num>
  <w:num w:numId="12">
    <w:abstractNumId w:val="14"/>
  </w:num>
  <w:num w:numId="13">
    <w:abstractNumId w:val="8"/>
  </w:num>
  <w:num w:numId="14">
    <w:abstractNumId w:val="6"/>
  </w:num>
  <w:num w:numId="15">
    <w:abstractNumId w:val="18"/>
  </w:num>
  <w:num w:numId="16">
    <w:abstractNumId w:val="10"/>
  </w:num>
  <w:num w:numId="17">
    <w:abstractNumId w:val="17"/>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4D4"/>
    <w:rsid w:val="00000735"/>
    <w:rsid w:val="000208AA"/>
    <w:rsid w:val="000E5676"/>
    <w:rsid w:val="00105A5E"/>
    <w:rsid w:val="00146A32"/>
    <w:rsid w:val="0015229A"/>
    <w:rsid w:val="001C63DB"/>
    <w:rsid w:val="001E28D2"/>
    <w:rsid w:val="001E4CD8"/>
    <w:rsid w:val="00211F61"/>
    <w:rsid w:val="00216C5A"/>
    <w:rsid w:val="00257729"/>
    <w:rsid w:val="00284669"/>
    <w:rsid w:val="0028723E"/>
    <w:rsid w:val="002E03F9"/>
    <w:rsid w:val="003A01A8"/>
    <w:rsid w:val="003D33EA"/>
    <w:rsid w:val="00407FBF"/>
    <w:rsid w:val="00440F07"/>
    <w:rsid w:val="004611C8"/>
    <w:rsid w:val="004971DE"/>
    <w:rsid w:val="005003C8"/>
    <w:rsid w:val="005067C2"/>
    <w:rsid w:val="00507208"/>
    <w:rsid w:val="00516CAB"/>
    <w:rsid w:val="00530C1E"/>
    <w:rsid w:val="00536B93"/>
    <w:rsid w:val="005459BD"/>
    <w:rsid w:val="00560185"/>
    <w:rsid w:val="005B7184"/>
    <w:rsid w:val="005F1139"/>
    <w:rsid w:val="00627A63"/>
    <w:rsid w:val="00637E3D"/>
    <w:rsid w:val="00646FFA"/>
    <w:rsid w:val="006D6759"/>
    <w:rsid w:val="006E05D7"/>
    <w:rsid w:val="00712275"/>
    <w:rsid w:val="007317A8"/>
    <w:rsid w:val="007A6D8E"/>
    <w:rsid w:val="007B1422"/>
    <w:rsid w:val="007E4E49"/>
    <w:rsid w:val="008535F0"/>
    <w:rsid w:val="008C212C"/>
    <w:rsid w:val="008C2E3F"/>
    <w:rsid w:val="008F6E27"/>
    <w:rsid w:val="00920A61"/>
    <w:rsid w:val="00942114"/>
    <w:rsid w:val="009527DF"/>
    <w:rsid w:val="00971FF4"/>
    <w:rsid w:val="009734D4"/>
    <w:rsid w:val="00994BFE"/>
    <w:rsid w:val="00A67054"/>
    <w:rsid w:val="00A92EE6"/>
    <w:rsid w:val="00A97232"/>
    <w:rsid w:val="00AE1A58"/>
    <w:rsid w:val="00AF02C7"/>
    <w:rsid w:val="00B005D8"/>
    <w:rsid w:val="00B12222"/>
    <w:rsid w:val="00B13054"/>
    <w:rsid w:val="00B13649"/>
    <w:rsid w:val="00C11673"/>
    <w:rsid w:val="00C15F62"/>
    <w:rsid w:val="00C323DA"/>
    <w:rsid w:val="00C516FD"/>
    <w:rsid w:val="00CA082A"/>
    <w:rsid w:val="00CC01B1"/>
    <w:rsid w:val="00CC609B"/>
    <w:rsid w:val="00CE46EF"/>
    <w:rsid w:val="00D07E80"/>
    <w:rsid w:val="00D23A31"/>
    <w:rsid w:val="00D6250E"/>
    <w:rsid w:val="00D94892"/>
    <w:rsid w:val="00DD63FE"/>
    <w:rsid w:val="00E007B8"/>
    <w:rsid w:val="00E1029F"/>
    <w:rsid w:val="00E34321"/>
    <w:rsid w:val="00EE2403"/>
    <w:rsid w:val="00F3023C"/>
    <w:rsid w:val="00FB0939"/>
    <w:rsid w:val="00FC1287"/>
    <w:rsid w:val="00FD7FFA"/>
    <w:rsid w:val="00FE1F20"/>
    <w:rsid w:val="00FE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8B46E51-741E-415F-9C3F-A68A172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37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46F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Юльчик"/>
    <w:basedOn w:val="a"/>
    <w:rsid w:val="00FB0939"/>
    <w:pPr>
      <w:shd w:val="clear" w:color="auto" w:fill="FFFFFF"/>
      <w:spacing w:line="360" w:lineRule="auto"/>
      <w:ind w:firstLine="709"/>
      <w:jc w:val="both"/>
    </w:pPr>
    <w:rPr>
      <w:color w:val="000000"/>
      <w:sz w:val="28"/>
    </w:rPr>
  </w:style>
  <w:style w:type="paragraph" w:customStyle="1" w:styleId="2TimesNewRoman">
    <w:name w:val="Стиль Стиль Заголовок 2 + Times New Roman не курсив Междустр.интерв..."/>
    <w:basedOn w:val="a"/>
    <w:rsid w:val="00C516FD"/>
    <w:pPr>
      <w:keepNext/>
      <w:spacing w:before="240" w:after="60" w:line="360" w:lineRule="auto"/>
      <w:outlineLvl w:val="1"/>
    </w:pPr>
    <w:rPr>
      <w:bCs/>
      <w:sz w:val="28"/>
      <w:szCs w:val="20"/>
    </w:rPr>
  </w:style>
  <w:style w:type="paragraph" w:customStyle="1" w:styleId="a4">
    <w:name w:val="Мой стиль"/>
    <w:basedOn w:val="1"/>
    <w:rsid w:val="00FE378D"/>
    <w:pPr>
      <w:jc w:val="center"/>
    </w:pPr>
    <w:rPr>
      <w:rFonts w:ascii="Times New Roman" w:hAnsi="Times New Roman"/>
    </w:rPr>
  </w:style>
  <w:style w:type="paragraph" w:styleId="a5">
    <w:name w:val="header"/>
    <w:basedOn w:val="a"/>
    <w:link w:val="a6"/>
    <w:uiPriority w:val="99"/>
    <w:rsid w:val="009734D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734D4"/>
    <w:rPr>
      <w:rFonts w:cs="Times New Roman"/>
    </w:rPr>
  </w:style>
  <w:style w:type="table" w:styleId="a8">
    <w:name w:val="Table Grid"/>
    <w:basedOn w:val="a1"/>
    <w:uiPriority w:val="59"/>
    <w:rsid w:val="00D23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2E03F9"/>
  </w:style>
  <w:style w:type="character" w:styleId="a9">
    <w:name w:val="Hyperlink"/>
    <w:uiPriority w:val="99"/>
    <w:rsid w:val="002E03F9"/>
    <w:rPr>
      <w:rFonts w:cs="Times New Roman"/>
      <w:color w:val="0000FF"/>
      <w:u w:val="single"/>
    </w:rPr>
  </w:style>
  <w:style w:type="paragraph" w:styleId="aa">
    <w:name w:val="footnote text"/>
    <w:basedOn w:val="a"/>
    <w:link w:val="ab"/>
    <w:uiPriority w:val="99"/>
    <w:semiHidden/>
    <w:rsid w:val="001C63DB"/>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1C63DB"/>
    <w:rPr>
      <w:rFonts w:cs="Times New Roman"/>
      <w:vertAlign w:val="superscript"/>
    </w:rPr>
  </w:style>
  <w:style w:type="paragraph" w:styleId="ad">
    <w:name w:val="Normal (Web)"/>
    <w:basedOn w:val="a"/>
    <w:uiPriority w:val="99"/>
    <w:rsid w:val="0028723E"/>
    <w:pPr>
      <w:spacing w:before="100" w:beforeAutospacing="1" w:after="100" w:afterAutospacing="1"/>
    </w:pPr>
  </w:style>
  <w:style w:type="paragraph" w:styleId="ae">
    <w:name w:val="Body Text Indent"/>
    <w:basedOn w:val="a"/>
    <w:link w:val="af"/>
    <w:uiPriority w:val="99"/>
    <w:rsid w:val="00CE46EF"/>
    <w:pPr>
      <w:spacing w:line="360" w:lineRule="auto"/>
      <w:ind w:firstLine="720"/>
    </w:pPr>
    <w:rPr>
      <w:sz w:val="28"/>
      <w:szCs w:val="20"/>
    </w:rPr>
  </w:style>
  <w:style w:type="character" w:customStyle="1" w:styleId="af">
    <w:name w:val="Основной текст с отступом Знак"/>
    <w:link w:val="ae"/>
    <w:uiPriority w:val="99"/>
    <w:semiHidden/>
    <w:rPr>
      <w:sz w:val="24"/>
      <w:szCs w:val="24"/>
    </w:rPr>
  </w:style>
  <w:style w:type="character" w:styleId="af0">
    <w:name w:val="FollowedHyperlink"/>
    <w:uiPriority w:val="99"/>
    <w:rsid w:val="005F1139"/>
    <w:rPr>
      <w:rFonts w:cs="Times New Roman"/>
      <w:color w:val="800080"/>
      <w:u w:val="single"/>
    </w:rPr>
  </w:style>
  <w:style w:type="paragraph" w:styleId="21">
    <w:name w:val="toc 2"/>
    <w:basedOn w:val="a"/>
    <w:next w:val="a"/>
    <w:autoRedefine/>
    <w:uiPriority w:val="39"/>
    <w:semiHidden/>
    <w:rsid w:val="008C2E3F"/>
    <w:pPr>
      <w:ind w:left="240"/>
    </w:pPr>
  </w:style>
  <w:style w:type="paragraph" w:customStyle="1" w:styleId="ConsNormal">
    <w:name w:val="ConsNormal"/>
    <w:rsid w:val="00211F61"/>
    <w:pPr>
      <w:widowControl w:val="0"/>
      <w:autoSpaceDE w:val="0"/>
      <w:autoSpaceDN w:val="0"/>
      <w:adjustRightInd w:val="0"/>
      <w:ind w:right="19772" w:firstLine="720"/>
    </w:pPr>
    <w:rPr>
      <w:rFonts w:ascii="Arial" w:hAnsi="Arial" w:cs="Arial"/>
    </w:rPr>
  </w:style>
  <w:style w:type="paragraph" w:customStyle="1" w:styleId="ConsNonformat">
    <w:name w:val="ConsNonformat"/>
    <w:rsid w:val="00211F61"/>
    <w:pPr>
      <w:widowControl w:val="0"/>
      <w:autoSpaceDE w:val="0"/>
      <w:autoSpaceDN w:val="0"/>
      <w:adjustRightInd w:val="0"/>
      <w:ind w:right="19772"/>
    </w:pPr>
    <w:rPr>
      <w:rFonts w:ascii="Courier New" w:hAnsi="Courier New" w:cs="Courier New"/>
    </w:rPr>
  </w:style>
  <w:style w:type="paragraph" w:customStyle="1" w:styleId="af1">
    <w:name w:val="Заголовок ИС"/>
    <w:basedOn w:val="1"/>
    <w:rsid w:val="009527DF"/>
    <w:pPr>
      <w:spacing w:before="0" w:after="0" w:line="360" w:lineRule="auto"/>
      <w:jc w:val="center"/>
    </w:pPr>
    <w:rPr>
      <w:rFonts w:ascii="Times New Roman" w:hAnsi="Times New Roman"/>
      <w:sz w:val="28"/>
    </w:rPr>
  </w:style>
  <w:style w:type="paragraph" w:customStyle="1" w:styleId="ConsTitle">
    <w:name w:val="ConsTitle"/>
    <w:rsid w:val="00C15F62"/>
    <w:pPr>
      <w:widowControl w:val="0"/>
      <w:autoSpaceDE w:val="0"/>
      <w:autoSpaceDN w:val="0"/>
      <w:adjustRightInd w:val="0"/>
      <w:ind w:right="19772"/>
    </w:pPr>
    <w:rPr>
      <w:rFonts w:ascii="Arial" w:hAnsi="Arial" w:cs="Arial"/>
      <w:b/>
      <w:bCs/>
      <w:sz w:val="16"/>
      <w:szCs w:val="16"/>
    </w:rPr>
  </w:style>
  <w:style w:type="paragraph" w:styleId="af2">
    <w:name w:val="Balloon Text"/>
    <w:basedOn w:val="a"/>
    <w:link w:val="af3"/>
    <w:uiPriority w:val="99"/>
    <w:semiHidden/>
    <w:rsid w:val="00D9489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footer"/>
    <w:basedOn w:val="a"/>
    <w:link w:val="af5"/>
    <w:uiPriority w:val="99"/>
    <w:semiHidden/>
    <w:unhideWhenUsed/>
    <w:rsid w:val="00B12222"/>
    <w:pPr>
      <w:tabs>
        <w:tab w:val="center" w:pos="4677"/>
        <w:tab w:val="right" w:pos="9355"/>
      </w:tabs>
    </w:pPr>
  </w:style>
  <w:style w:type="character" w:customStyle="1" w:styleId="af5">
    <w:name w:val="Нижний колонтитул Знак"/>
    <w:link w:val="af4"/>
    <w:uiPriority w:val="99"/>
    <w:semiHidden/>
    <w:locked/>
    <w:rsid w:val="00B122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Неведров</dc:creator>
  <cp:keywords/>
  <dc:description/>
  <cp:lastModifiedBy>admin</cp:lastModifiedBy>
  <cp:revision>2</cp:revision>
  <cp:lastPrinted>2005-11-01T07:30:00Z</cp:lastPrinted>
  <dcterms:created xsi:type="dcterms:W3CDTF">2014-03-13T03:59:00Z</dcterms:created>
  <dcterms:modified xsi:type="dcterms:W3CDTF">2014-03-13T03:59:00Z</dcterms:modified>
</cp:coreProperties>
</file>