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418D">
        <w:rPr>
          <w:b/>
          <w:sz w:val="28"/>
          <w:szCs w:val="28"/>
        </w:rPr>
        <w:t>Содержание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Введение</w:t>
      </w:r>
    </w:p>
    <w:p w:rsidR="00244A2B" w:rsidRPr="007E418D" w:rsidRDefault="00244A2B" w:rsidP="007E418D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Понятие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процедура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</w:p>
    <w:p w:rsidR="00244A2B" w:rsidRPr="007E418D" w:rsidRDefault="00244A2B" w:rsidP="007E418D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Основные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покупки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</w:p>
    <w:p w:rsidR="00244A2B" w:rsidRPr="007E418D" w:rsidRDefault="00244A2B" w:rsidP="007E418D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Особенности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экономически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Российской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Федерации</w:t>
      </w:r>
    </w:p>
    <w:p w:rsidR="00244A2B" w:rsidRPr="007E418D" w:rsidRDefault="00244A2B" w:rsidP="007E418D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Заключение</w:t>
      </w:r>
    </w:p>
    <w:p w:rsidR="00244A2B" w:rsidRPr="007E418D" w:rsidRDefault="00244A2B" w:rsidP="007E418D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Задача</w:t>
      </w:r>
    </w:p>
    <w:p w:rsidR="00244A2B" w:rsidRPr="007E418D" w:rsidRDefault="00244A2B" w:rsidP="007E418D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Список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литературы</w:t>
      </w:r>
    </w:p>
    <w:p w:rsidR="00673491" w:rsidRDefault="00673491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418D">
        <w:rPr>
          <w:sz w:val="28"/>
          <w:szCs w:val="28"/>
        </w:rPr>
        <w:br w:type="page"/>
      </w:r>
      <w:r w:rsidRPr="007E418D">
        <w:rPr>
          <w:b/>
          <w:sz w:val="28"/>
          <w:szCs w:val="28"/>
        </w:rPr>
        <w:t>Введение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настоящее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время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ведущих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западных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существуют,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действуют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развиваются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(первичный),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вторичный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(фондовая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биржа)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уличный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представляют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весьма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необходимый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важный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элемент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хозяйства,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особенно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кредитно-финансовой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надстройки.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Основой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служит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совокупные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масштабы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темпы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Изучению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будет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посвящена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данная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контрольная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работа.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мобилизация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временно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свободных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инвестирование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экономику.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обеспечивает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расширение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накоплений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масштабе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национальной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происходит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распределение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свободных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её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отраслям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сферам.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Критерием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распределения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условиях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рыночной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служит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т.е.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свободные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направляются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предприятия,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отрасли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сферы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хозяйства,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обеспечивающие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максимизацию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выступает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создания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эффективной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точки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зрения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рыночных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критериев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структуры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национальной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поддерживает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пропорциональность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хозяйства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сложившемся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данный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момент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уровне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прибыли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отдельным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предприятиям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отраслям,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будучи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фактическим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регулятором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движения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долгосрочного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ссудного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значительной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степени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накопления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стане,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темпы,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масштабы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эффективность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национальной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Поэтому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изучение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особенностей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механизмов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функционирования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приобретает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настоящее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время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особую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актуальность.</w:t>
      </w:r>
    </w:p>
    <w:p w:rsidR="007E418D" w:rsidRDefault="007E418D" w:rsidP="007E418D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4A2B" w:rsidRPr="007E418D" w:rsidRDefault="007E418D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44A2B" w:rsidRPr="007E418D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процедура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эмиссии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ценных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бумаг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отношения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участниками,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результате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обращение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начинают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движение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характерно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всех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исключения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представляет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самостоятельный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способами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преимущественно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корпоративные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отличие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фондовой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биржи,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имеет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постоянного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места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времени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совершения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операций.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назначение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заключается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мобилизации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ресурсов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финансирования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Особенность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пропускает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через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себя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затем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уходят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фондовую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биржу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последующей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покупке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перекупке.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Участниками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выступают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[4,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80]: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1.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(продавцы)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Эмитенты,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нуждающиеся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ресурсах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оборотный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определяют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предложение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корпоративный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сектор,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качестве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могут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выступать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федеральное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правительство,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муниципалитеты.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2.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Посредники.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относятся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коммерческие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банкирские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дома,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фирмы,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агентства,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представительства,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занимающиеся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куплей-продажей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корпоративных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другие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финансово-кредитные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учреждения;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3.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(покупатели)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Инвесторы,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ищущие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выгодную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сферу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применения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формируют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спрос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качестве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могут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выступать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кредитно-финансовые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учреждения,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индивидуальные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институциональные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другие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субъекты.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Рассмотрим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процедуру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т.е.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первоначального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Понятие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правильно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использовать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Процедура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первичном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рынке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включает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себя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следующие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этапы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[2,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п.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2.1]:</w:t>
      </w:r>
    </w:p>
    <w:p w:rsidR="00244A2B" w:rsidRPr="007E418D" w:rsidRDefault="00244A2B" w:rsidP="007E418D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Принятие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Решение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принимается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учредителями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учреждении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акционерного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общества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общим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собранием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акционеров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дополнительного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Решение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принимается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советом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директоров.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Данное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решение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стандартным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документом,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должна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отражении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следующая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информация:</w:t>
      </w:r>
    </w:p>
    <w:p w:rsidR="00244A2B" w:rsidRPr="007E418D" w:rsidRDefault="00244A2B" w:rsidP="007E418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вид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категория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выпускаемых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форма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номинальная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количество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выпускаемых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условия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порядок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(способ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порядок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оплаты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бумаг);</w:t>
      </w:r>
    </w:p>
    <w:p w:rsidR="00244A2B" w:rsidRPr="007E418D" w:rsidRDefault="00244A2B" w:rsidP="007E418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условия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погашения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выплаты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облигациям.</w:t>
      </w:r>
    </w:p>
    <w:p w:rsidR="00244A2B" w:rsidRPr="007E418D" w:rsidRDefault="00244A2B" w:rsidP="007E418D">
      <w:pPr>
        <w:widowControl w:val="0"/>
        <w:shd w:val="clear" w:color="auto" w:fill="FFFFFF"/>
        <w:tabs>
          <w:tab w:val="left" w:pos="425"/>
          <w:tab w:val="left" w:pos="993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Особо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выделяется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ситуация,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когда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впервые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планирует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выпустить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процедура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называется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открытым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</w:t>
      </w:r>
      <w:r w:rsidRPr="007E418D">
        <w:rPr>
          <w:sz w:val="28"/>
          <w:szCs w:val="28"/>
          <w:lang w:val="en-US"/>
        </w:rPr>
        <w:t>initial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public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offering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I</w:t>
      </w:r>
      <w:r w:rsidRPr="007E418D">
        <w:rPr>
          <w:sz w:val="28"/>
          <w:szCs w:val="28"/>
        </w:rPr>
        <w:t>РО)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представляет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наиболее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сложную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задачу</w:t>
      </w:r>
    </w:p>
    <w:p w:rsidR="00244A2B" w:rsidRPr="007E418D" w:rsidRDefault="00244A2B" w:rsidP="007E418D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Утверждение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Решение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утверждается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основании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соответствии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размещении.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Решение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утверждается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управления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который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имеет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полномочия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согласно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действующему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уставу,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подписывается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лицом,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занимающим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должность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единоличного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исполнительного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указанием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даты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подписания,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заверяется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печатью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эмитента.</w:t>
      </w:r>
    </w:p>
    <w:p w:rsidR="00244A2B" w:rsidRPr="007E418D" w:rsidRDefault="00244A2B" w:rsidP="007E418D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Государственная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Государственная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осуществляется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федеральным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исполнительной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власти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рынку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регистрирующим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органом,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определенным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федеральным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законом.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Для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заявление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государственную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анкета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копия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подтверждающего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государственную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копия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уполномоченного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которым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принято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копия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уполномоченного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которым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утверждено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копия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учредительных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платежное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поручение,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которым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подтверждается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факт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уплаты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пошлины,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взимаемой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соответствии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РФ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налогах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сборах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рассмотрение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заявления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государственную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эмиссионных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документы.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Дополнительно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представляется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копия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бухгалтерской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отчетности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последний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завершенный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финансовый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год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последний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квартал,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предшествующие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дате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представления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для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течение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30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дней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либо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дает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согласие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либо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отказывает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регистрации.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случае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принятия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обязан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течение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3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дней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даты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принятия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выдать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эмитенту: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уведомление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экземпляра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отметкой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регистрационным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номером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экземпляра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проспекта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отметкой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регистрационным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номером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(в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случае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проспекта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бумаг).</w:t>
      </w:r>
    </w:p>
    <w:p w:rsidR="00244A2B" w:rsidRPr="007E418D" w:rsidRDefault="00244A2B" w:rsidP="007E418D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включает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себя: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совершение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сделок,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направленных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отчуждение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первым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владельцам;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выдачу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сертификатов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документарных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облигаций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первым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владельцам.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внесение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приходных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записей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лицевым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счетам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счетам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депо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первых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владельцев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(в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случае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именных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бумаг),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либо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счетам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депо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первых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владельцев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депозитарии,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осуществляющем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централизованное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хранение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документарных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облигаций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обязательным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хранением;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осуществляется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течение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срока,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указанного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зарегистрированном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который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может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превышать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одного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года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момента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осуществляется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порядке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условиях,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установленных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Государственная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Эмитент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представляет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позднее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30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дней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после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окончания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срока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указанного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зарегистрированном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Отчет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хозяйственного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общества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утверждается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единоличным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исполнительным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хозяйственного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общества.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Отчет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юридического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формы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утверждается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единоличным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исполнительным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юридического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лица.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Отчет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подписывается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лицом,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занимающим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должность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единоличного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исполнительного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также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главным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бухгалтером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лицом,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осуществляющим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функции,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указанием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даты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подписания,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заверяется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печатью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Отчет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итогах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должен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включать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себя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следующую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информацию: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вид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категория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форма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(бездокументарные,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документарные);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способ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фактический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(даты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фактического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начала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окончания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бумаг);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номинальная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каждой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бумаги;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количество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цена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общий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объем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поступлений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бумаги: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Текст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представляется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также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электронном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носителе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формате,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соответствующем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требованиям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федерального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исполнительной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власти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рынку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Регистрирующий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обязан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осуществить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государственную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принять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мотивированное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отказе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течение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14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дней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даты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получения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магнитных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носителей.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случае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принятия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обязан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течение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3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дней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момента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принятия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выдать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эмитенту: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уведомление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регистрирующего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экземпляра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отметкой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случае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отказа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такой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признается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несостоявшимся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аннулируется.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случаях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путем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открытой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подписки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закрытой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подписки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среди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круга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число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которых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превышает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500,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процедура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дополнительно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включает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ещё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этапа: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государственную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проспекта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раскрытие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информации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каждом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этапе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процедуры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эмиссии.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Государственная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проспекта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Проспект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–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документ,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составленный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установленной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форме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содержащий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сведения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эмитенте,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финансовом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состоянии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предстоящем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Проспект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содержит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10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основных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разделов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[1,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ст.22]:</w:t>
      </w:r>
    </w:p>
    <w:p w:rsidR="00244A2B" w:rsidRPr="007E418D" w:rsidRDefault="00244A2B" w:rsidP="007E418D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Краткие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сведения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лицах,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входящих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состав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управления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сведения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банковских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счетах,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аудиторе,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оценщике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финансовом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консультанте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также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лицах,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подписавших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проспект;</w:t>
      </w:r>
    </w:p>
    <w:p w:rsidR="00244A2B" w:rsidRPr="007E418D" w:rsidRDefault="00244A2B" w:rsidP="007E418D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Краткие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сведения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объеме,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сроках,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порядке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условиях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каждому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виду,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категории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размещаемых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эмиссионных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бумаг;</w:t>
      </w:r>
    </w:p>
    <w:p w:rsidR="00244A2B" w:rsidRPr="007E418D" w:rsidRDefault="00244A2B" w:rsidP="007E418D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Основная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информация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финансово-экономическом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состоянии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факторах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риска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деятельности,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направления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использования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средств,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полученных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результате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размещения;</w:t>
      </w:r>
    </w:p>
    <w:p w:rsidR="00244A2B" w:rsidRPr="007E418D" w:rsidRDefault="00244A2B" w:rsidP="007E418D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Подробная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информация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эмитенте;</w:t>
      </w:r>
    </w:p>
    <w:p w:rsidR="00244A2B" w:rsidRPr="007E418D" w:rsidRDefault="00244A2B" w:rsidP="007E418D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Сведения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деятельности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эмитента;</w:t>
      </w:r>
    </w:p>
    <w:p w:rsidR="00244A2B" w:rsidRPr="007E418D" w:rsidRDefault="00244A2B" w:rsidP="007E418D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Подробные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сведения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лицах,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входящих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состав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органов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управления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краткие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сведения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сотрудниках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эмитента;</w:t>
      </w:r>
    </w:p>
    <w:p w:rsidR="00244A2B" w:rsidRPr="007E418D" w:rsidRDefault="00244A2B" w:rsidP="007E41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Сведения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общем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количестве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акционеров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совершенных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сделках;</w:t>
      </w:r>
    </w:p>
    <w:p w:rsidR="00244A2B" w:rsidRPr="007E418D" w:rsidRDefault="00244A2B" w:rsidP="007E41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Бухгалтерская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отчетность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финансовая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информация;</w:t>
      </w:r>
    </w:p>
    <w:p w:rsidR="00244A2B" w:rsidRPr="007E418D" w:rsidRDefault="00244A2B" w:rsidP="007E41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Подробные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сведения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порядке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условиях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бумаг;</w:t>
      </w:r>
    </w:p>
    <w:p w:rsidR="00244A2B" w:rsidRPr="007E418D" w:rsidRDefault="00244A2B" w:rsidP="007E418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Дополнительные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сведения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бумагах.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Раскрытие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информации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каждом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этапе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процедуры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эмиссии.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регистрации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проспекта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обязан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обеспечить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доступ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информации,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содержащейся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проспекте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любым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заинтересованным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лицам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независимо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целей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информации.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открытой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сокращенный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проспект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печатается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тиражируется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объеме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экземпляров,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закрытой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экземпляров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[1,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ст.23].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7E418D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44A2B" w:rsidRPr="007E418D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продажи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покупки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ценных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бумаг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первичном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рынке</w:t>
      </w:r>
    </w:p>
    <w:p w:rsidR="007E418D" w:rsidRDefault="007E418D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-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отчуждение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владельцам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путем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заключения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гражданско-правовых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сделок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[1,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ст.2].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течение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указанного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зарегистрированном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решении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может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превышать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года</w:t>
      </w:r>
      <w:r w:rsidR="007E418D">
        <w:rPr>
          <w:sz w:val="28"/>
          <w:szCs w:val="28"/>
        </w:rPr>
        <w:t xml:space="preserve"> от </w:t>
      </w:r>
      <w:r w:rsidRPr="007E418D">
        <w:rPr>
          <w:sz w:val="28"/>
          <w:szCs w:val="28"/>
        </w:rPr>
        <w:t>даты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государственной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регистрации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Существует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несколько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способов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распределение,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конвертация,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обмен,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приобретение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[4,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80].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Распределение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(только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заранее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известного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круга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лиц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заключения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купли-продажи.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возможно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двух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случаях:</w:t>
      </w:r>
    </w:p>
    <w:p w:rsidR="00244A2B" w:rsidRPr="007E418D" w:rsidRDefault="00244A2B" w:rsidP="007E418D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увеличении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уставного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счет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нераспределенной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прибыли;</w:t>
      </w:r>
    </w:p>
    <w:p w:rsidR="00244A2B" w:rsidRPr="007E418D" w:rsidRDefault="00244A2B" w:rsidP="007E418D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учреждении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акционерного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общества.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Подписка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–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(акций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облигаций)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путем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заключения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договора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купли-продажи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возмездной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основе.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осуществляется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двух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формах:</w:t>
      </w:r>
    </w:p>
    <w:p w:rsidR="00244A2B" w:rsidRPr="007E418D" w:rsidRDefault="00244A2B" w:rsidP="007E418D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закрытая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–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среди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заранее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ограниченного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круга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участников;</w:t>
      </w:r>
    </w:p>
    <w:p w:rsidR="00244A2B" w:rsidRPr="007E418D" w:rsidRDefault="00244A2B" w:rsidP="007E418D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открытая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подписка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–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среди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потенциально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неограниченного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круга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инвесторов.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Конвертация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–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одного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вида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другой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вид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заранее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установленных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условиях.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Конвертация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может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быть: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облигаций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новые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облигации;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облигаций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привилегированные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обыкновенные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акции;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привилегированные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новые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привилегированные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обыкновенные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акции;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-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обыкновенные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только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обыкновенные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реорганизации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акционерного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общества.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Обмен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–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акционерного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общества,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созданного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результате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преобразования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него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общества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ограниченной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кооператива.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Обмен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возможен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только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для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акций,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без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заключения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договора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Приобретение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–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акций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вновь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создаваемого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акционерного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общества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результате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его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выделения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из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другого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акционерного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общества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приватизации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имеет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андеррайтинг,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публичный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прямой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(частный)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конкурентные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технология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[5,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73].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Андеррайтинг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среднесрочный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Наибольшее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распространение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получил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Англии,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Канаде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(где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осуществляющие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деятельность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бумаг).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нашел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применение.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Существует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вида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андеррайтинга.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Согласно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первому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заключает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консультирует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вопросам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оставляет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самому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распределять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течение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определенного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затем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истечении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приобретает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вторичном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имеет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выгоден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стороны,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может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разместить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пакет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курсовой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другой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стороны,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уверен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эмитированного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пакета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привлечении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соответствующей,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необходимой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суммы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выгодно,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имеет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последующую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курсовую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маржу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разницу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приобретением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правило,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вид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андеррайтинга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используется,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когда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востребованы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особых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проблем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реализацией.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Согласно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второму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виду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берет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себя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обязательство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выкупить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предоставить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равноценный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(равный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выпущенных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бумаг).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данном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сразу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необходимую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сумму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направляет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производство,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приводит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перерыву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производственном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цикле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соответственно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увеличивает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оборачиваемость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Однако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если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занимается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втором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получив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направляет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деньги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производство,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продолжает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заниматься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реализует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курсовой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учредительскую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прибыль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(разницу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курсовой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стоимостью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номиналом)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выплачивает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проценты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кредиту.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обязательство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консультированию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помощи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берет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себя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вид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подписывают,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правило,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уверенные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быстрой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предпочитающие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сразу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деньги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возместить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расходы,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связанные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эмиссией,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счет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возрастания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прибыли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предприятия.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соответствии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условиями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третьего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берет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себя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обязательство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выкупу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обязуется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помогать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чтобы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кратчайшие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проводит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активную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рекламную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кампанию,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более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ответственно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подходит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условиям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договор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заключается,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если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жесткой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необходимости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привлечении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сжатые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сроки,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номинальную,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необходимую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сумму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учредительскую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прибыль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минусом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вознаграждения.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Публичный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помогает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ставя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всех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известность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предстоящем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занимается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организаторской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работой.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поэтому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курсовая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разница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достается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виде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учредительской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прибыли.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Публичное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процесс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целью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привлечение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внешнего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намеченных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планов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бывает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когда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когда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происходит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появление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превращение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закрытого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акционерного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общества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открытое.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вторичным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когда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последующие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второстепенное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вторичное,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процессе,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происходит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закрытии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очередь,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публичное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свободной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тендера,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частное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предполагает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свободную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Частный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(прямой)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непосредственное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ограниченного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круга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заранее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известны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предварительной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свободных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используется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помощник,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выбирает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оповещает.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помогает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организовать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эмиссию,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может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представить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кандидатуры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инвесторов.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широко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используется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Канаде,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Японии,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Европе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используется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реже.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Конкурентные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торги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Способ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виде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публичного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проводимого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заранее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установленном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месте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заранее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обозначенное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время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предварительного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ознакомления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(предоставляется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информация,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проспекте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данной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эмиссии).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лотами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инвестору,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предложит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высокую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цену.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процессе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лицо,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проводящее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объявляет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потенциальным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покупателям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начальной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стартовой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(номинале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бумаги).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Затем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предлагают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готовы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купить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данную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бумагу.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продолжается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пор,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будет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названа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максимальная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повышающим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носит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название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«английский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аукцион».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Помимо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встречается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понижающий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«голландский»,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начинаются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максимальной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ведутся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понижением.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падении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ниже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считается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состоявшимся,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снимается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Различают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количественный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когда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требуется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указать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сумму,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собирается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приобретать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процентный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должны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указать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ставку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процента,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условиях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согласны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инвестировать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несколько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заявок,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устанавливает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минимальный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курс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минимальный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процент.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Однако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окончательно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курс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ходе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состоит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помогает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организовать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провести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Новая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технология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Данный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предполагает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самостоятельную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привлечения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банков.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создают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структуре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фондовый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отдел,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занимается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прибегают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крупные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корпорации,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нуждаются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рекламе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быстро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размещаются.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расходы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содержание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фондового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отдела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значительно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ниже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было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заплачено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банку,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прежде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потому,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объемы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достаточно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значительны,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вознаграждение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представляет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определенный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Данный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метод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используется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только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США.</w:t>
      </w:r>
    </w:p>
    <w:p w:rsidR="007E418D" w:rsidRDefault="007E41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A2B" w:rsidRP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44A2B" w:rsidRPr="007E418D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первичного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рынка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ценных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бумаг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экономически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развитых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странах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мира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Российской</w:t>
      </w:r>
      <w:r>
        <w:rPr>
          <w:b/>
          <w:sz w:val="28"/>
          <w:szCs w:val="28"/>
        </w:rPr>
        <w:t xml:space="preserve"> </w:t>
      </w:r>
      <w:r w:rsidR="00244A2B" w:rsidRPr="007E418D">
        <w:rPr>
          <w:b/>
          <w:sz w:val="28"/>
          <w:szCs w:val="28"/>
        </w:rPr>
        <w:t>Федерации</w:t>
      </w:r>
    </w:p>
    <w:p w:rsidR="007E418D" w:rsidRPr="00F479C8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Степень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различна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зависит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целом,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кредитно-финансовой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системы,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сложившейся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традиции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накопления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Наиболее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Японии,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Канаде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Западной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Европе,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поскольку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наиболее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активно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мобилизация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через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часть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источников,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привлеченных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обновление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внедрение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технологий,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корпоративном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секторе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приходится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банковские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[7,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213].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Основная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связана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торговлей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облигациями.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Однако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случаях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посредничество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берут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себя,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правило,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банкирские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дома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специализированные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брокерские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дилерские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фирмы.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Объем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оборота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уступают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аналогичным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показателям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биржи,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сохраняя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тенденции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росту.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конце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1970-х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составляли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около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45%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оборота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Нью-Йоркской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фондовой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биржи,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начале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1980-х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74%.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1980–90-х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начале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происходило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наращивание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всех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видов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тенденция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отражала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длительный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циклический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подъем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стремление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американского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заменить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производственный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аппарат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условиях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острой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конкуренции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мировом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стороны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Японии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Западной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Европы.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существу,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распадается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частных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корпоративных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70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90%)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30%).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Около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80–90%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финансирования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счет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Важная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особенность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специфический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механизм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покупки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продажи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здесь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играют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крупные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(как,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например,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Канаде),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коммерческие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(особенно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ФРГ),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банкирские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дома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крупные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брокерские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фирмы.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Наиболее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распространено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займа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выступают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коммерческие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Западной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Европе)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реализуют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частных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размере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установленного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процента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займа,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также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комиссионные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консультирование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если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было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оговорено.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Особенность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через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посредников,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выполняют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Взаимоотношения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компанией-эмитентом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строятся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соглашения,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обязательным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условием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«оговорка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выходе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рынка»,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позволяет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аннулировать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соглашение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крайне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неблагоприятного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событий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зависящим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сторон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причинам).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Среди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покупателей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преобладают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институциональные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страховые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пенсионные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фонды,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коммерческие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банки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[3,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86].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Основными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причинами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настоящее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время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финансирование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поглощения,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необходимость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снижения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заемного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совокупном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корпораций.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Поглощения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обмена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поглощаемых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поглощающих.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Поглощающие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активно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выходят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производя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некоторых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соотношение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между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собственным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заемным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устанавливается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законом.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Однако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независимо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прописанного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законе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каждой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складывается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четкое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представление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предельных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размерах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заемных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Переход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грань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сопряжен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значительным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риском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её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акционеров.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ситуации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регулирует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структуру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путем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замещая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долговые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обязательства.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Таким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образом,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современном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этапе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очень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незначительна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всегда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связана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мобилизацией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свободных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ресурсов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финансирования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уменьшается,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регулятора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снижается.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находится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этапе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становления.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Появление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связано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выпуском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обращение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1992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государственного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приватизационного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чека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(ваучера).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середине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последнего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десятилетия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ХХ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века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оборот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внебиржевого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состоял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преимущественно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размещаемых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преимущественно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путем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открытой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или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закрытой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посредством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фондовых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магазинов,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отделений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связи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других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каналов.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настоящее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время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корпоративных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непосредственно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помощью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посредника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-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профессионального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участника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способ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наиболее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широко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распространен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нашей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объясняется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стороны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стремлением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сэкономить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счет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отказа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услуг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посредников,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другой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стороны,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число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брокерских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дилерских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фирм,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умеющих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профессионально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организовать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недостаточно,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средства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незначительны.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Российское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законодательство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предусматривает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возможность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посредством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синдиката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(консорциума).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зависимости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принятых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себя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функций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члены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синдиката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делятся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фирму-менеджера,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андеррайтера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агентов.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Однако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такая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практика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российском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слабо.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Помимо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нашей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достаточно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хорошо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организовано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биржевое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частности,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государственных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аукционах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посредничестве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Московской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межбанковской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валютной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биржи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[3,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341].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Российской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федерации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активно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развивается,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растет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значение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важнейших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сфер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макроэкономики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страны.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Государство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совместно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другими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профессиональными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участниками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активно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формирует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инфраструктуру.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18D" w:rsidRDefault="007E41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418D">
        <w:rPr>
          <w:b/>
          <w:sz w:val="28"/>
          <w:szCs w:val="28"/>
        </w:rPr>
        <w:t>Заключение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итогам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проведенных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исследований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можно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сделать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следующие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выводы.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котором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впервые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выпущенных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участниками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нуждающиеся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финансовых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ресурсах,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ищущие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выгодную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сферу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применения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своего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капитала.</w:t>
      </w:r>
    </w:p>
    <w:p w:rsidR="00244A2B" w:rsidRPr="007E418D" w:rsidRDefault="00244A2B" w:rsidP="007E418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8D">
        <w:rPr>
          <w:rFonts w:ascii="Times New Roman" w:hAnsi="Times New Roman" w:cs="Times New Roman"/>
          <w:sz w:val="28"/>
          <w:szCs w:val="28"/>
        </w:rPr>
        <w:t>В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соответствии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с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российским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первичное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или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эмиссия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включает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ряд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обязательных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этапов: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принятие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размещении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утверждение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решения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государственную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размещение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бумаг,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государственную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регистрацию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отчета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об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итогах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выпуска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ценных</w:t>
      </w:r>
      <w:r w:rsidR="007E418D">
        <w:rPr>
          <w:rFonts w:ascii="Times New Roman" w:hAnsi="Times New Roman" w:cs="Times New Roman"/>
          <w:sz w:val="28"/>
          <w:szCs w:val="28"/>
        </w:rPr>
        <w:t xml:space="preserve"> </w:t>
      </w:r>
      <w:r w:rsidRPr="007E418D">
        <w:rPr>
          <w:rFonts w:ascii="Times New Roman" w:hAnsi="Times New Roman" w:cs="Times New Roman"/>
          <w:sz w:val="28"/>
          <w:szCs w:val="28"/>
        </w:rPr>
        <w:t>бумаг.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Основными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способами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распределение,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подписка,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конвертация,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обмен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приобретение.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осуществляется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эмитентом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самостоятельно,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публичное,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частное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новая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технология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либо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помощи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посредников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инвестиционных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институтов,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этом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случае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основными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формами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размещения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являются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андеррайтинг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система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конкурентных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торгов.</w:t>
      </w:r>
    </w:p>
    <w:p w:rsidR="00244A2B" w:rsidRPr="007E418D" w:rsidRDefault="00244A2B" w:rsidP="007E418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Степень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развитости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различна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зависит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целом,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кредитно-финансовой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системы,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сложившейся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традиции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накопления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денежного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капитала.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Наиболее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развитых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странах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США,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Японии,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Канаде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Западной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Европе.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России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первичный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молодой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активно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развивающийся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элемент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кредитно-финансовой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системы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страны.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418D">
        <w:rPr>
          <w:b/>
          <w:sz w:val="28"/>
          <w:szCs w:val="28"/>
        </w:rPr>
        <w:t>Задача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Юридическое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лицо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является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владельцем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двух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пакетов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«Грядущее»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каждая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ставке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купона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7,5%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125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«Российская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мозаика»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каждая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ставке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купона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12%.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Полученный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держатель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инвестировал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покупку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«Поводок»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номиналом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1400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каждая.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Определить,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какое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количество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Решение.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Величина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годовой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доходности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определяется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формуле: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vertAlign w:val="subscript"/>
        </w:rPr>
        <w:t>год</w:t>
      </w:r>
      <w:r w:rsidR="007E418D">
        <w:rPr>
          <w:sz w:val="28"/>
          <w:szCs w:val="28"/>
          <w:vertAlign w:val="subscript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I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vertAlign w:val="subscript"/>
          <w:lang w:val="en-US"/>
        </w:rPr>
        <w:t>c</w:t>
      </w:r>
      <w:r w:rsidR="007E418D">
        <w:rPr>
          <w:sz w:val="28"/>
          <w:szCs w:val="28"/>
          <w:vertAlign w:val="subscript"/>
        </w:rPr>
        <w:t xml:space="preserve"> </w:t>
      </w:r>
      <w:r w:rsidRPr="007E418D">
        <w:rPr>
          <w:sz w:val="28"/>
          <w:szCs w:val="28"/>
        </w:rPr>
        <w:t>Ч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P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vertAlign w:val="subscript"/>
        </w:rPr>
        <w:t>ном</w:t>
      </w:r>
      <w:r w:rsidR="007E418D">
        <w:rPr>
          <w:sz w:val="28"/>
          <w:szCs w:val="28"/>
          <w:vertAlign w:val="subscript"/>
        </w:rPr>
        <w:t xml:space="preserve"> </w:t>
      </w:r>
      <w:r w:rsidRPr="007E418D">
        <w:rPr>
          <w:sz w:val="28"/>
          <w:szCs w:val="28"/>
        </w:rPr>
        <w:t>/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100,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где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I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vertAlign w:val="subscript"/>
          <w:lang w:val="en-US"/>
        </w:rPr>
        <w:t>c</w:t>
      </w:r>
      <w:r w:rsidR="007E418D">
        <w:rPr>
          <w:sz w:val="28"/>
          <w:szCs w:val="28"/>
          <w:vertAlign w:val="subscript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годовая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купонная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ставка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%,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vertAlign w:val="subscript"/>
        </w:rPr>
        <w:t>ном</w:t>
      </w:r>
      <w:r w:rsidR="007E418D">
        <w:rPr>
          <w:sz w:val="28"/>
          <w:szCs w:val="28"/>
          <w:vertAlign w:val="subscript"/>
        </w:rPr>
        <w:t xml:space="preserve"> </w:t>
      </w:r>
      <w:r w:rsidRPr="007E418D">
        <w:rPr>
          <w:sz w:val="28"/>
          <w:szCs w:val="28"/>
        </w:rPr>
        <w:t>-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номинальная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стоимость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облигации.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vertAlign w:val="subscript"/>
        </w:rPr>
        <w:t>год</w:t>
      </w:r>
      <w:r w:rsidR="007E418D">
        <w:rPr>
          <w:sz w:val="28"/>
          <w:szCs w:val="28"/>
          <w:vertAlign w:val="subscript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7,5%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Ч10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/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750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«Грядущее»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750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112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500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«Грядущее».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2)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vertAlign w:val="subscript"/>
        </w:rPr>
        <w:t>год</w:t>
      </w:r>
      <w:r w:rsidR="007E418D">
        <w:rPr>
          <w:sz w:val="28"/>
          <w:szCs w:val="28"/>
          <w:vertAlign w:val="subscript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12%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/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6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«Российская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мозаика»</w:t>
      </w:r>
    </w:p>
    <w:p w:rsid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6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Ч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125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750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-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125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облигаций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«Российская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мозаика».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3)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Общий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доход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112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500+750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862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500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руб.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4)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Количество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«Паводок»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862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500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/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400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=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616.</w:t>
      </w:r>
    </w:p>
    <w:p w:rsidR="000A6116" w:rsidRDefault="000A6116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Ответ: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Инвестор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приобрел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616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акций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компании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«Паводок»</w:t>
      </w:r>
    </w:p>
    <w:p w:rsidR="00244A2B" w:rsidRPr="007E418D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418D" w:rsidRDefault="007E41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4A2B" w:rsidRDefault="00244A2B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418D">
        <w:rPr>
          <w:b/>
          <w:sz w:val="28"/>
          <w:szCs w:val="28"/>
        </w:rPr>
        <w:t>Список</w:t>
      </w:r>
      <w:r w:rsidR="007E418D">
        <w:rPr>
          <w:b/>
          <w:sz w:val="28"/>
          <w:szCs w:val="28"/>
        </w:rPr>
        <w:t xml:space="preserve"> </w:t>
      </w:r>
      <w:r w:rsidRPr="007E418D">
        <w:rPr>
          <w:b/>
          <w:sz w:val="28"/>
          <w:szCs w:val="28"/>
        </w:rPr>
        <w:t>литературы</w:t>
      </w:r>
    </w:p>
    <w:p w:rsidR="007E418D" w:rsidRPr="007E418D" w:rsidRDefault="007E418D" w:rsidP="007E418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Федеральный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закон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N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39-ФЗ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22марта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1996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года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(ред.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04.10.2010)</w:t>
      </w: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Приказ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Федеральной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службы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финансовым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рынкам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«Об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утверждении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стандартов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эмиссии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регистрации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проспектов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бумаг»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  <w:lang w:val="en-US"/>
        </w:rPr>
        <w:t>N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07-4/пз-н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25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января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2007года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(ред.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от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20.07.2010)</w:t>
      </w: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Учебник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для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студентов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вузов,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обучающихся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экономическим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специальностям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/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ред.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Е.Ф.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Жукова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3-е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изд.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М.: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ЮНИТИ-ДАНА,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2009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567с.</w:t>
      </w: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Ивасенко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А.Г.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Инструменты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механизмы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функционирования: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Учебное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пособие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/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А.Г.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Ивасенко,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Л.И.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Никонова,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В.А.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Павленко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4-е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изд.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М.:КНОРУС,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2010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272с.</w:t>
      </w: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Стародубцева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Е.Б.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Учебник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М.: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ИД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«ФОРУМ»: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ИНФРА-М,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2008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176с.</w:t>
      </w: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Жуков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Е.Ф.,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Нишатов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Н.П.,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Торопцев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В.С.,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Григорович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Д.Б.,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Галкина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Л.А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Комплексный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учебник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М.: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Вузовский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учебник,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2009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254с.</w:t>
      </w: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18D">
        <w:rPr>
          <w:sz w:val="28"/>
          <w:szCs w:val="28"/>
        </w:rPr>
        <w:t>Лялин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В.А.,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Воробьев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П.В.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Рынок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ценных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бумаг: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Учебник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М.: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Проспект,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2009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–</w:t>
      </w:r>
      <w:r w:rsidR="007E418D">
        <w:rPr>
          <w:sz w:val="28"/>
          <w:szCs w:val="28"/>
        </w:rPr>
        <w:t xml:space="preserve"> </w:t>
      </w:r>
      <w:r w:rsidRPr="007E418D">
        <w:rPr>
          <w:sz w:val="28"/>
          <w:szCs w:val="28"/>
        </w:rPr>
        <w:t>384с.</w:t>
      </w:r>
    </w:p>
    <w:p w:rsidR="00244A2B" w:rsidRPr="007E418D" w:rsidRDefault="00244A2B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9C8">
        <w:rPr>
          <w:sz w:val="28"/>
          <w:szCs w:val="28"/>
        </w:rPr>
        <w:t>www.consultant.ru</w:t>
      </w:r>
    </w:p>
    <w:p w:rsidR="00244A2B" w:rsidRPr="00673491" w:rsidRDefault="00673491" w:rsidP="007E418D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9C8">
        <w:rPr>
          <w:sz w:val="28"/>
          <w:szCs w:val="28"/>
        </w:rPr>
        <w:t>www.rcb.ru</w:t>
      </w:r>
    </w:p>
    <w:p w:rsidR="00673491" w:rsidRPr="00F479C8" w:rsidRDefault="00673491" w:rsidP="0067349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73491" w:rsidRPr="00F479C8" w:rsidSect="007E418D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3E" w:rsidRDefault="0075203E" w:rsidP="007E418D">
      <w:r>
        <w:separator/>
      </w:r>
    </w:p>
  </w:endnote>
  <w:endnote w:type="continuationSeparator" w:id="0">
    <w:p w:rsidR="0075203E" w:rsidRDefault="0075203E" w:rsidP="007E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3E" w:rsidRDefault="0075203E" w:rsidP="007E418D">
      <w:r>
        <w:separator/>
      </w:r>
    </w:p>
  </w:footnote>
  <w:footnote w:type="continuationSeparator" w:id="0">
    <w:p w:rsidR="0075203E" w:rsidRDefault="0075203E" w:rsidP="007E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8D" w:rsidRPr="00B84DF3" w:rsidRDefault="007E418D" w:rsidP="007E418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D3F"/>
    <w:multiLevelType w:val="hybridMultilevel"/>
    <w:tmpl w:val="94B805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786F9F"/>
    <w:multiLevelType w:val="hybridMultilevel"/>
    <w:tmpl w:val="DBE8E89E"/>
    <w:lvl w:ilvl="0" w:tplc="9FB2E83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6F27C55"/>
    <w:multiLevelType w:val="hybridMultilevel"/>
    <w:tmpl w:val="9A58B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3C51C0"/>
    <w:multiLevelType w:val="hybridMultilevel"/>
    <w:tmpl w:val="4C54A64A"/>
    <w:lvl w:ilvl="0" w:tplc="F20C4A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5F74002"/>
    <w:multiLevelType w:val="hybridMultilevel"/>
    <w:tmpl w:val="0442C6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1ECFC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5A6D0A"/>
    <w:multiLevelType w:val="hybridMultilevel"/>
    <w:tmpl w:val="CEA047C0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6">
    <w:nsid w:val="3F9C07E6"/>
    <w:multiLevelType w:val="hybridMultilevel"/>
    <w:tmpl w:val="5F584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6FC568D"/>
    <w:multiLevelType w:val="hybridMultilevel"/>
    <w:tmpl w:val="48C0509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6704427D"/>
    <w:multiLevelType w:val="hybridMultilevel"/>
    <w:tmpl w:val="D5383B8A"/>
    <w:lvl w:ilvl="0" w:tplc="8BD026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A2B"/>
    <w:rsid w:val="00020345"/>
    <w:rsid w:val="000631A2"/>
    <w:rsid w:val="00077D15"/>
    <w:rsid w:val="00086AA6"/>
    <w:rsid w:val="000A14DB"/>
    <w:rsid w:val="000A6116"/>
    <w:rsid w:val="000B3504"/>
    <w:rsid w:val="00145B71"/>
    <w:rsid w:val="001C5D13"/>
    <w:rsid w:val="001D19C4"/>
    <w:rsid w:val="002114B0"/>
    <w:rsid w:val="00216E03"/>
    <w:rsid w:val="00241812"/>
    <w:rsid w:val="00244A2B"/>
    <w:rsid w:val="002620C4"/>
    <w:rsid w:val="00282A18"/>
    <w:rsid w:val="002A389C"/>
    <w:rsid w:val="002A4EFF"/>
    <w:rsid w:val="002B4233"/>
    <w:rsid w:val="002E1E10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73491"/>
    <w:rsid w:val="006824EB"/>
    <w:rsid w:val="00687B4B"/>
    <w:rsid w:val="006A1853"/>
    <w:rsid w:val="006D0DC8"/>
    <w:rsid w:val="00700C24"/>
    <w:rsid w:val="007065BA"/>
    <w:rsid w:val="0070794C"/>
    <w:rsid w:val="00734DA3"/>
    <w:rsid w:val="0075203E"/>
    <w:rsid w:val="00761456"/>
    <w:rsid w:val="0077462C"/>
    <w:rsid w:val="007820E2"/>
    <w:rsid w:val="0078593E"/>
    <w:rsid w:val="007878E7"/>
    <w:rsid w:val="007D5862"/>
    <w:rsid w:val="007E418D"/>
    <w:rsid w:val="007E5FB1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B411C"/>
    <w:rsid w:val="00AC32D3"/>
    <w:rsid w:val="00AD206E"/>
    <w:rsid w:val="00AF0278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4DF3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79C8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F33B09-B54F-4D32-8A5E-6FD88349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2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footnote reference"/>
    <w:uiPriority w:val="99"/>
    <w:semiHidden/>
    <w:rsid w:val="00244A2B"/>
    <w:rPr>
      <w:rFonts w:cs="Times New Roman"/>
      <w:vertAlign w:val="superscript"/>
    </w:rPr>
  </w:style>
  <w:style w:type="character" w:styleId="a4">
    <w:name w:val="Hyperlink"/>
    <w:uiPriority w:val="99"/>
    <w:rsid w:val="00244A2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E418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E4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E418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7E4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E418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2014-03-22T23:16:00Z</dcterms:created>
  <dcterms:modified xsi:type="dcterms:W3CDTF">2014-03-22T23:16:00Z</dcterms:modified>
</cp:coreProperties>
</file>