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Внешнеэкономическая деятельность Узбекистана</w:t>
      </w:r>
    </w:p>
    <w:p w:rsidR="007D449A" w:rsidRPr="007D449A" w:rsidRDefault="007D449A" w:rsidP="007D449A">
      <w:pPr>
        <w:pStyle w:val="a5"/>
        <w:suppressAutoHyphens/>
        <w:spacing w:line="360" w:lineRule="auto"/>
        <w:ind w:firstLine="709"/>
      </w:pP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Узбекистан как суверенное государство активно ведет работу по формированию открытой экономики. Основой построения экономики открытого типа является широкое участие страны в мирохозяйственных связях, международном разделении труда. Последовательно осуществляя меры по углублению экономических реформ, формированию социально ориентированной рыночной экономики, Узбекистан исходит из того неоспоримого факта, что рыночная экономика — это свободная экономика, она носит открытый характер, ей чужды изолированность и замкнутость. В связи с этим будущее нашей экономики видится в интеграции ее с мировым хозяйством.</w:t>
      </w:r>
    </w:p>
    <w:p w:rsidR="00D85154" w:rsidRPr="007D449A" w:rsidRDefault="00D85154" w:rsidP="007D449A">
      <w:pPr>
        <w:pStyle w:val="a3"/>
        <w:suppressAutoHyphens/>
        <w:spacing w:line="360" w:lineRule="auto"/>
        <w:ind w:firstLine="709"/>
      </w:pPr>
      <w:r w:rsidRPr="007D449A">
        <w:t>Не случайно одним из важных шагов правового обеспечения подлинного суверенитета республики стало конституционное закрепление Узбекистана как самостоятельного субъекта международных отношений, определяющего внешнюю политику в своих интересах, имеющего право вступать в международные организации, системы коллективной безопасности, межгосударственные образования.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Республика Узбекистан активно включилась в многосторонние международные механизмы экономического сотрудничества, вступила и начала проводить активную политику в авторитетных международных финансовых и экономических, организациях, таких как Организация Объединенных Наций и ее институты, Всемирный банк, Международный валютный фонд, Международная финансовая корпорация, Организация содействия экономическому развитию, Международная организация труда, Всемирная организация здравоохранения, и в других ведущих финансово-экономических организациях.</w:t>
      </w:r>
    </w:p>
    <w:p w:rsidR="007D449A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Многие международные организации — ООН, МВФ, Всемирный банк, Европейский банк реконструкции и развития, Комиссия Европейского Союза и другие открыли в республике свои региональные представительства и активно сотрудничают с узбекскими партнерами.</w:t>
      </w:r>
    </w:p>
    <w:p w:rsidR="00D85154" w:rsidRPr="007D449A" w:rsidRDefault="00D85154" w:rsidP="007D449A">
      <w:pPr>
        <w:pStyle w:val="2"/>
        <w:suppressAutoHyphens/>
        <w:spacing w:line="360" w:lineRule="auto"/>
        <w:ind w:firstLine="709"/>
      </w:pPr>
      <w:r w:rsidRPr="007D449A">
        <w:t>Осуществляется ряд проектов, разработанных при участии Международного валютного фонда, Мирового банка, Международной финансовой корпорации и способствующих, в частности, развитию в республике малого и среднего бизнеса и финансового обеспечения проектов в приоритетных направлениях экономики.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Узбекистан вместе с государствами Центральной Азии стал членом организации экономического сотрудничества, созданной Турцией, Ираном и Пакистаном. В рамках этой организации республика принимает активное участие в разработке и реализации проектов по совместному строительству межгосударственных транспортных коммуникаций, обеспечивающих для Узбекистана выход к морским портам, к транснациональным транспортным сетям, мировым рынкам товаров и капитала.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Следует отметить, что сотрудничество Узбекистана с международными организациями строилось и будет строиться исходя из цели, сочетающей как долгосрочные, так и текущие приоритеты.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Во-первых, это стратегическая интеграционная задача—непосредственное включение в международные валютно-финансовые и торговые механизмы на основе создания равноправных и отвечающих национальным интересам условий для взаимодействия всех хозяйствующих субъектов Узбекистана с внешним миром.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Во-вторых, это прямое содействие решению текущих проблем республики, поддержка проводимых реформ путем получения финансовой, технической и консультативной помощи со стороны ряда указанных институтов на основе имеющегося международного опыта.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На начальном этапе осуществления реформ пришлось практически с нуля формировать современный внешнеэкономический комплекс республики, создать по существу новый механизм регулирования внешнеэкономической деятельности. За три года независимости реформа внешнеэкономических связей в Узбекистане заметно продвинулась, прежде всего, в организационно-правовых аспектах.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Практически вновь созданы все необходимые республиканские институциональные структуры. Как уже отмечалось, образованы Министерство внешних экономических связей, Национальный банк внешнеэкономической деятельности, таможенная служба. Соответствующие внешнеэкономические подразделения созданы и действуют в Кабинете Министров, министерствах и ведомствах, корпорациях, концернах, ассоциациях и местных органах управления. С участием зарубежных партнеров создается республиканский центр международной торговли. В ряде стран мира нами открыты торговые дома. На двусторонней основе образованы торгово-промышленные палаты между Узбекистаном и США, Великобританией, Германией и другими странами, заинтересованными активно сотрудничать с республикой.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С начала осуществления реформы изменился состав и структура участников внешнеэкономических связей. Право выхода на внешний рынок получили более двух тысяч хозяйствующих субъектов республики, в числе которых ассоциации, концерны, малые и частные предприятия.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Помимо внешней торговли, заметно активизировались другие формы внешнеэкономического сотрудничества, увеличивается число созданных и функционирующих на территории республики предприятий с иностранными инвестициями.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 xml:space="preserve">За первые годы независимости были приняты основные законодательные акты, изданы указы Президента и правительственные решения, заложившие правовые основы расширения внешних связей, либерализации всей внешнеэкономической деятельности, стимулирующие развитие экспортного потенциала республики. Это прежде всего законы </w:t>
      </w:r>
      <w:r w:rsidR="007D449A" w:rsidRPr="007D449A">
        <w:rPr>
          <w:sz w:val="28"/>
        </w:rPr>
        <w:t>"</w:t>
      </w:r>
      <w:r w:rsidRPr="007D449A">
        <w:rPr>
          <w:sz w:val="28"/>
        </w:rPr>
        <w:t>О внешнеэкономической деятельности</w:t>
      </w:r>
      <w:r w:rsidR="007D449A" w:rsidRPr="007D449A">
        <w:rPr>
          <w:sz w:val="28"/>
        </w:rPr>
        <w:t>"</w:t>
      </w:r>
      <w:r w:rsidRPr="007D449A">
        <w:rPr>
          <w:sz w:val="28"/>
        </w:rPr>
        <w:t xml:space="preserve">, </w:t>
      </w:r>
      <w:r w:rsidR="007D449A" w:rsidRPr="007D449A">
        <w:rPr>
          <w:sz w:val="28"/>
        </w:rPr>
        <w:t>"</w:t>
      </w:r>
      <w:r w:rsidRPr="007D449A">
        <w:rPr>
          <w:sz w:val="28"/>
        </w:rPr>
        <w:t>Об иностранных инвестициях и гарантиях деятельности иностранных инвесторов</w:t>
      </w:r>
      <w:r w:rsidR="007D449A" w:rsidRPr="007D449A">
        <w:rPr>
          <w:sz w:val="28"/>
        </w:rPr>
        <w:t>"</w:t>
      </w:r>
      <w:r w:rsidRPr="007D449A">
        <w:rPr>
          <w:sz w:val="28"/>
        </w:rPr>
        <w:t xml:space="preserve"> и другие законодательные и нормативные акты, которые позволили сформировать основные рамочные условия для осуществления внешнеэкономических связей, заключения и исполнения международных договоров в области внешнеэкономической деятельности, обеспечить защиту экономических интересов республики, юридических лиц и граждан Узбекистана за его пределами, установить правовые гарантии для деятельности иностранных инвесторов на территории республики.</w:t>
      </w:r>
    </w:p>
    <w:p w:rsidR="00D85154" w:rsidRPr="007D449A" w:rsidRDefault="00D85154" w:rsidP="007D449A">
      <w:pPr>
        <w:suppressAutoHyphens/>
        <w:spacing w:line="360" w:lineRule="auto"/>
        <w:ind w:firstLine="709"/>
        <w:jc w:val="both"/>
        <w:rPr>
          <w:sz w:val="28"/>
        </w:rPr>
      </w:pPr>
      <w:r w:rsidRPr="007D449A">
        <w:rPr>
          <w:sz w:val="28"/>
        </w:rPr>
        <w:t>Существенно был упрощен порядок создания совместных с иностранным капиталом предприятий, регистрации участников внешнеэкономической деятельности и лицензирования экспортируемой продукции. Все это позитивно повлияло на активизацию внешнеэкономической деятельности и на улучшение структуры экспорта и импорта.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Внешняя торговля осуществлялась на первом этапе реформ в двух направлениях: со странами СНГ на основании заключенных межправительственных соглашений и с зарубежными странами расчетами в свободно конвертируемой валюте. Кроме того, поощрялось установление прямых внешнеэкономических кооперационных связей.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Мы уделяем первостепенное внимание укреплению и развитию многосторонних связей и тесного сотрудничества с государствами Центральной Азии. Действительно, братские народы Центральной Азии накрепко сроднились общей историей, едиными культурными традициями, схожими укладом жизни и менталитетом и многим другим. И проблемы сегодняшнего дня — политические, экономические, культурные, экологические - у центральноазиатских государств во многом совпадают. Экономика этих республик</w:t>
      </w:r>
      <w:r w:rsidR="007D449A" w:rsidRPr="007D449A">
        <w:t xml:space="preserve"> </w:t>
      </w:r>
      <w:r w:rsidRPr="007D449A">
        <w:t>сильно взаимоинтегрирована и имеет взаимное влияние.</w:t>
      </w:r>
    </w:p>
    <w:p w:rsidR="00D85154" w:rsidRPr="007D449A" w:rsidRDefault="00D85154" w:rsidP="007D449A">
      <w:pPr>
        <w:pStyle w:val="a3"/>
        <w:suppressAutoHyphens/>
        <w:spacing w:line="360" w:lineRule="auto"/>
        <w:ind w:firstLine="709"/>
      </w:pPr>
      <w:r w:rsidRPr="007D449A">
        <w:t>Одним из приоритетных направлений нашей внешней политики является развитие прямых и многосторонних отношений со странами, образующими Содружество Независимых Государств.</w:t>
      </w:r>
    </w:p>
    <w:p w:rsidR="00D85154" w:rsidRPr="007D449A" w:rsidRDefault="00D85154" w:rsidP="007D449A">
      <w:pPr>
        <w:pStyle w:val="a3"/>
        <w:suppressAutoHyphens/>
        <w:spacing w:line="360" w:lineRule="auto"/>
        <w:ind w:firstLine="709"/>
      </w:pPr>
      <w:r w:rsidRPr="007D449A">
        <w:t>С участием иностранных партнеров в республике начата реализация проектов по созданию новых совместных производств, таких как "Уз-ДЭУавто" и "УзДЭУэлектроникс" (Республика Корея), АО "Узиталмотор" (Италия), "УзБАТ" (Великобритания), Хорезмское АПО (с фирмой "Мерседес-Бенц", Германия), текстильные предприятия и др. С участием немецких и южно - корейских фирм начата модернизация телефонных сетей республики.</w:t>
      </w:r>
    </w:p>
    <w:p w:rsidR="00D85154" w:rsidRPr="007D449A" w:rsidRDefault="00D85154" w:rsidP="007D449A">
      <w:pPr>
        <w:pStyle w:val="a3"/>
        <w:suppressAutoHyphens/>
        <w:spacing w:line="360" w:lineRule="auto"/>
        <w:ind w:firstLine="709"/>
      </w:pPr>
      <w:r w:rsidRPr="007D449A">
        <w:t>Узбекистан стремится занять свое достойное место в мировом сообществе. Узбекистан открыт миру и стремимся к тому, чтобы мир был открыт для него.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rPr>
          <w:bCs/>
        </w:rPr>
        <w:t>Промышленность</w:t>
      </w:r>
    </w:p>
    <w:p w:rsidR="00D85154" w:rsidRPr="00F52AF7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За последний год в Узбекистане рост производства промышленной продукции составил 12,7%. При этом рост промышленного производства в физическом объеме составил 5,0%. Рассматривая структуру роста промышленности можно отметить, что в 2008 году практически все отрасли промышленности (топливная, черная металлургия, строительные материалы, пищевая и другие) показали тенденцию роста. Лишь электроэнергетика и цветная металлургия снизили обороты производства. Промышленность страны находится в данное время в иных условиях, мировое потребление падает, цены на ресурсы упали в разы, в многих странах заметен экономический спад, машиностроительные предприятия стран Европы и России приостанавливают производство, инвестиционная активность сократилась, приостановлены проекты некоторых неместных компании по открытию производственных предприятий. Учитывая все это, аналитики </w:t>
      </w:r>
      <w:r w:rsidR="007D449A" w:rsidRPr="007D449A">
        <w:t>"</w:t>
      </w:r>
      <w:r w:rsidRPr="007D449A">
        <w:t>Essential Advisory Group</w:t>
      </w:r>
      <w:r w:rsidR="007D449A" w:rsidRPr="007D449A">
        <w:t>"</w:t>
      </w:r>
      <w:r w:rsidRPr="007D449A">
        <w:t xml:space="preserve"> прогнозируют замедление роста промышленности до уровня 6-8% в 2009 году.</w:t>
      </w:r>
    </w:p>
    <w:p w:rsidR="007D449A" w:rsidRPr="00F52AF7" w:rsidRDefault="007D449A" w:rsidP="007D449A">
      <w:pPr>
        <w:pStyle w:val="a5"/>
        <w:suppressAutoHyphens/>
        <w:spacing w:line="360" w:lineRule="auto"/>
        <w:ind w:firstLine="709"/>
      </w:pP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>Производство промышленной продукции (в % к 2007 году)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443"/>
        <w:gridCol w:w="1026"/>
        <w:gridCol w:w="2344"/>
      </w:tblGrid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bookmarkStart w:id="0" w:name="_Hlk207786966"/>
            <w:bookmarkEnd w:id="0"/>
            <w:r w:rsidRPr="006E2D3B">
              <w:rPr>
                <w:sz w:val="20"/>
              </w:rPr>
              <w:t>Наименование отраслей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трлн. сум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 xml:space="preserve">Изменение, в % к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6E2D3B">
                <w:rPr>
                  <w:sz w:val="20"/>
                </w:rPr>
                <w:t>2007 г</w:t>
              </w:r>
            </w:smartTag>
            <w:r w:rsidRPr="006E2D3B">
              <w:rPr>
                <w:sz w:val="20"/>
              </w:rPr>
              <w:t>.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Всего, в том числе,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23,67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+12,7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Электроэнергетика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2,03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-0,4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Топливная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4,76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+23,9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черная металлургия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0,69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+5,7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цветная металлургия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2,97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-5,1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химическая и нефтехимическая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1,18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+8,2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машиностроение и металлообработка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3,82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+23,5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лесная и деревообрабатывающая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0,18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+19,8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строительные материалы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1,17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+9,8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Легкая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3,05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+6,6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Пищевая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2,50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+28,2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Потребительские товары, в том числе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7,43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+17,7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Продовольственные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3,02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+19,3</w:t>
            </w:r>
          </w:p>
        </w:tc>
      </w:tr>
      <w:tr w:rsidR="00D85154" w:rsidRPr="006E2D3B" w:rsidTr="006E2D3B">
        <w:trPr>
          <w:jc w:val="center"/>
        </w:trPr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Непродовольственные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4,41</w:t>
            </w:r>
          </w:p>
        </w:tc>
        <w:tc>
          <w:tcPr>
            <w:tcW w:w="0" w:type="auto"/>
            <w:shd w:val="clear" w:color="auto" w:fill="auto"/>
          </w:tcPr>
          <w:p w:rsidR="00D85154" w:rsidRPr="006E2D3B" w:rsidRDefault="00D85154" w:rsidP="006E2D3B">
            <w:pPr>
              <w:pStyle w:val="a5"/>
              <w:suppressAutoHyphens/>
              <w:spacing w:line="360" w:lineRule="auto"/>
              <w:ind w:firstLine="0"/>
              <w:jc w:val="left"/>
              <w:rPr>
                <w:sz w:val="20"/>
              </w:rPr>
            </w:pPr>
            <w:r w:rsidRPr="006E2D3B">
              <w:rPr>
                <w:sz w:val="20"/>
              </w:rPr>
              <w:t>+16,6</w:t>
            </w:r>
          </w:p>
        </w:tc>
      </w:tr>
    </w:tbl>
    <w:p w:rsidR="007D449A" w:rsidRPr="007D449A" w:rsidRDefault="007D449A" w:rsidP="007D449A">
      <w:pPr>
        <w:pStyle w:val="a5"/>
        <w:suppressAutoHyphens/>
        <w:spacing w:line="360" w:lineRule="auto"/>
        <w:ind w:firstLine="709"/>
        <w:rPr>
          <w:lang w:val="en-US"/>
        </w:rPr>
      </w:pP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В структуре производства примышленной продукции большую роль играют топливная, химическая, машиностроительная, цветная металлургия и легкая промышленности. Здесь стоит отметить деятельность таких предприятий, как </w:t>
      </w:r>
      <w:r w:rsidR="007D449A" w:rsidRPr="007D449A">
        <w:t>"</w:t>
      </w:r>
      <w:r w:rsidRPr="007D449A">
        <w:t>GM Uzbekistan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Узбекэнерго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Узбекенгилсаноат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Узкимесаноат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АГМК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НГМК</w:t>
      </w:r>
      <w:r w:rsidR="007D449A" w:rsidRPr="007D449A">
        <w:t>"</w:t>
      </w:r>
      <w:r w:rsidRPr="007D449A">
        <w:t>, и другие предприятия, которые в кризисное время ощущают трудности.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Рост промышленности не мог не повлиять на экспорт. В частности, за 2008 год предприятиями ГАК </w:t>
      </w:r>
      <w:r w:rsidR="007D449A" w:rsidRPr="007D449A">
        <w:t>"</w:t>
      </w:r>
      <w:r w:rsidRPr="007D449A">
        <w:t>Узкимесаноат</w:t>
      </w:r>
      <w:r w:rsidR="007D449A" w:rsidRPr="007D449A">
        <w:t>"</w:t>
      </w:r>
      <w:r w:rsidRPr="007D449A">
        <w:t xml:space="preserve"> (Узхимпром) произведено товарной продукции на сумму 869,9 млрд. cум ($618,7 млн.), темп роста производства к аналогичному периоду 2007 года составил 108,5%.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Рост экспорта химической продукций составил 4,8%. Столь высокая разница в росте производства и экспорта объясняется, возможно, такими факторами как обеспечение внутреннего спроса продукцией химпрома и снижение объемов импорта. В частности, если до ввода в эксплуатацию </w:t>
      </w:r>
      <w:r w:rsidR="007D449A" w:rsidRPr="007D449A">
        <w:t>"</w:t>
      </w:r>
      <w:r w:rsidRPr="007D449A">
        <w:t>Кунградского содового завода</w:t>
      </w:r>
      <w:r w:rsidR="007D449A" w:rsidRPr="007D449A">
        <w:t>"</w:t>
      </w:r>
      <w:r w:rsidRPr="007D449A">
        <w:t xml:space="preserve"> кальцинированная сода импортировалась из других стран, то в результате введения в строй данного завода импорт соды прекращен, в 2008 году Узбекистан уже экспортировал соду.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В Узбекистане принята программа модернизации, технического и технологического перевооружения предприятий химической промышленности на период 2007-2011 годы. Программа предусматривает реализацию 30 проектов в общей сложности на сумму $291 млн. Осуществление данных проектов позволит увеличить производство химической продукции к 2011 году в 1,5 раза. По словам начальника управления государственной акционерной компании </w:t>
      </w:r>
      <w:r w:rsidR="007D449A" w:rsidRPr="007D449A">
        <w:t>"</w:t>
      </w:r>
      <w:r w:rsidRPr="007D449A">
        <w:t>Узкимёсаноат</w:t>
      </w:r>
      <w:r w:rsidR="007D449A" w:rsidRPr="007D449A">
        <w:t>"</w:t>
      </w:r>
      <w:r w:rsidRPr="007D449A">
        <w:t xml:space="preserve"> Маъруфа Абралова, реализация намеченных планов позволит полностью удовлетворить потребностей производителей сельхозпродукции в минеральных удобрениях.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В развитии отечественного химпрома участвуют так же и иностранные инвесторы, в частности Испанская MAXAM Corp (которой принадлежит 49% </w:t>
      </w:r>
      <w:r w:rsidR="007D449A" w:rsidRPr="007D449A">
        <w:t>"</w:t>
      </w:r>
      <w:r w:rsidRPr="007D449A">
        <w:t>Максам - Чирчик</w:t>
      </w:r>
      <w:r w:rsidR="007D449A" w:rsidRPr="007D449A">
        <w:t>"</w:t>
      </w:r>
      <w:r w:rsidRPr="007D449A">
        <w:t xml:space="preserve"> - ОАО </w:t>
      </w:r>
      <w:r w:rsidR="007D449A" w:rsidRPr="007D449A">
        <w:t>"</w:t>
      </w:r>
      <w:r w:rsidRPr="007D449A">
        <w:t>Электркимесаноат</w:t>
      </w:r>
      <w:r w:rsidR="007D449A" w:rsidRPr="007D449A">
        <w:t>"</w:t>
      </w:r>
      <w:r w:rsidRPr="007D449A">
        <w:t>) в конце 2008 – в начале 2009 года осуществила модернизацию производства стоимостью около $25 млн. По сообщениям СМИ, после модернизации производства проектные мощности станут использоваться полностью, прежде использовались на 50%.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Также </w:t>
      </w:r>
      <w:r w:rsidR="007D449A" w:rsidRPr="007D449A">
        <w:t>"</w:t>
      </w:r>
      <w:r w:rsidRPr="007D449A">
        <w:t>Кунградский содовый завод</w:t>
      </w:r>
      <w:r w:rsidR="007D449A" w:rsidRPr="007D449A">
        <w:t>"</w:t>
      </w:r>
      <w:r w:rsidRPr="007D449A">
        <w:t xml:space="preserve"> планирует увеличить производство и полностью выйти на проектную мощность (по итогам 2008 года загруженность предприятия составила 71%). Данный завод планирует в 2009 году увеличить объем экспорта продукции в 6 раз (до 36 тыс. тонн). В открытом акционерном обществе </w:t>
      </w:r>
      <w:r w:rsidR="007D449A" w:rsidRPr="007D449A">
        <w:t>"</w:t>
      </w:r>
      <w:r w:rsidRPr="007D449A">
        <w:t>Жиззах пластмасса</w:t>
      </w:r>
      <w:r w:rsidR="007D449A" w:rsidRPr="007D449A">
        <w:t>"</w:t>
      </w:r>
      <w:r w:rsidRPr="007D449A">
        <w:t xml:space="preserve"> налажено производство полиэтиленовых труб диаметром от 315 до </w:t>
      </w:r>
      <w:smartTag w:uri="urn:schemas-microsoft-com:office:smarttags" w:element="metricconverter">
        <w:smartTagPr>
          <w:attr w:name="ProductID" w:val="256,1 км"/>
        </w:smartTagPr>
        <w:r w:rsidRPr="007D449A">
          <w:t>630 миллиметров</w:t>
        </w:r>
      </w:smartTag>
      <w:r w:rsidRPr="007D449A">
        <w:t>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Машиностроительный комплекс Узбекистана представлен такими крупными предприятиями, как </w:t>
      </w:r>
      <w:r w:rsidR="007D449A" w:rsidRPr="007D449A">
        <w:t>"</w:t>
      </w:r>
      <w:r w:rsidRPr="007D449A">
        <w:t>ТАПОиЧ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ТТЗ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GM Uzbekistan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Самаркандский лифтостроительный завод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Алгоритм</w:t>
      </w:r>
      <w:r w:rsidR="007D449A" w:rsidRPr="007D449A">
        <w:t>"</w:t>
      </w:r>
      <w:r w:rsidRPr="007D449A">
        <w:t xml:space="preserve"> и другие. Рост производства автомобилей, освоение производства на </w:t>
      </w:r>
      <w:r w:rsidR="007D449A" w:rsidRPr="007D449A">
        <w:t>"</w:t>
      </w:r>
      <w:r w:rsidRPr="007D449A">
        <w:t>ТТЗ</w:t>
      </w:r>
      <w:r w:rsidR="007D449A" w:rsidRPr="007D449A">
        <w:t>"</w:t>
      </w:r>
      <w:r w:rsidRPr="007D449A">
        <w:t xml:space="preserve"> продукции для </w:t>
      </w:r>
      <w:r w:rsidR="007D449A" w:rsidRPr="007D449A">
        <w:t>"</w:t>
      </w:r>
      <w:r w:rsidRPr="007D449A">
        <w:t>СамАвто</w:t>
      </w:r>
      <w:r w:rsidR="007D449A" w:rsidRPr="007D449A">
        <w:t>"</w:t>
      </w:r>
      <w:r w:rsidRPr="007D449A">
        <w:t xml:space="preserve"> и </w:t>
      </w:r>
      <w:r w:rsidR="007D449A" w:rsidRPr="007D449A">
        <w:t>"</w:t>
      </w:r>
      <w:r w:rsidRPr="007D449A">
        <w:t>GM Uzbekistan</w:t>
      </w:r>
      <w:r w:rsidR="007D449A" w:rsidRPr="007D449A">
        <w:t>"</w:t>
      </w:r>
      <w:r w:rsidRPr="007D449A">
        <w:t xml:space="preserve">, планы </w:t>
      </w:r>
      <w:r w:rsidR="007D449A" w:rsidRPr="007D449A">
        <w:t>"</w:t>
      </w:r>
      <w:r w:rsidRPr="007D449A">
        <w:t>ТТЗ</w:t>
      </w:r>
      <w:r w:rsidR="007D449A" w:rsidRPr="007D449A">
        <w:t>"</w:t>
      </w:r>
      <w:r w:rsidRPr="007D449A">
        <w:t xml:space="preserve"> по росту производства тракторов и удвоения объемов экспорта продукции (до $10 млн. в 2009 году против $5 млн. в 2008 году), рост производства на </w:t>
      </w:r>
      <w:r w:rsidR="007D449A" w:rsidRPr="007D449A">
        <w:t>"</w:t>
      </w:r>
      <w:r w:rsidRPr="007D449A">
        <w:t>ТашВРЗ</w:t>
      </w:r>
      <w:r w:rsidR="007D449A" w:rsidRPr="007D449A">
        <w:t>"</w:t>
      </w:r>
      <w:r w:rsidRPr="007D449A">
        <w:t xml:space="preserve">, планы по росту объемов производства на </w:t>
      </w:r>
      <w:r w:rsidR="007D449A" w:rsidRPr="007D449A">
        <w:t>"</w:t>
      </w:r>
      <w:r w:rsidRPr="007D449A">
        <w:t>Агрегатном заводе</w:t>
      </w:r>
      <w:r w:rsidR="007D449A" w:rsidRPr="007D449A">
        <w:t>"</w:t>
      </w:r>
      <w:r w:rsidRPr="007D449A">
        <w:t xml:space="preserve"> ($6,8 млн. в 2009 году против $4,5 млн.) и другие факторы позволят увеличить долю продукции машиностроительного сектора в общей структуре промышленности Узбекистана.</w:t>
      </w:r>
    </w:p>
    <w:p w:rsidR="00D85154" w:rsidRPr="007D449A" w:rsidRDefault="00D85154" w:rsidP="007D449A">
      <w:pPr>
        <w:pStyle w:val="a5"/>
        <w:suppressAutoHyphens/>
        <w:spacing w:line="360" w:lineRule="auto"/>
        <w:ind w:firstLine="709"/>
      </w:pPr>
      <w:r w:rsidRPr="007D449A">
        <w:t xml:space="preserve">Объем производства промышленной продукции в 2008 году акционерной компании </w:t>
      </w:r>
      <w:r w:rsidR="007D449A" w:rsidRPr="007D449A">
        <w:t>"</w:t>
      </w:r>
      <w:r w:rsidRPr="007D449A">
        <w:t>Узстройматериалы</w:t>
      </w:r>
      <w:r w:rsidR="007D449A" w:rsidRPr="007D449A">
        <w:t>"</w:t>
      </w:r>
      <w:r w:rsidRPr="007D449A">
        <w:t xml:space="preserve"> составил 812,9 миллиарда сум ($580,6 млн.), а темпы роста по сравнению с соответствующим периодом предыдущего года составили 6,5%. По данным АК </w:t>
      </w:r>
      <w:r w:rsidR="007D449A" w:rsidRPr="007D449A">
        <w:t>"</w:t>
      </w:r>
      <w:r w:rsidRPr="007D449A">
        <w:t>Узстройматериалы</w:t>
      </w:r>
      <w:r w:rsidR="007D449A" w:rsidRPr="007D449A">
        <w:t>"</w:t>
      </w:r>
      <w:r w:rsidRPr="007D449A">
        <w:t xml:space="preserve">, по производству отдельных видов стройматериалов данный показатель составил: цемент – +10%, стекла строительного - +7,8%, черепицы керамической - +34,7%, кирпича силикатного - +5,7%. Предприятиями АК </w:t>
      </w:r>
      <w:r w:rsidR="007D449A" w:rsidRPr="007D449A">
        <w:t>"</w:t>
      </w:r>
      <w:r w:rsidRPr="007D449A">
        <w:t>Узстройматериалы</w:t>
      </w:r>
      <w:r w:rsidR="007D449A" w:rsidRPr="007D449A">
        <w:t>"</w:t>
      </w:r>
      <w:r w:rsidRPr="007D449A">
        <w:t xml:space="preserve"> экспортировано продукции почти на $117,2 млн. В течение 2008 года было привлечено $126,6 млн. инвестиций в 24 проекта. В частности освоен новый карьер известняка месторождения Балыклитау. Модернизирован сырьевой участок и внедрены энергосберегающие системы охлаждения воды и отопления цементного производства АО </w:t>
      </w:r>
      <w:r w:rsidR="007D449A" w:rsidRPr="007D449A">
        <w:t>"</w:t>
      </w:r>
      <w:r w:rsidRPr="007D449A">
        <w:t>Бекабадцемент</w:t>
      </w:r>
      <w:r w:rsidR="007D449A" w:rsidRPr="007D449A">
        <w:t>"</w:t>
      </w:r>
      <w:r w:rsidRPr="007D449A">
        <w:t xml:space="preserve">, горное производство месторождения известняков и обеспыливание цементных силосов АО </w:t>
      </w:r>
      <w:r w:rsidR="007D449A" w:rsidRPr="007D449A">
        <w:t>"</w:t>
      </w:r>
      <w:r w:rsidRPr="007D449A">
        <w:t>Ахангаранцемент</w:t>
      </w:r>
      <w:r w:rsidR="007D449A" w:rsidRPr="007D449A">
        <w:t>"</w:t>
      </w:r>
      <w:r w:rsidRPr="007D449A">
        <w:t xml:space="preserve">, узел подготовки гипсового камня СП ОАО </w:t>
      </w:r>
      <w:r w:rsidR="007D449A" w:rsidRPr="007D449A">
        <w:t>"</w:t>
      </w:r>
      <w:r w:rsidRPr="007D449A">
        <w:t>Бухарагипс</w:t>
      </w:r>
      <w:r w:rsidR="007D449A" w:rsidRPr="007D449A">
        <w:t>"</w:t>
      </w:r>
      <w:r w:rsidRPr="007D449A">
        <w:t xml:space="preserve"> и магистральный конвейер горного производства. В строительной сфере также действует программа развития и модернизации строительной промышленности на 2007–2011 годы, в течение данного времени планируется реализация 36 проектов, в результате осуществления данных проектов рост производства цемента к 2011 году по отношению к 2006 году в 1,5 раза (8,326 млн. тонн.), шифера - в 1,3 раза (545 млн. условных плиток), керамической черепицы - в 1,34 раза (106,5 тыс. штук) и т.д.</w:t>
      </w:r>
    </w:p>
    <w:p w:rsidR="00CB1D94" w:rsidRPr="00F52AF7" w:rsidRDefault="00D85154" w:rsidP="00F52AF7">
      <w:pPr>
        <w:pStyle w:val="a5"/>
        <w:suppressAutoHyphens/>
        <w:spacing w:line="360" w:lineRule="auto"/>
        <w:ind w:firstLine="709"/>
        <w:rPr>
          <w:lang w:val="en-US"/>
        </w:rPr>
      </w:pPr>
      <w:r w:rsidRPr="007D449A">
        <w:t xml:space="preserve">Нефтегазовый сектор является одним из быстро развивающихся секторов экономики. За 2008 год объем капитальных вложений составил $1,32 млрд., за 2008 год обеспечен ввод дожимно-компрессорной станции на месторождении Памук, запущены турбодетандерные агрегаты на 4-х технологических нитках УКПГ Памук и 4-х нитках УКПГ Зеварды, УПБС-3 Шуртан (III и IV очереди), обустроено 37 газовых и 20 нефтяных скважин. Введены в эксплуатацию </w:t>
      </w:r>
      <w:smartTag w:uri="urn:schemas-microsoft-com:office:smarttags" w:element="metricconverter">
        <w:smartTagPr>
          <w:attr w:name="ProductID" w:val="256,1 км"/>
        </w:smartTagPr>
        <w:r w:rsidRPr="007D449A">
          <w:t>256,1 км</w:t>
        </w:r>
      </w:smartTag>
      <w:r w:rsidRPr="007D449A">
        <w:t xml:space="preserve"> газопроводов, открыто 23 новых месторождений нефти и газа, экспорт нефтепродуктов и энергоносителей вырос на 60%. На 1 января 2009 года в Узбекистане было открыто 210 месторождений углеводородного сырья. Из открытых месторождений более 50% находятся в разработке, 35% подготовлены к освоению, на остальных продолжаются разведочные работы. В данном секторе заметна активная деятельность иностранных ТНК, среди них </w:t>
      </w:r>
      <w:r w:rsidR="007D449A" w:rsidRPr="007D449A">
        <w:t>"</w:t>
      </w:r>
      <w:r w:rsidRPr="007D449A">
        <w:t>Газпром</w:t>
      </w:r>
      <w:r w:rsidR="007D449A" w:rsidRPr="007D449A">
        <w:t>"</w:t>
      </w:r>
      <w:r w:rsidRPr="007D449A">
        <w:t xml:space="preserve">, </w:t>
      </w:r>
      <w:r w:rsidR="007D449A" w:rsidRPr="007D449A">
        <w:t>"</w:t>
      </w:r>
      <w:r w:rsidRPr="007D449A">
        <w:t>ЛУКОЙЛ</w:t>
      </w:r>
      <w:r w:rsidR="007D449A" w:rsidRPr="007D449A">
        <w:t>"</w:t>
      </w:r>
      <w:r w:rsidRPr="007D449A">
        <w:t>, Китайской Национальной корпорации по разведке и разработке нефти и газа (CNODC) и другие.</w:t>
      </w:r>
      <w:bookmarkStart w:id="1" w:name="_GoBack"/>
      <w:bookmarkEnd w:id="1"/>
    </w:p>
    <w:sectPr w:rsidR="00CB1D94" w:rsidRPr="00F52AF7" w:rsidSect="007D449A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5154"/>
    <w:rsid w:val="00007054"/>
    <w:rsid w:val="000553A4"/>
    <w:rsid w:val="002E3300"/>
    <w:rsid w:val="006E2D3B"/>
    <w:rsid w:val="006F466C"/>
    <w:rsid w:val="007D449A"/>
    <w:rsid w:val="008420F3"/>
    <w:rsid w:val="00A92110"/>
    <w:rsid w:val="00BB5B07"/>
    <w:rsid w:val="00CB1D94"/>
    <w:rsid w:val="00D85154"/>
    <w:rsid w:val="00F52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AA26878-DA60-4492-87C4-36244CC57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51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D85154"/>
    <w:pPr>
      <w:jc w:val="both"/>
    </w:pPr>
    <w:rPr>
      <w:sz w:val="28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</w:rPr>
  </w:style>
  <w:style w:type="paragraph" w:styleId="a5">
    <w:name w:val="Body Text Indent"/>
    <w:basedOn w:val="a"/>
    <w:link w:val="a6"/>
    <w:uiPriority w:val="99"/>
    <w:rsid w:val="00D85154"/>
    <w:pPr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uiPriority w:val="99"/>
    <w:semiHidden/>
    <w:locked/>
    <w:rPr>
      <w:rFonts w:cs="Times New Roman"/>
    </w:rPr>
  </w:style>
  <w:style w:type="paragraph" w:styleId="2">
    <w:name w:val="Body Text Indent 2"/>
    <w:basedOn w:val="a"/>
    <w:link w:val="20"/>
    <w:uiPriority w:val="99"/>
    <w:rsid w:val="00D85154"/>
    <w:pPr>
      <w:spacing w:line="220" w:lineRule="auto"/>
      <w:ind w:firstLine="300"/>
      <w:jc w:val="both"/>
    </w:pPr>
    <w:rPr>
      <w:sz w:val="28"/>
    </w:r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</w:rPr>
  </w:style>
  <w:style w:type="paragraph" w:styleId="a7">
    <w:name w:val="Normal (Web)"/>
    <w:basedOn w:val="a"/>
    <w:uiPriority w:val="99"/>
    <w:rsid w:val="00D85154"/>
    <w:pPr>
      <w:spacing w:before="100" w:beforeAutospacing="1" w:after="100" w:afterAutospacing="1"/>
    </w:pPr>
    <w:rPr>
      <w:sz w:val="24"/>
      <w:szCs w:val="24"/>
    </w:rPr>
  </w:style>
  <w:style w:type="character" w:styleId="a8">
    <w:name w:val="Strong"/>
    <w:uiPriority w:val="22"/>
    <w:qFormat/>
    <w:rsid w:val="00D85154"/>
    <w:rPr>
      <w:rFonts w:cs="Times New Roman"/>
      <w:b/>
      <w:bCs/>
    </w:rPr>
  </w:style>
  <w:style w:type="table" w:styleId="a9">
    <w:name w:val="Table Grid"/>
    <w:basedOn w:val="a1"/>
    <w:uiPriority w:val="59"/>
    <w:rsid w:val="007D449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2192</Words>
  <Characters>12499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Внешнеэкономическая деятельность Узбекистана</vt:lpstr>
    </vt:vector>
  </TitlesOfParts>
  <Company>Home</Company>
  <LinksUpToDate>false</LinksUpToDate>
  <CharactersWithSpaces>14662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Внешнеэкономическая деятельность Узбекистана</dc:title>
  <dc:subject/>
  <dc:creator>Jeka</dc:creator>
  <cp:keywords/>
  <dc:description/>
  <cp:lastModifiedBy>admin</cp:lastModifiedBy>
  <cp:revision>2</cp:revision>
  <dcterms:created xsi:type="dcterms:W3CDTF">2014-03-20T15:35:00Z</dcterms:created>
  <dcterms:modified xsi:type="dcterms:W3CDTF">2014-03-20T15:35:00Z</dcterms:modified>
</cp:coreProperties>
</file>