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9E" w:rsidRDefault="00E34A9E" w:rsidP="00E90D2A"/>
    <w:p w:rsidR="00A64886" w:rsidRPr="00A64886" w:rsidRDefault="00A64886" w:rsidP="00E90D2A">
      <w:r w:rsidRPr="00A64886">
        <w:t>ФЕДЕРАЛЬНОЕ АГЕНТСТВО ПО ОБРАЗОВАНИЮ</w:t>
      </w:r>
    </w:p>
    <w:p w:rsidR="00A64886" w:rsidRPr="00A64886" w:rsidRDefault="00A64886" w:rsidP="00E90D2A">
      <w:r w:rsidRPr="00A64886">
        <w:t>Государственное образовательное учреждение</w:t>
      </w:r>
    </w:p>
    <w:p w:rsidR="00A64886" w:rsidRPr="00A64886" w:rsidRDefault="00A64886" w:rsidP="00E90D2A">
      <w:r w:rsidRPr="00A64886">
        <w:t>высшего профессионального образования</w:t>
      </w:r>
    </w:p>
    <w:p w:rsidR="00A64886" w:rsidRPr="00A64886" w:rsidRDefault="00A64886" w:rsidP="00E90D2A">
      <w:r w:rsidRPr="00A64886">
        <w:t>ВСЕРОССИЙСКИЙ ЗАОЧНЫЙ</w:t>
      </w:r>
    </w:p>
    <w:p w:rsidR="00A64886" w:rsidRPr="00A64886" w:rsidRDefault="00A64886" w:rsidP="00E90D2A">
      <w:r w:rsidRPr="00A64886">
        <w:t>ФИНАНСОВО-ЭКОНОМИЧЕСКИЙ ИНСТИТУТ</w:t>
      </w:r>
    </w:p>
    <w:p w:rsidR="00A64886" w:rsidRPr="00A64886" w:rsidRDefault="00A64886" w:rsidP="00E90D2A">
      <w:r w:rsidRPr="00A64886">
        <w:t>Филиал в г.Уфе</w:t>
      </w:r>
    </w:p>
    <w:p w:rsidR="00A64886" w:rsidRPr="00A64886" w:rsidRDefault="00A64886" w:rsidP="00E90D2A"/>
    <w:p w:rsidR="00A64886" w:rsidRPr="00A64886" w:rsidRDefault="00A64886" w:rsidP="00E90D2A"/>
    <w:p w:rsidR="00A64886" w:rsidRPr="00A64886" w:rsidRDefault="00A64886" w:rsidP="00E90D2A">
      <w:r w:rsidRPr="00A64886">
        <w:t xml:space="preserve"> </w:t>
      </w:r>
    </w:p>
    <w:p w:rsidR="00A64886" w:rsidRPr="00A64886" w:rsidRDefault="00A64886" w:rsidP="00E90D2A">
      <w:r w:rsidRPr="00A64886">
        <w:t>Кафедра бухгалтерского учета и аудита</w:t>
      </w:r>
    </w:p>
    <w:p w:rsidR="00A64886" w:rsidRPr="00A64886" w:rsidRDefault="00A64886" w:rsidP="00E90D2A"/>
    <w:p w:rsidR="00A64886" w:rsidRPr="00A64886" w:rsidRDefault="00E90D2A" w:rsidP="00E90D2A">
      <w:r>
        <w:t>К</w:t>
      </w:r>
      <w:r w:rsidR="00A64886" w:rsidRPr="00A64886">
        <w:t>ОНТРОЛЬНАЯ   РАБОТА</w:t>
      </w:r>
    </w:p>
    <w:p w:rsidR="00A64886" w:rsidRPr="00A64886" w:rsidRDefault="00A64886" w:rsidP="00E90D2A">
      <w:r w:rsidRPr="00A64886">
        <w:t>по дисциплине «Внутрифирменные стандарты аудита»</w:t>
      </w:r>
    </w:p>
    <w:p w:rsidR="00A64886" w:rsidRPr="00A64886" w:rsidRDefault="00A64886" w:rsidP="00E90D2A">
      <w:r w:rsidRPr="00A64886">
        <w:t>Вариант3</w:t>
      </w:r>
    </w:p>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E90D2A" w:rsidRDefault="00E90D2A" w:rsidP="00E90D2A"/>
    <w:p w:rsidR="00224129" w:rsidRDefault="00224129" w:rsidP="00E90D2A"/>
    <w:p w:rsidR="00224129" w:rsidRDefault="00224129" w:rsidP="00E90D2A"/>
    <w:p w:rsidR="00224129" w:rsidRDefault="00224129" w:rsidP="00E90D2A"/>
    <w:p w:rsidR="00224129" w:rsidRDefault="00224129" w:rsidP="00E90D2A"/>
    <w:p w:rsidR="00224129" w:rsidRDefault="00224129" w:rsidP="00E90D2A"/>
    <w:p w:rsidR="00224129" w:rsidRDefault="00224129" w:rsidP="00E90D2A"/>
    <w:p w:rsidR="00224129" w:rsidRDefault="00224129" w:rsidP="00E90D2A"/>
    <w:p w:rsidR="00E90D2A" w:rsidRDefault="00E90D2A" w:rsidP="00E90D2A"/>
    <w:p w:rsidR="00E90D2A" w:rsidRDefault="00E90D2A" w:rsidP="00E90D2A"/>
    <w:p w:rsidR="00E90D2A" w:rsidRDefault="00E90D2A" w:rsidP="00E90D2A"/>
    <w:p w:rsidR="00BF14A1" w:rsidRDefault="00BF14A1" w:rsidP="00E90D2A"/>
    <w:p w:rsidR="00E90D2A" w:rsidRDefault="00760A7A" w:rsidP="00E90D2A">
      <w:r>
        <w:t xml:space="preserve">Уфа  </w:t>
      </w:r>
    </w:p>
    <w:p w:rsidR="00A64886" w:rsidRPr="00A64886" w:rsidRDefault="00A64886" w:rsidP="00E90D2A">
      <w:r w:rsidRPr="00A64886">
        <w:t>Содержание</w:t>
      </w:r>
    </w:p>
    <w:p w:rsidR="00A64886" w:rsidRPr="00A64886" w:rsidRDefault="00A64886" w:rsidP="00E90D2A"/>
    <w:p w:rsidR="00A64886" w:rsidRDefault="00B93E0F" w:rsidP="00B93E0F">
      <w:pPr>
        <w:jc w:val="both"/>
      </w:pPr>
      <w:r>
        <w:t>Введение...................................................................................................................3</w:t>
      </w:r>
    </w:p>
    <w:p w:rsidR="00B93E0F" w:rsidRDefault="00B93E0F" w:rsidP="00B93E0F">
      <w:pPr>
        <w:jc w:val="both"/>
      </w:pPr>
      <w:r>
        <w:t>Внутрифирменный стандарт "Методика аудиторской проверки статьи финансовой (бухгалтерской) отчетности "Задолженность по налогам и сборам (налог на доходы физических лиц)".........................................................9</w:t>
      </w:r>
    </w:p>
    <w:p w:rsidR="00B763DE" w:rsidRDefault="00B763DE" w:rsidP="00B93E0F">
      <w:pPr>
        <w:jc w:val="both"/>
      </w:pPr>
      <w:r>
        <w:t>Список использованной литературы...................................................................20</w:t>
      </w:r>
    </w:p>
    <w:p w:rsidR="00B93E0F" w:rsidRDefault="00B93E0F" w:rsidP="00B93E0F">
      <w:pPr>
        <w:jc w:val="both"/>
      </w:pPr>
      <w:r>
        <w:t>Приложения.............................................................................................</w:t>
      </w:r>
      <w:r w:rsidR="00B763DE">
        <w:t>..............21</w:t>
      </w:r>
    </w:p>
    <w:p w:rsidR="00B93E0F" w:rsidRPr="00A64886" w:rsidRDefault="00B93E0F" w:rsidP="00B93E0F">
      <w:pPr>
        <w:jc w:val="both"/>
      </w:pPr>
    </w:p>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A64886" w:rsidRPr="00A64886" w:rsidRDefault="00A64886" w:rsidP="00E90D2A"/>
    <w:p w:rsidR="00E90D2A" w:rsidRDefault="00E90D2A" w:rsidP="00603151">
      <w:pPr>
        <w:ind w:firstLine="0"/>
        <w:jc w:val="both"/>
      </w:pPr>
    </w:p>
    <w:p w:rsidR="00E90D2A" w:rsidRDefault="00E90D2A" w:rsidP="00E90D2A"/>
    <w:p w:rsidR="00603151" w:rsidRDefault="00603151" w:rsidP="00E90D2A"/>
    <w:p w:rsidR="00603151" w:rsidRDefault="00603151" w:rsidP="00E90D2A"/>
    <w:p w:rsidR="00603151" w:rsidRDefault="00603151" w:rsidP="00E90D2A"/>
    <w:p w:rsidR="00603151" w:rsidRDefault="00603151" w:rsidP="00E90D2A"/>
    <w:p w:rsidR="00603151" w:rsidRDefault="00603151" w:rsidP="00B93E0F">
      <w:pPr>
        <w:ind w:firstLine="0"/>
        <w:jc w:val="both"/>
      </w:pPr>
    </w:p>
    <w:p w:rsidR="00A64886" w:rsidRPr="00603151" w:rsidRDefault="00A64886" w:rsidP="00E90D2A">
      <w:pPr>
        <w:rPr>
          <w:b/>
        </w:rPr>
      </w:pPr>
      <w:r w:rsidRPr="00603151">
        <w:rPr>
          <w:b/>
        </w:rPr>
        <w:t>Введение</w:t>
      </w:r>
    </w:p>
    <w:p w:rsidR="00A64886" w:rsidRPr="00A64886" w:rsidRDefault="00AE11A2" w:rsidP="00E90D2A">
      <w:r w:rsidRPr="00A64886">
        <w:t xml:space="preserve">                                                        </w:t>
      </w:r>
    </w:p>
    <w:p w:rsidR="00342895" w:rsidRDefault="00342895" w:rsidP="00691888">
      <w:pPr>
        <w:ind w:firstLine="708"/>
        <w:jc w:val="both"/>
      </w:pPr>
      <w:r>
        <w:t>В российской аудиторской практике наиболее востребованными аудиторскими услугами являются налоговый аудит и другие сопутствующие услуги по налоговым вопросам. Правило (стандарт) аудиторской деятельности "Характеристика сопутствующих аудиту услуг и требования, предъявляемые к ним", утвержденное Комиссией по аудиторской деятельности при Президенте Российской Федерации 18.03.1999, протокол № 2 (далее – Стандарт), определяет, что аудиторская организация может разрабатывать внутрифирменные стандарты аудиторской деятельности (далее – ВСА) на каждый вид услуг. При их разработке следует исходить из конкретного вида услуг или заданий, частоты и объема их выполнения, а также из профессиональных и материально-технических возможностей аудиторской организации.</w:t>
      </w:r>
    </w:p>
    <w:p w:rsidR="00342895" w:rsidRDefault="00342895" w:rsidP="00691888">
      <w:pPr>
        <w:ind w:firstLine="708"/>
        <w:jc w:val="both"/>
      </w:pPr>
      <w:r>
        <w:t>При оказании сопутствующих услуг и специальных заданий аудиторские организации должны соблюдать основные требования, которые предъявляются к проведению аудита:</w:t>
      </w:r>
    </w:p>
    <w:p w:rsidR="00342895" w:rsidRDefault="00342895" w:rsidP="00E90D2A">
      <w:pPr>
        <w:jc w:val="both"/>
      </w:pPr>
      <w:r>
        <w:t>•     определять уровень существенности, где это возможно;</w:t>
      </w:r>
    </w:p>
    <w:p w:rsidR="00603151" w:rsidRDefault="00342895" w:rsidP="00E90D2A">
      <w:pPr>
        <w:jc w:val="both"/>
      </w:pPr>
      <w:r>
        <w:t>•  оказывать услуги на основе подготовленного задания, в котором в письменном виде сформулированы основные вопросы, требующие решения, необходимые для его выполнения источники информации и перечень рабочих документов аудитора, создаваемых при выполнении услуги, задания (примерная форма задания приведена в Стандарте);</w:t>
      </w:r>
    </w:p>
    <w:p w:rsidR="00342895" w:rsidRDefault="00342895" w:rsidP="00E90D2A">
      <w:pPr>
        <w:jc w:val="both"/>
      </w:pPr>
      <w:r>
        <w:t>•     планировать, документировать процесс оказания услуги, задания и четко разграничивать исполнительские функции и ответственность лиц, выполняющих данные виды работ;</w:t>
      </w:r>
    </w:p>
    <w:p w:rsidR="00342895" w:rsidRDefault="00342895" w:rsidP="00E90D2A">
      <w:pPr>
        <w:jc w:val="both"/>
      </w:pPr>
      <w:r>
        <w:t>•  обеспечивать контроль качества выполненных услуг, привлекать и использовать работу экспертов в соответствии с требованиями аудиторских стандартов;</w:t>
      </w:r>
    </w:p>
    <w:p w:rsidR="00A64886" w:rsidRPr="00A64886" w:rsidRDefault="00342895" w:rsidP="00E90D2A">
      <w:pPr>
        <w:jc w:val="both"/>
      </w:pPr>
      <w:r>
        <w:t>•  предусматривать типовые формы отчетности по наиболее часто выполняемым услугам и применять их на постоянной основе.</w:t>
      </w:r>
    </w:p>
    <w:p w:rsidR="00A64886" w:rsidRPr="00342895" w:rsidRDefault="00342895" w:rsidP="00691888">
      <w:pPr>
        <w:ind w:firstLine="708"/>
        <w:jc w:val="both"/>
        <w:rPr>
          <w:szCs w:val="20"/>
        </w:rPr>
      </w:pPr>
      <w:r w:rsidRPr="00342895">
        <w:t>Согласно Стандарту аудиторские фирмы (аудиторы) имеют право оказывать экономическому субъекту услуги и проводить специальные задания по контролю начисления и уплаты налогов и иных обязательных платежей, а также по составлению налоговых деклараций. Причем первая категория услуг является совместимой с проведением у экономического субъекта обязательной аудиторской проверки, а вторая – несовместимой. Поэтому при проведении налогового аудита и других сопутствующих аудиту услуг по налоговым вопросам аудиторская организация должна четко разделять данные услуги по совместимости и проведение аудита финансовой (бухгалтерской) отчетности.</w:t>
      </w:r>
    </w:p>
    <w:p w:rsidR="00342895" w:rsidRDefault="00342895" w:rsidP="00691888">
      <w:pPr>
        <w:ind w:firstLine="708"/>
        <w:jc w:val="both"/>
      </w:pPr>
      <w:r>
        <w:t>Комиссией по аудиторской деятельности при Президенте Российской Федерации (протоколом от 11.07.2000 № 1) утверждена методика аудиторской деятельности, связанная с налоговыми вопросами экономических субъектов, являющихся клиентами аудиторской организации "Налоговый аудит и другие сопутствующие услуги по налоговым вопросам. Общение с налоговыми органами" (далее – Методика), основные положения, рекомендации и установки которой носят рекомендательный характер для всех аудиторских организаций при проведении налогового аудита и оказании других сопутствующих услуг по налоговым вопросам. Согласно п. 2.1 Методики под налоговым аудитом понимается выполнение аудиторской организацией специального аудиторского задания по рассмотрению бухгалтерских и налоговых отчетов экономического субъекта с целью выражения мнения о степени достоверности и соответствия во всех существенных аспектах нормам, установленным законодательством, порядка формирования, отражения в учете и уплаты экономическим субъектом налогов и других платежей в бюджеты различных уровней и внебюджетные фонды. В Методике приводится примерный перечень аудиторских заданий по выполнению налогового аудита и сопутствующих услуг по налоговым вопросам, которые могут быть поручены аудиторской организации.</w:t>
      </w:r>
    </w:p>
    <w:p w:rsidR="00342895" w:rsidRDefault="00342895" w:rsidP="00603151">
      <w:pPr>
        <w:ind w:firstLine="708"/>
        <w:jc w:val="both"/>
      </w:pPr>
      <w:r>
        <w:t>В соответствии с п. 2.9 Методики налоговый аудит может осуществляться в несколько этапов, которые необходимо учитывать при разработке ВСА.</w:t>
      </w:r>
    </w:p>
    <w:p w:rsidR="00342895" w:rsidRDefault="00342895" w:rsidP="00691888">
      <w:pPr>
        <w:ind w:firstLine="708"/>
        <w:jc w:val="both"/>
      </w:pPr>
      <w:r>
        <w:t>На этапе предварительной оценки системы налогообложения экономического субъекта проводятся:</w:t>
      </w:r>
    </w:p>
    <w:p w:rsidR="00342895" w:rsidRDefault="00691888" w:rsidP="00E90D2A">
      <w:pPr>
        <w:jc w:val="both"/>
      </w:pPr>
      <w:r>
        <w:t xml:space="preserve">•   </w:t>
      </w:r>
      <w:r w:rsidR="00342895">
        <w:t>общий анализ и рассмотрение элементов системы налогообложения экономического субъекта;</w:t>
      </w:r>
    </w:p>
    <w:p w:rsidR="00342895" w:rsidRDefault="00342895" w:rsidP="00E90D2A">
      <w:pPr>
        <w:jc w:val="both"/>
      </w:pPr>
      <w:r>
        <w:t>•      определение основных факторов, влияющих на налоговые показатели;</w:t>
      </w:r>
    </w:p>
    <w:p w:rsidR="00342895" w:rsidRDefault="00342895" w:rsidP="00E90D2A">
      <w:pPr>
        <w:jc w:val="both"/>
      </w:pPr>
      <w:r>
        <w:t>•      проверка методики исчисления налоговых платежей;</w:t>
      </w:r>
    </w:p>
    <w:p w:rsidR="00342895" w:rsidRDefault="00691888" w:rsidP="00E90D2A">
      <w:pPr>
        <w:jc w:val="both"/>
      </w:pPr>
      <w:r>
        <w:t xml:space="preserve">•   </w:t>
      </w:r>
      <w:r w:rsidR="00342895">
        <w:t>оценка документооборота и изучение функций и полномочий служб, ответственных за исчисление и уплату налогов;</w:t>
      </w:r>
    </w:p>
    <w:p w:rsidR="00342895" w:rsidRDefault="00691888" w:rsidP="00E90D2A">
      <w:pPr>
        <w:jc w:val="both"/>
      </w:pPr>
      <w:r>
        <w:t xml:space="preserve">•   </w:t>
      </w:r>
      <w:r w:rsidR="00342895">
        <w:t>предварительный расчет налоговых показателей экономического субъекта.</w:t>
      </w:r>
    </w:p>
    <w:p w:rsidR="00342895" w:rsidRDefault="00342895" w:rsidP="00691888">
      <w:pPr>
        <w:ind w:firstLine="708"/>
        <w:jc w:val="both"/>
      </w:pPr>
      <w:r>
        <w:t>На этапе проверки и подтверждения правильности исчисления и уплаты экономическим субъектом налогов и сборов производятся:</w:t>
      </w:r>
    </w:p>
    <w:p w:rsidR="00342895" w:rsidRDefault="00691888" w:rsidP="00E90D2A">
      <w:pPr>
        <w:jc w:val="both"/>
      </w:pPr>
      <w:r>
        <w:t xml:space="preserve">• </w:t>
      </w:r>
      <w:r w:rsidR="00342895">
        <w:t>проверка налоговой отчетности, представленной экономическим субъектом;</w:t>
      </w:r>
    </w:p>
    <w:p w:rsidR="00342895" w:rsidRDefault="00342895" w:rsidP="00E90D2A">
      <w:pPr>
        <w:jc w:val="both"/>
      </w:pPr>
      <w:r>
        <w:t>•      оценка правомерности использования налоговых льгот.</w:t>
      </w:r>
    </w:p>
    <w:p w:rsidR="00A64886" w:rsidRPr="00A64886" w:rsidRDefault="00342895" w:rsidP="00691888">
      <w:pPr>
        <w:ind w:firstLine="708"/>
        <w:jc w:val="both"/>
      </w:pPr>
      <w:r>
        <w:t>При разработке ВСА необходимо также указать источники информации, которыми могут быть налоговые декларации, налоговые учетные регистры, бухгалтерские расчеты по налогам, первичные документы, регистры синтетического и аналитического учета, финансовая (бухгалтерская) отчетность. Аудиторы, выполняющие данные задания, должны обладать высокой степенью компетентности в вопросах налогового,</w:t>
      </w:r>
    </w:p>
    <w:p w:rsidR="00342895" w:rsidRPr="00342895" w:rsidRDefault="00342895" w:rsidP="00E90D2A">
      <w:pPr>
        <w:jc w:val="both"/>
      </w:pPr>
      <w:r w:rsidRPr="00342895">
        <w:t>правового, бухгалтерского законодательства, поэтому следует привести соответствующую нормативно-правовую базу.</w:t>
      </w:r>
    </w:p>
    <w:p w:rsidR="00342895" w:rsidRPr="00342895" w:rsidRDefault="00342895" w:rsidP="00691888">
      <w:pPr>
        <w:ind w:firstLine="708"/>
        <w:jc w:val="both"/>
      </w:pPr>
      <w:r w:rsidRPr="00342895">
        <w:t>Согласно п. 3.2 Методики общение с налоговыми органами в ходе и по результатам налогового аудита осуществляется:</w:t>
      </w:r>
    </w:p>
    <w:p w:rsidR="00342895" w:rsidRPr="00342895" w:rsidRDefault="00603151" w:rsidP="00E90D2A">
      <w:pPr>
        <w:jc w:val="both"/>
      </w:pPr>
      <w:r>
        <w:t xml:space="preserve">•    </w:t>
      </w:r>
      <w:r w:rsidR="00342895" w:rsidRPr="00342895">
        <w:t>при обращении к налоговым органам с целью получения аудиторских доказательств при выполнении специального аудиторского задания;</w:t>
      </w:r>
    </w:p>
    <w:p w:rsidR="00342895" w:rsidRPr="00342895" w:rsidRDefault="00603151" w:rsidP="00E90D2A">
      <w:pPr>
        <w:jc w:val="both"/>
      </w:pPr>
      <w:r>
        <w:t xml:space="preserve">•     </w:t>
      </w:r>
      <w:r w:rsidR="00342895" w:rsidRPr="00342895">
        <w:t>для получения разъяснений по актам проверок, проведенных налоговыми органами в отношении проверяемого экономического субъекта;</w:t>
      </w:r>
    </w:p>
    <w:p w:rsidR="00342895" w:rsidRPr="00342895" w:rsidRDefault="00603151" w:rsidP="00E90D2A">
      <w:pPr>
        <w:jc w:val="both"/>
      </w:pPr>
      <w:r>
        <w:t xml:space="preserve">•   </w:t>
      </w:r>
      <w:r w:rsidR="00342895" w:rsidRPr="00342895">
        <w:t>при   оказании   консультаций   (юридических,   бухгалтерских,   налоговых   и   др.)   экономическому субъекту в спорах с налоговыми органами;</w:t>
      </w:r>
    </w:p>
    <w:p w:rsidR="00342895" w:rsidRPr="00342895" w:rsidRDefault="00342895" w:rsidP="00E90D2A">
      <w:pPr>
        <w:jc w:val="both"/>
      </w:pPr>
      <w:r w:rsidRPr="00342895">
        <w:t>•      в других необходимых случаях.</w:t>
      </w:r>
    </w:p>
    <w:p w:rsidR="00342895" w:rsidRPr="00342895" w:rsidRDefault="00342895" w:rsidP="00691888">
      <w:pPr>
        <w:ind w:firstLine="708"/>
        <w:jc w:val="both"/>
      </w:pPr>
      <w:r w:rsidRPr="00342895">
        <w:t>Указанный перечень случаев общения с налоговыми органами является открыт</w:t>
      </w:r>
      <w:r w:rsidR="00691888">
        <w:t>ым и может быть расширен во ВСА</w:t>
      </w:r>
      <w:r w:rsidRPr="00342895">
        <w:t xml:space="preserve"> при условии их непротиворечивости действующему законодательству Российской Федерации.</w:t>
      </w:r>
    </w:p>
    <w:p w:rsidR="00603151" w:rsidRDefault="00342895" w:rsidP="00691888">
      <w:pPr>
        <w:ind w:left="30" w:firstLine="678"/>
        <w:jc w:val="both"/>
      </w:pPr>
      <w:r w:rsidRPr="00342895">
        <w:t>Налоговые органы не обязаны давать ответы на обращения и запросы аудиторской организации. В свою очередь, аудиторская организация не обязана знакомить налоговые органы с результатами своей работы, если иное не предусмотрено российским законодательством. Перечень вопросов, с которыми аудиторская организация обращается в налоговые органы, не ограничивается информацией о руководстве экономического субъекта. Запросы в налоговые органы могут быть как в устной, так и в письменной форме. Предоставленные налоговыми органами по запросам аудиторской организации разъяснения должны быть оценены с точки зрения их достаточности, компетентности и правомочности лица, их подписавшего.</w:t>
      </w:r>
    </w:p>
    <w:p w:rsidR="00342895" w:rsidRPr="00342895" w:rsidRDefault="00342895" w:rsidP="00691888">
      <w:pPr>
        <w:ind w:left="30" w:firstLine="678"/>
        <w:jc w:val="both"/>
      </w:pPr>
      <w:r w:rsidRPr="00342895">
        <w:t>Кроме того, они должны дополняться доказательствами из других доступных аудиторской организации источников.</w:t>
      </w:r>
    </w:p>
    <w:p w:rsidR="00342895" w:rsidRPr="00342895" w:rsidRDefault="00342895" w:rsidP="00E90D2A">
      <w:pPr>
        <w:jc w:val="both"/>
      </w:pPr>
      <w:r w:rsidRPr="00342895">
        <w:t>На практике возникают случаи, когда налоговые органы отказываются предоставлять аудиторской организации информацию по запросу. Тогда аудиторская организация должна оценить степень влияния отсутствия таких разъяснений на выводы, которые будут сделаны по результатам налогового аудита. Если степень этого влияния велика, то необходимо сделать оговорку об этом факте в отчете (заключении), предоставляемом экономическому субъекту. Однако, если руководством экономического субъекта отказано в необходимых разъяснениях в ходе проведения налогового аудита, аудиторской организацией это должно рассматриваться как ограничение объема аудита, что впоследствии приведет к подготовке аудиторского заключения, отличного от безусловно положительного.</w:t>
      </w:r>
    </w:p>
    <w:p w:rsidR="00342895" w:rsidRPr="00342895" w:rsidRDefault="00342895" w:rsidP="00603151">
      <w:pPr>
        <w:ind w:firstLine="708"/>
        <w:jc w:val="both"/>
      </w:pPr>
      <w:r w:rsidRPr="00342895">
        <w:t>Нередки ситуации, когда экономический субъект возражает против актов налоговых органов. В таких ситуациях аудиторской организации следует рассмотреть:</w:t>
      </w:r>
    </w:p>
    <w:p w:rsidR="00342895" w:rsidRPr="00342895" w:rsidRDefault="00603151" w:rsidP="00E90D2A">
      <w:pPr>
        <w:jc w:val="both"/>
      </w:pPr>
      <w:r>
        <w:t xml:space="preserve">•     </w:t>
      </w:r>
      <w:r w:rsidR="00342895" w:rsidRPr="00342895">
        <w:t>не   противоречит   ли   акт   налоговой   проверки   и   решение   налоговых   органов   действующему законодательству;</w:t>
      </w:r>
    </w:p>
    <w:p w:rsidR="00342895" w:rsidRPr="00342895" w:rsidRDefault="00603151" w:rsidP="00E90D2A">
      <w:pPr>
        <w:jc w:val="both"/>
      </w:pPr>
      <w:r>
        <w:t xml:space="preserve">•  </w:t>
      </w:r>
      <w:r w:rsidR="00342895" w:rsidRPr="00342895">
        <w:t>соответствуют ли указанные в акте нарушения фактическим обстоятельствам дела;</w:t>
      </w:r>
    </w:p>
    <w:p w:rsidR="00342895" w:rsidRPr="00342895" w:rsidRDefault="00342895" w:rsidP="00E90D2A">
      <w:pPr>
        <w:jc w:val="both"/>
      </w:pPr>
      <w:r w:rsidRPr="00342895">
        <w:t>•      соответствуют ли примененные санкции выявленным нарушениям;</w:t>
      </w:r>
    </w:p>
    <w:p w:rsidR="00342895" w:rsidRPr="00342895" w:rsidRDefault="00603151" w:rsidP="00E90D2A">
      <w:pPr>
        <w:jc w:val="both"/>
      </w:pPr>
      <w:r>
        <w:t xml:space="preserve">•  </w:t>
      </w:r>
      <w:r w:rsidR="00342895" w:rsidRPr="00342895">
        <w:t>существуют ли иные обстоятельства, свидетельствующие в пользу экономического субъекта, которые не были учтены в ходе налоговой проверки.</w:t>
      </w:r>
    </w:p>
    <w:p w:rsidR="00342895" w:rsidRPr="00342895" w:rsidRDefault="00342895" w:rsidP="00603151">
      <w:pPr>
        <w:ind w:firstLine="708"/>
        <w:jc w:val="both"/>
      </w:pPr>
      <w:r w:rsidRPr="00342895">
        <w:t xml:space="preserve">В соответствии с нормами российских правил (стандартов) ответственность сторон (экономического субъекта и аудиторской организации) при проведении налогового аудита разграничивается. Данное положение должно быть отражено и во </w:t>
      </w:r>
      <w:r>
        <w:t>ВСА</w:t>
      </w:r>
      <w:r w:rsidRPr="00342895">
        <w:t>.</w:t>
      </w:r>
    </w:p>
    <w:p w:rsidR="00342895" w:rsidRPr="00342895" w:rsidRDefault="00342895" w:rsidP="00603151">
      <w:pPr>
        <w:ind w:firstLine="708"/>
        <w:jc w:val="both"/>
      </w:pPr>
      <w:r w:rsidRPr="00342895">
        <w:t xml:space="preserve">При подготовке </w:t>
      </w:r>
      <w:r>
        <w:t>ВСА</w:t>
      </w:r>
      <w:r w:rsidRPr="00342895">
        <w:t xml:space="preserve"> по налоговому аудиту следует сформировать рабочие документы аудитора. Поскольку начисление налогов поддается алгоритмизации, представляется целесообразным на каждый вид налога иметь рабочий документ табличной формы, основные показатели которых должны включать учетные записи и показатели (обороты и сальдо по счетам), увеличивающие или уменьшающие налогооблагаемую базу для определения налогооблагаемой базы отдельно по каждому виду налога, а также ставки налогов, арифметические расчеты налогов и др.</w:t>
      </w:r>
    </w:p>
    <w:p w:rsidR="00342895" w:rsidRPr="00342895" w:rsidRDefault="00342895" w:rsidP="00E90D2A">
      <w:pPr>
        <w:jc w:val="both"/>
      </w:pPr>
      <w:r w:rsidRPr="00342895">
        <w:t>В таблице приведена предлагаемая структура элементов ВСА по налоговому аудиту, а также соответствующая нормативная база.</w:t>
      </w:r>
    </w:p>
    <w:p w:rsidR="00342895" w:rsidRPr="00342895" w:rsidRDefault="00342895" w:rsidP="00603151">
      <w:pPr>
        <w:jc w:val="right"/>
      </w:pPr>
      <w:r w:rsidRPr="00342895">
        <w:t>Таблица 1</w:t>
      </w:r>
    </w:p>
    <w:p w:rsidR="00342895" w:rsidRPr="00603151" w:rsidRDefault="00342895" w:rsidP="00603151">
      <w:pPr>
        <w:rPr>
          <w:b/>
        </w:rPr>
      </w:pPr>
      <w:r w:rsidRPr="00603151">
        <w:rPr>
          <w:b/>
        </w:rPr>
        <w:t>Структурные элементы ВСАО по налоговому аудиту</w:t>
      </w:r>
    </w:p>
    <w:tbl>
      <w:tblPr>
        <w:tblW w:w="0" w:type="auto"/>
        <w:tblInd w:w="40" w:type="dxa"/>
        <w:tblLayout w:type="fixed"/>
        <w:tblCellMar>
          <w:left w:w="40" w:type="dxa"/>
          <w:right w:w="40" w:type="dxa"/>
        </w:tblCellMar>
        <w:tblLook w:val="0000" w:firstRow="0" w:lastRow="0" w:firstColumn="0" w:lastColumn="0" w:noHBand="0" w:noVBand="0"/>
      </w:tblPr>
      <w:tblGrid>
        <w:gridCol w:w="1627"/>
        <w:gridCol w:w="3778"/>
        <w:gridCol w:w="3965"/>
      </w:tblGrid>
      <w:tr w:rsidR="00342895" w:rsidRPr="00342895">
        <w:trPr>
          <w:trHeight w:val="278"/>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342895" w:rsidRPr="00342895" w:rsidRDefault="00342895" w:rsidP="00603151">
            <w:r w:rsidRPr="00342895">
              <w:t>Элемент ВСА</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342895" w:rsidRPr="00342895" w:rsidRDefault="00342895" w:rsidP="00E90D2A">
            <w:pPr>
              <w:jc w:val="both"/>
            </w:pPr>
            <w:r w:rsidRPr="00342895">
              <w:t>Содержание положений ВСА</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342895" w:rsidRPr="00342895" w:rsidRDefault="00342895" w:rsidP="00E90D2A">
            <w:pPr>
              <w:jc w:val="both"/>
            </w:pPr>
            <w:r w:rsidRPr="00342895">
              <w:t>Нормативная база</w:t>
            </w:r>
          </w:p>
        </w:tc>
      </w:tr>
      <w:tr w:rsidR="00342895" w:rsidRPr="00342895">
        <w:trPr>
          <w:trHeight w:val="1176"/>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Введение</w:t>
            </w:r>
          </w:p>
          <w:p w:rsidR="00342895" w:rsidRPr="00603151" w:rsidRDefault="00342895" w:rsidP="00E90D2A">
            <w:pPr>
              <w:jc w:val="both"/>
              <w:rPr>
                <w:sz w:val="24"/>
                <w:szCs w:val="24"/>
              </w:rPr>
            </w:pPr>
            <w:r w:rsidRPr="00603151">
              <w:rPr>
                <w:sz w:val="24"/>
                <w:szCs w:val="24"/>
              </w:rPr>
              <w:t>(общая часть)</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Область      применения,      разграничение ответственности,    определение    условий совместимости       (несовместимости)       с аудитом       бухгалтерской       финансовой отчетности</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Федеральный закон от 07.08.2001 № 119-ФЗ "Об аудиторской деятельности" Правило            (стандарт)            аудиторской деятельности                           "Характеристика сопутствующих аудиту услуг и требования, предъявляемые к ним"</w:t>
            </w:r>
          </w:p>
        </w:tc>
      </w:tr>
      <w:tr w:rsidR="00342895" w:rsidRPr="00342895">
        <w:trPr>
          <w:trHeight w:val="984"/>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Цели, принципы и             условия заданий</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Цели проведения, состав пользователей, содержание           задания,           описание источников информации, сроков и объема аудиторских процедур и др.</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Правило                   (стандарт)                   № 2. Документирование         аудита,         правило (стандарт)    № 3.    Планирование    аудита, правило   (стандарт)   № 12.   Согласование условий     проведения     аудита,     правило</w:t>
            </w:r>
          </w:p>
        </w:tc>
      </w:tr>
      <w:tr w:rsidR="00342895">
        <w:trPr>
          <w:trHeight w:val="984"/>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6F53D9" w:rsidP="00E90D2A">
            <w:pPr>
              <w:jc w:val="both"/>
              <w:rPr>
                <w:sz w:val="24"/>
                <w:szCs w:val="24"/>
              </w:rPr>
            </w:pPr>
            <w:r w:rsidRPr="00603151">
              <w:rPr>
                <w:sz w:val="24"/>
                <w:szCs w:val="24"/>
              </w:rPr>
              <w:t>Элемент ВСА</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6F53D9" w:rsidP="00E90D2A">
            <w:pPr>
              <w:jc w:val="both"/>
              <w:rPr>
                <w:sz w:val="24"/>
                <w:szCs w:val="24"/>
              </w:rPr>
            </w:pPr>
            <w:r w:rsidRPr="00603151">
              <w:rPr>
                <w:sz w:val="24"/>
                <w:szCs w:val="24"/>
              </w:rPr>
              <w:t>Содержание положений ВСА</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Нормативная база</w:t>
            </w:r>
          </w:p>
        </w:tc>
      </w:tr>
      <w:tr w:rsidR="00342895">
        <w:trPr>
          <w:trHeight w:val="984"/>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(стандарт) № 14. Учет требований нормативных правовых актов Российской Федерации в ходе аудита, правило (стандарт) № 15. Понимание деятельности аудируемого лица</w:t>
            </w:r>
          </w:p>
        </w:tc>
      </w:tr>
      <w:tr w:rsidR="00342895">
        <w:trPr>
          <w:trHeight w:val="984"/>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rPr>
                <w:sz w:val="24"/>
                <w:szCs w:val="24"/>
              </w:rPr>
            </w:pPr>
            <w:r w:rsidRPr="00603151">
              <w:rPr>
                <w:sz w:val="24"/>
                <w:szCs w:val="24"/>
              </w:rPr>
              <w:t>Методика</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Перечень         аудиторских         процедур, аудиторских      доказательств,      рабочие документы аудитора</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Правило (стандарт) № 4. Существенность в аудите, правило (стандарт) № 5. Аудиторские доказательства, правило (стандарт) № 17. Получение аудиторских доказательств в конкретных случаях</w:t>
            </w:r>
          </w:p>
        </w:tc>
      </w:tr>
      <w:tr w:rsidR="00342895">
        <w:trPr>
          <w:trHeight w:val="984"/>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rPr>
                <w:sz w:val="24"/>
                <w:szCs w:val="24"/>
              </w:rPr>
            </w:pPr>
            <w:r w:rsidRPr="00603151">
              <w:rPr>
                <w:sz w:val="24"/>
                <w:szCs w:val="24"/>
              </w:rPr>
              <w:t>Общение            с</w:t>
            </w:r>
          </w:p>
          <w:p w:rsidR="00342895" w:rsidRPr="00603151" w:rsidRDefault="00342895" w:rsidP="00E90D2A">
            <w:pPr>
              <w:rPr>
                <w:sz w:val="24"/>
                <w:szCs w:val="24"/>
              </w:rPr>
            </w:pPr>
            <w:r w:rsidRPr="00603151">
              <w:rPr>
                <w:sz w:val="24"/>
                <w:szCs w:val="24"/>
              </w:rPr>
              <w:t>налоговыми</w:t>
            </w:r>
          </w:p>
          <w:p w:rsidR="00342895" w:rsidRPr="00603151" w:rsidRDefault="00342895" w:rsidP="00E90D2A">
            <w:pPr>
              <w:rPr>
                <w:sz w:val="24"/>
                <w:szCs w:val="24"/>
              </w:rPr>
            </w:pPr>
            <w:r w:rsidRPr="00603151">
              <w:rPr>
                <w:sz w:val="24"/>
                <w:szCs w:val="24"/>
              </w:rPr>
              <w:t>органами</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Перечень    вопросов,    виды    и    формы общения</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Правило (стандарт) № 18. Получение аудитором подтверждающей информации из внешних источников</w:t>
            </w:r>
          </w:p>
        </w:tc>
      </w:tr>
      <w:tr w:rsidR="00342895">
        <w:trPr>
          <w:trHeight w:val="984"/>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Общение            с клиентом</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Перечень         обсуждаемых         вопросов, порядок решения спорных ситуаций</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Правило (стандарт) № 22. Сообщение информации, полученной по результатам аудита, руководству аудируемого лица и представителям его собственника, правило (стандарт) № 23. Заявления и разъяснения руководства аудируемого лица</w:t>
            </w:r>
          </w:p>
        </w:tc>
      </w:tr>
      <w:tr w:rsidR="00342895">
        <w:trPr>
          <w:trHeight w:val="984"/>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Оформление результатов, отчет</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Форма        и        содержание        итоговых документов,       отчета,       порядок       его представления</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Правило (стандарт) "Заключение аудиторской организации по специальным аудиторским заданиям"*</w:t>
            </w:r>
          </w:p>
        </w:tc>
      </w:tr>
      <w:tr w:rsidR="00342895">
        <w:trPr>
          <w:trHeight w:val="984"/>
        </w:trPr>
        <w:tc>
          <w:tcPr>
            <w:tcW w:w="1627"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Приложения</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r w:rsidRPr="00603151">
              <w:rPr>
                <w:sz w:val="24"/>
                <w:szCs w:val="24"/>
              </w:rPr>
              <w:t>Формы       типовых       запросов,       тесты, расчетно-аналитические таблицы и пр.</w:t>
            </w:r>
          </w:p>
        </w:tc>
        <w:tc>
          <w:tcPr>
            <w:tcW w:w="3965" w:type="dxa"/>
            <w:tcBorders>
              <w:top w:val="single" w:sz="6" w:space="0" w:color="auto"/>
              <w:left w:val="single" w:sz="6" w:space="0" w:color="auto"/>
              <w:bottom w:val="single" w:sz="6" w:space="0" w:color="auto"/>
              <w:right w:val="single" w:sz="6" w:space="0" w:color="auto"/>
            </w:tcBorders>
            <w:shd w:val="clear" w:color="auto" w:fill="FFFFFF"/>
          </w:tcPr>
          <w:p w:rsidR="00342895" w:rsidRPr="00603151" w:rsidRDefault="00342895" w:rsidP="00E90D2A">
            <w:pPr>
              <w:jc w:val="both"/>
              <w:rPr>
                <w:sz w:val="24"/>
                <w:szCs w:val="24"/>
              </w:rPr>
            </w:pPr>
          </w:p>
        </w:tc>
      </w:tr>
    </w:tbl>
    <w:p w:rsidR="00A64886" w:rsidRDefault="00A64886" w:rsidP="00E90D2A"/>
    <w:p w:rsidR="00342895" w:rsidRDefault="00342895" w:rsidP="00E90D2A"/>
    <w:p w:rsidR="00603151" w:rsidRPr="00A64886" w:rsidRDefault="00603151" w:rsidP="00603151">
      <w:pPr>
        <w:ind w:firstLine="0"/>
        <w:jc w:val="both"/>
      </w:pPr>
    </w:p>
    <w:p w:rsidR="00B93E0F" w:rsidRDefault="00B93E0F" w:rsidP="00E90D2A"/>
    <w:p w:rsidR="00B93E0F" w:rsidRDefault="00B93E0F" w:rsidP="00E90D2A"/>
    <w:p w:rsidR="00B93E0F" w:rsidRDefault="00B93E0F" w:rsidP="00E90D2A"/>
    <w:p w:rsidR="00B93E0F" w:rsidRDefault="00B93E0F" w:rsidP="00E90D2A"/>
    <w:p w:rsidR="00B93E0F" w:rsidRDefault="00B93E0F" w:rsidP="00E90D2A"/>
    <w:p w:rsidR="00B93E0F" w:rsidRDefault="00B93E0F" w:rsidP="00E90D2A"/>
    <w:p w:rsidR="00B93E0F" w:rsidRDefault="00B93E0F" w:rsidP="00E90D2A"/>
    <w:p w:rsidR="00B93E0F" w:rsidRDefault="00B93E0F" w:rsidP="00E90D2A"/>
    <w:p w:rsidR="00B93E0F" w:rsidRDefault="00B93E0F" w:rsidP="00E90D2A"/>
    <w:p w:rsidR="00B93E0F" w:rsidRDefault="00B93E0F" w:rsidP="00E90D2A"/>
    <w:p w:rsidR="00B93E0F" w:rsidRDefault="00B93E0F" w:rsidP="00E90D2A"/>
    <w:p w:rsidR="00AE11A2" w:rsidRPr="00A64886" w:rsidRDefault="00AE11A2" w:rsidP="00E90D2A">
      <w:r w:rsidRPr="00A64886">
        <w:t>ООО «Аудит-ИНФОРМ»</w:t>
      </w:r>
    </w:p>
    <w:p w:rsidR="00A64886" w:rsidRDefault="00A64886" w:rsidP="00E90D2A"/>
    <w:p w:rsidR="00AE11A2" w:rsidRPr="00A64886" w:rsidRDefault="00AE11A2" w:rsidP="00122CB6">
      <w:pPr>
        <w:jc w:val="right"/>
      </w:pPr>
      <w:r w:rsidRPr="00A64886">
        <w:t>Утверждаю</w:t>
      </w:r>
    </w:p>
    <w:p w:rsidR="00AE11A2" w:rsidRPr="00A64886" w:rsidRDefault="00AE11A2" w:rsidP="00122CB6">
      <w:pPr>
        <w:jc w:val="right"/>
      </w:pPr>
      <w:r w:rsidRPr="00A64886">
        <w:t>директор ООО «Аудит-ИНФОРМ»</w:t>
      </w:r>
    </w:p>
    <w:p w:rsidR="00AE11A2" w:rsidRPr="00A64886" w:rsidRDefault="00AE11A2" w:rsidP="00122CB6">
      <w:pPr>
        <w:jc w:val="right"/>
      </w:pPr>
      <w:r w:rsidRPr="00A64886">
        <w:t>____________________Коваленко Д.А.</w:t>
      </w:r>
    </w:p>
    <w:p w:rsidR="00AE11A2" w:rsidRPr="00A64886" w:rsidRDefault="00AE11A2" w:rsidP="00122CB6">
      <w:pPr>
        <w:jc w:val="right"/>
      </w:pPr>
      <w:r w:rsidRPr="00A64886">
        <w:t xml:space="preserve">               (подпись)</w:t>
      </w:r>
    </w:p>
    <w:p w:rsidR="00A64886" w:rsidRDefault="00A64886" w:rsidP="00E90D2A"/>
    <w:p w:rsidR="00AE11A2" w:rsidRPr="00A64886" w:rsidRDefault="00AE11A2" w:rsidP="00122CB6">
      <w:pPr>
        <w:jc w:val="right"/>
      </w:pPr>
      <w:r w:rsidRPr="00A64886">
        <w:t>«10»   сентября    2010г.</w:t>
      </w:r>
    </w:p>
    <w:p w:rsidR="00AE11A2" w:rsidRPr="00A64886" w:rsidRDefault="00AE11A2" w:rsidP="00E90D2A"/>
    <w:p w:rsidR="00AE11A2" w:rsidRPr="00A64886" w:rsidRDefault="00AE11A2" w:rsidP="00E90D2A">
      <w:r w:rsidRPr="00A64886">
        <w:t>Внутрифирменный стандарт</w:t>
      </w:r>
    </w:p>
    <w:p w:rsidR="00AE11A2" w:rsidRPr="00A64886" w:rsidRDefault="00AE11A2" w:rsidP="00E90D2A"/>
    <w:p w:rsidR="00AE11A2" w:rsidRPr="00122CB6" w:rsidRDefault="00342895" w:rsidP="00E90D2A">
      <w:pPr>
        <w:rPr>
          <w:b/>
        </w:rPr>
      </w:pPr>
      <w:r w:rsidRPr="00122CB6">
        <w:rPr>
          <w:b/>
        </w:rPr>
        <w:t>"Методика аудиторской проверки</w:t>
      </w:r>
      <w:r w:rsidR="00603151">
        <w:rPr>
          <w:b/>
        </w:rPr>
        <w:t xml:space="preserve"> </w:t>
      </w:r>
      <w:r w:rsidRPr="00122CB6">
        <w:rPr>
          <w:b/>
        </w:rPr>
        <w:t>статьи финансовой (бухгалтерской) отчетности</w:t>
      </w:r>
      <w:r w:rsidR="00603151">
        <w:rPr>
          <w:b/>
        </w:rPr>
        <w:t xml:space="preserve"> </w:t>
      </w:r>
      <w:r w:rsidRPr="00122CB6">
        <w:rPr>
          <w:b/>
        </w:rPr>
        <w:t>"Задолженность по налогам и сборам (налог на доходы физических лиц)"</w:t>
      </w:r>
    </w:p>
    <w:p w:rsidR="00342895" w:rsidRDefault="00342895" w:rsidP="00E90D2A"/>
    <w:p w:rsidR="00AE11A2" w:rsidRPr="00A64886" w:rsidRDefault="00AE11A2" w:rsidP="00E90D2A">
      <w:r w:rsidRPr="00A64886">
        <w:t>№ 00</w:t>
      </w:r>
      <w:r w:rsidR="00C4657A">
        <w:t>3</w:t>
      </w:r>
      <w:r w:rsidRPr="00A64886">
        <w:t>-09/2010</w:t>
      </w:r>
    </w:p>
    <w:p w:rsidR="00AE11A2" w:rsidRPr="00A64886" w:rsidRDefault="00AE11A2" w:rsidP="00E90D2A"/>
    <w:p w:rsidR="00AE11A2" w:rsidRPr="00A64886" w:rsidRDefault="00AE11A2" w:rsidP="00122CB6">
      <w:pPr>
        <w:jc w:val="right"/>
      </w:pPr>
      <w:r w:rsidRPr="00A64886">
        <w:t>Разработчик:</w:t>
      </w:r>
    </w:p>
    <w:p w:rsidR="00760A7A" w:rsidRDefault="00A64886" w:rsidP="00122CB6">
      <w:pPr>
        <w:jc w:val="right"/>
      </w:pPr>
      <w:r>
        <w:t xml:space="preserve">Аудитор </w:t>
      </w:r>
      <w:r w:rsidR="00AE11A2" w:rsidRPr="00A64886">
        <w:t xml:space="preserve">Методологического отдела регламентации </w:t>
      </w:r>
    </w:p>
    <w:p w:rsidR="00224129" w:rsidRDefault="00AE11A2" w:rsidP="00122CB6">
      <w:pPr>
        <w:jc w:val="right"/>
      </w:pPr>
      <w:r w:rsidRPr="00A64886">
        <w:t xml:space="preserve">аудиторской деятельности </w:t>
      </w:r>
    </w:p>
    <w:p w:rsidR="00AE11A2" w:rsidRPr="00A64886" w:rsidRDefault="00A64886" w:rsidP="00122CB6">
      <w:pPr>
        <w:jc w:val="right"/>
      </w:pPr>
      <w:r>
        <w:t>«12» августа  2010</w:t>
      </w:r>
      <w:r w:rsidR="00AE11A2" w:rsidRPr="00A64886">
        <w:t>г.</w:t>
      </w:r>
    </w:p>
    <w:p w:rsidR="00AE11A2" w:rsidRPr="00A64886" w:rsidRDefault="00AE11A2" w:rsidP="00E90D2A">
      <w:pPr>
        <w:pStyle w:val="a4"/>
      </w:pPr>
    </w:p>
    <w:p w:rsidR="00147928" w:rsidRDefault="00147928" w:rsidP="00122CB6">
      <w:pPr>
        <w:pStyle w:val="a4"/>
        <w:ind w:left="313" w:firstLine="425"/>
        <w:jc w:val="both"/>
      </w:pPr>
      <w:r>
        <w:t>Целью аудита расчетов с бюджетом по налогу на доходы физических лиц является выражение мнения аудитора о достоверности сальдо по счету 68 "Расчеты по налогам и сборам", субсчет "Расчеты по налогу на доходы физических лиц" в финансовой (бухгалтерской) отчетности, проверка законности операций по НДФЛ. Настоящая методика проведения аудита расчетов с бюджетом по НДФЛ разработана в соответствии с:</w:t>
      </w:r>
    </w:p>
    <w:p w:rsidR="00147928" w:rsidRDefault="00147928" w:rsidP="00122CB6">
      <w:pPr>
        <w:pStyle w:val="a4"/>
        <w:jc w:val="both"/>
      </w:pPr>
      <w:r>
        <w:t xml:space="preserve">•      Федеральным законом от </w:t>
      </w:r>
      <w:r w:rsidRPr="00147928">
        <w:t xml:space="preserve">от 30.12.2008 N 307-ФЗ </w:t>
      </w:r>
      <w:r>
        <w:t>"Об аудиторской деятельности" (</w:t>
      </w:r>
      <w:r w:rsidRPr="00147928">
        <w:t>принят ГД ФС РФ 24.12.2008</w:t>
      </w:r>
      <w:r>
        <w:t>);</w:t>
      </w:r>
    </w:p>
    <w:p w:rsidR="00147928" w:rsidRDefault="00147928" w:rsidP="00122CB6">
      <w:pPr>
        <w:pStyle w:val="a4"/>
        <w:jc w:val="both"/>
      </w:pPr>
      <w:r>
        <w:t>•      федеральными правилами (стандартами) аудиторской деятельности, утвержденными постановлением Правительства Российской Федерации от 23.09.2002 № 696 (в ред. Постановлений Правительства РФ от 04.07.2003 N 405,от 07.10.2004 N 532, от 16.04.2005 N 228,от 25.08.2006 N 523, от 22.07.2008 N 557,от 19.11.2008 N 863);</w:t>
      </w:r>
    </w:p>
    <w:p w:rsidR="00147928" w:rsidRDefault="00147928" w:rsidP="00122CB6">
      <w:pPr>
        <w:pStyle w:val="a4"/>
        <w:jc w:val="both"/>
      </w:pPr>
      <w:r>
        <w:t>•      другими внутренними аудиторскими стандартами;</w:t>
      </w:r>
    </w:p>
    <w:p w:rsidR="00147928" w:rsidRDefault="00147928" w:rsidP="00122CB6">
      <w:pPr>
        <w:pStyle w:val="a4"/>
        <w:jc w:val="both"/>
      </w:pPr>
      <w:r>
        <w:t>•      НК РФ (глава 23).</w:t>
      </w:r>
    </w:p>
    <w:p w:rsidR="0036021E" w:rsidRDefault="0036021E" w:rsidP="00122CB6">
      <w:pPr>
        <w:pStyle w:val="a4"/>
        <w:ind w:firstLine="425"/>
        <w:jc w:val="both"/>
      </w:pPr>
      <w:r>
        <w:t>Необходимость использования стандарта обусловлена:</w:t>
      </w:r>
    </w:p>
    <w:p w:rsidR="0036021E" w:rsidRDefault="0036021E" w:rsidP="00122CB6">
      <w:pPr>
        <w:pStyle w:val="a4"/>
        <w:jc w:val="both"/>
      </w:pPr>
      <w:r>
        <w:t>•   определением единых принципов и подходов к проведению аудита расчетов с бюджетом по НДФЛ;</w:t>
      </w:r>
    </w:p>
    <w:p w:rsidR="0036021E" w:rsidRDefault="0036021E" w:rsidP="00122CB6">
      <w:pPr>
        <w:pStyle w:val="a4"/>
        <w:jc w:val="both"/>
      </w:pPr>
      <w:r>
        <w:t>•  установлением минимальных обязательных требований к аудиту расчетов с бюджетом по НДФЛ;</w:t>
      </w:r>
    </w:p>
    <w:p w:rsidR="0036021E" w:rsidRDefault="0036021E" w:rsidP="00122CB6">
      <w:pPr>
        <w:pStyle w:val="a4"/>
        <w:jc w:val="both"/>
      </w:pPr>
      <w:r>
        <w:t>• осуществлением внутрифирменного контроля аудиторской деятельности;</w:t>
      </w:r>
    </w:p>
    <w:p w:rsidR="0036021E" w:rsidRDefault="0036021E" w:rsidP="00122CB6">
      <w:pPr>
        <w:pStyle w:val="a4"/>
        <w:jc w:val="both"/>
      </w:pPr>
      <w:r>
        <w:t>•   установлением единых правил проверки соблюдения налогового законодательства и составления налоговой отчетности.</w:t>
      </w:r>
    </w:p>
    <w:p w:rsidR="00E828CE" w:rsidRPr="00E828CE" w:rsidRDefault="00E828CE" w:rsidP="00122CB6">
      <w:pPr>
        <w:pStyle w:val="a4"/>
        <w:jc w:val="both"/>
      </w:pPr>
      <w:r>
        <w:tab/>
        <w:t>Задачами стандарта  является с</w:t>
      </w:r>
      <w:r w:rsidRPr="00E828CE">
        <w:t xml:space="preserve">воевременное выявление искажений при расчетах с бюджетом </w:t>
      </w:r>
      <w:r>
        <w:t>по налогу на доходы физических лиц</w:t>
      </w:r>
      <w:r w:rsidRPr="00E828CE">
        <w:t>, оказывающих влияние на правильность заполнения налоговых деклараций и на достоверность расчетов с; снижение налоговых рисков, возникающих в процессе проведения проверок фискальными органами.</w:t>
      </w:r>
    </w:p>
    <w:p w:rsidR="0036021E" w:rsidRPr="0036021E" w:rsidRDefault="0036021E" w:rsidP="00122CB6">
      <w:pPr>
        <w:pStyle w:val="a4"/>
        <w:ind w:firstLine="425"/>
        <w:jc w:val="both"/>
      </w:pPr>
      <w:r w:rsidRPr="0036021E">
        <w:t>Настоящий стандарт может быть использован при комплексной аудиторской проверке, при тематической проверке достоверности сальдо счета 68 "Расчеты по налогам и сборам" и при экспертной проверке расчетов по оплате труда и налогообложения доходов физических лиц.</w:t>
      </w:r>
    </w:p>
    <w:p w:rsidR="0036021E" w:rsidRDefault="000A2A85" w:rsidP="00122CB6">
      <w:pPr>
        <w:pStyle w:val="a4"/>
        <w:ind w:firstLine="425"/>
        <w:jc w:val="both"/>
      </w:pPr>
      <w:r w:rsidRPr="000A2A85">
        <w:t>Стандарт применяется с учетом требований федеральных правил (стандартов) аудиторской деятельности, а также прочих внутрифирменных стандартов аудиторской организации.</w:t>
      </w:r>
    </w:p>
    <w:p w:rsidR="000A2A85" w:rsidRPr="000A2A85" w:rsidRDefault="000A2A85" w:rsidP="00122CB6">
      <w:pPr>
        <w:pStyle w:val="a4"/>
        <w:ind w:firstLine="425"/>
        <w:jc w:val="both"/>
      </w:pPr>
      <w:r>
        <w:t>Стандарт разработан впервые и имеет бессрочный характер. Изменения в стандарт вносятся в соответствии с изменениями законодательства.</w:t>
      </w:r>
    </w:p>
    <w:p w:rsidR="0036021E" w:rsidRDefault="00E828CE" w:rsidP="00122CB6">
      <w:pPr>
        <w:pStyle w:val="a4"/>
        <w:ind w:firstLine="425"/>
        <w:jc w:val="both"/>
      </w:pPr>
      <w:r>
        <w:rPr>
          <w:b/>
          <w:bCs/>
        </w:rPr>
        <w:t>Налоговый</w:t>
      </w:r>
      <w:r w:rsidR="00D32594">
        <w:rPr>
          <w:b/>
          <w:bCs/>
        </w:rPr>
        <w:t xml:space="preserve"> аудит</w:t>
      </w:r>
      <w:r>
        <w:rPr>
          <w:b/>
          <w:bCs/>
        </w:rPr>
        <w:t xml:space="preserve"> -</w:t>
      </w:r>
      <w:r w:rsidR="00D32594">
        <w:t xml:space="preserve"> специальное аудиторское задание по рассмотрению порядка формирования бухгалтерских и налоговых отчетов клиента с целью выражения мнения о степени достоверности и соответствия нормам, установленным законодательством, порядке формирования, отражения в учете и уплаты предприятием клиента налогов и других платежей в бюджеты разных уровней, а также во внебюджетные фонды.</w:t>
      </w:r>
    </w:p>
    <w:p w:rsidR="00F827E3" w:rsidRDefault="00F827E3" w:rsidP="00122CB6">
      <w:pPr>
        <w:pStyle w:val="a4"/>
        <w:ind w:firstLine="425"/>
        <w:jc w:val="both"/>
      </w:pPr>
      <w:r w:rsidRPr="00F827E3">
        <w:rPr>
          <w:b/>
        </w:rPr>
        <w:t>Аудиторские доказательства</w:t>
      </w:r>
      <w:r w:rsidRPr="00861E2A">
        <w:t xml:space="preserve"> – это информация, собранная аудитором в ходе проверки, и выводы, которые служат для обоснования выражения им своего мнения о достоверности бухгалтерской отчетности</w:t>
      </w:r>
    </w:p>
    <w:p w:rsidR="008E37E0" w:rsidRDefault="008E37E0" w:rsidP="00122CB6">
      <w:pPr>
        <w:pStyle w:val="a4"/>
        <w:ind w:firstLine="425"/>
        <w:jc w:val="both"/>
      </w:pPr>
      <w:r>
        <w:t>При проведении аудита расчетов с бюджетом по НДФЛ следует выполнять следующие требования:</w:t>
      </w:r>
    </w:p>
    <w:p w:rsidR="008E37E0" w:rsidRDefault="008E37E0" w:rsidP="00122CB6">
      <w:pPr>
        <w:pStyle w:val="a4"/>
        <w:numPr>
          <w:ilvl w:val="0"/>
          <w:numId w:val="9"/>
        </w:numPr>
        <w:jc w:val="both"/>
      </w:pPr>
      <w:r>
        <w:t>придерживаться цели аудиторской поверки – подтвердить достоверность статьи финансовой (бухгалтерской) отчетности "Задолженность по налогам и сборам";</w:t>
      </w:r>
    </w:p>
    <w:p w:rsidR="008E37E0" w:rsidRDefault="008E37E0" w:rsidP="00122CB6">
      <w:pPr>
        <w:pStyle w:val="a4"/>
        <w:numPr>
          <w:ilvl w:val="0"/>
          <w:numId w:val="9"/>
        </w:numPr>
        <w:jc w:val="both"/>
      </w:pPr>
      <w:r>
        <w:t>руководствоваться общими принципами аудита;</w:t>
      </w:r>
    </w:p>
    <w:p w:rsidR="008E37E0" w:rsidRDefault="008E37E0" w:rsidP="00122CB6">
      <w:pPr>
        <w:pStyle w:val="a4"/>
        <w:numPr>
          <w:ilvl w:val="0"/>
          <w:numId w:val="9"/>
        </w:numPr>
        <w:jc w:val="both"/>
      </w:pPr>
      <w:r>
        <w:t>выполнить аудиторское задание качественно и своевременно, руководствуясь общим планом и программой аудита;</w:t>
      </w:r>
    </w:p>
    <w:p w:rsidR="008E37E0" w:rsidRDefault="008E37E0" w:rsidP="00122CB6">
      <w:pPr>
        <w:pStyle w:val="a4"/>
        <w:numPr>
          <w:ilvl w:val="0"/>
          <w:numId w:val="9"/>
        </w:numPr>
        <w:jc w:val="both"/>
      </w:pPr>
      <w:r>
        <w:t>использовать для тестирования организации бухгалтерского учета и внутреннего контроля типовые тесты (вопросник);</w:t>
      </w:r>
    </w:p>
    <w:p w:rsidR="008E37E0" w:rsidRDefault="008E37E0" w:rsidP="00122CB6">
      <w:pPr>
        <w:pStyle w:val="a4"/>
        <w:numPr>
          <w:ilvl w:val="0"/>
          <w:numId w:val="9"/>
        </w:numPr>
        <w:jc w:val="both"/>
      </w:pPr>
      <w:r>
        <w:t>использовать общепринятые приемы и процедуры аудита;</w:t>
      </w:r>
    </w:p>
    <w:p w:rsidR="008E37E0" w:rsidRDefault="008E37E0" w:rsidP="00122CB6">
      <w:pPr>
        <w:pStyle w:val="a4"/>
        <w:numPr>
          <w:ilvl w:val="0"/>
          <w:numId w:val="9"/>
        </w:numPr>
        <w:jc w:val="both"/>
      </w:pPr>
      <w:r>
        <w:t>использовать в качестве аудиторских доказательств учетные документы, бухгалтерскую, налоговую отчетность и прочую информацию;</w:t>
      </w:r>
    </w:p>
    <w:p w:rsidR="008E37E0" w:rsidRDefault="008E37E0" w:rsidP="00122CB6">
      <w:pPr>
        <w:pStyle w:val="a4"/>
        <w:numPr>
          <w:ilvl w:val="0"/>
          <w:numId w:val="9"/>
        </w:numPr>
        <w:jc w:val="both"/>
      </w:pPr>
      <w:r>
        <w:t>придерживаться принципа объективности, руководствуясь нормативными документами по учету расчетов с бюджетом по НДФЛ;</w:t>
      </w:r>
    </w:p>
    <w:p w:rsidR="008E37E0" w:rsidRDefault="008E37E0" w:rsidP="00122CB6">
      <w:pPr>
        <w:pStyle w:val="a4"/>
        <w:numPr>
          <w:ilvl w:val="0"/>
          <w:numId w:val="9"/>
        </w:numPr>
        <w:jc w:val="both"/>
      </w:pPr>
      <w:r>
        <w:t>оформлять результаты аудита в форме типовых рабочих документов;</w:t>
      </w:r>
    </w:p>
    <w:p w:rsidR="0036021E" w:rsidRDefault="008E37E0" w:rsidP="00122CB6">
      <w:pPr>
        <w:pStyle w:val="a4"/>
        <w:numPr>
          <w:ilvl w:val="0"/>
          <w:numId w:val="9"/>
        </w:numPr>
        <w:jc w:val="both"/>
      </w:pPr>
      <w:r>
        <w:t>разработать рекомендации относительно внесения корректировок в расчеты с бюджетом по НДФЛ и уточнения сумм налоговых платежей (в случае выявления нарушений в расчетах).</w:t>
      </w:r>
    </w:p>
    <w:p w:rsidR="006F53D9" w:rsidRDefault="006F53D9" w:rsidP="00691888">
      <w:pPr>
        <w:pStyle w:val="a4"/>
        <w:jc w:val="both"/>
      </w:pPr>
      <w:r>
        <w:t>На  первоначальном этапе выполняются:</w:t>
      </w:r>
    </w:p>
    <w:p w:rsidR="006F53D9" w:rsidRDefault="006F53D9" w:rsidP="00691888">
      <w:pPr>
        <w:pStyle w:val="a4"/>
        <w:numPr>
          <w:ilvl w:val="0"/>
          <w:numId w:val="8"/>
        </w:numPr>
        <w:tabs>
          <w:tab w:val="left" w:pos="1080"/>
        </w:tabs>
        <w:jc w:val="both"/>
      </w:pPr>
      <w:r>
        <w:t>оценка систем бухгалтерского и налогового учета;</w:t>
      </w:r>
    </w:p>
    <w:p w:rsidR="006F53D9" w:rsidRDefault="006F53D9" w:rsidP="00691888">
      <w:pPr>
        <w:pStyle w:val="a4"/>
        <w:numPr>
          <w:ilvl w:val="0"/>
          <w:numId w:val="8"/>
        </w:numPr>
        <w:tabs>
          <w:tab w:val="left" w:pos="1080"/>
        </w:tabs>
        <w:jc w:val="both"/>
      </w:pPr>
      <w:r>
        <w:t>оценка аудиторских рисков</w:t>
      </w:r>
      <w:r w:rsidR="00760A7A">
        <w:t xml:space="preserve"> (см. прил.1)</w:t>
      </w:r>
      <w:r>
        <w:t>;</w:t>
      </w:r>
    </w:p>
    <w:p w:rsidR="006F53D9" w:rsidRDefault="006F53D9" w:rsidP="00691888">
      <w:pPr>
        <w:pStyle w:val="a4"/>
        <w:numPr>
          <w:ilvl w:val="0"/>
          <w:numId w:val="8"/>
        </w:numPr>
        <w:tabs>
          <w:tab w:val="left" w:pos="1080"/>
        </w:tabs>
        <w:jc w:val="both"/>
      </w:pPr>
      <w:r>
        <w:t>расчет уровня существенности;</w:t>
      </w:r>
    </w:p>
    <w:p w:rsidR="006F53D9" w:rsidRDefault="006F53D9" w:rsidP="00691888">
      <w:pPr>
        <w:pStyle w:val="a4"/>
        <w:numPr>
          <w:ilvl w:val="0"/>
          <w:numId w:val="8"/>
        </w:numPr>
        <w:tabs>
          <w:tab w:val="left" w:pos="1080"/>
        </w:tabs>
        <w:jc w:val="both"/>
      </w:pPr>
      <w:r>
        <w:t>определение основных факторов, влияющих на налоговые показатели;</w:t>
      </w:r>
    </w:p>
    <w:p w:rsidR="006F53D9" w:rsidRDefault="006F53D9" w:rsidP="00691888">
      <w:pPr>
        <w:pStyle w:val="a4"/>
        <w:numPr>
          <w:ilvl w:val="0"/>
          <w:numId w:val="8"/>
        </w:numPr>
        <w:tabs>
          <w:tab w:val="left" w:pos="1080"/>
        </w:tabs>
        <w:jc w:val="both"/>
      </w:pPr>
      <w:r>
        <w:t>анализ правовых актов, регулирующих социально-трудовые отношения;</w:t>
      </w:r>
    </w:p>
    <w:p w:rsidR="006F53D9" w:rsidRDefault="006F53D9" w:rsidP="00691888">
      <w:pPr>
        <w:pStyle w:val="a4"/>
        <w:numPr>
          <w:ilvl w:val="0"/>
          <w:numId w:val="8"/>
        </w:numPr>
        <w:tabs>
          <w:tab w:val="left" w:pos="1080"/>
        </w:tabs>
        <w:jc w:val="both"/>
      </w:pPr>
      <w:r>
        <w:t>анализ организации документооборота и изучение функций и полномочий служб, ответственных за исчисление и уплату налогов.</w:t>
      </w:r>
    </w:p>
    <w:p w:rsidR="006F53D9" w:rsidRDefault="006F53D9" w:rsidP="00691888">
      <w:pPr>
        <w:pStyle w:val="a4"/>
        <w:ind w:firstLine="314"/>
        <w:jc w:val="both"/>
      </w:pPr>
      <w:r>
        <w:t>Выполнение процедур на данном этапе позволит рассмотреть такие существенные факторы, как существующие объекты налогообложения, соответствие применяемого организацией порядка налогообложения нормам действующего законодательства, оценить уровень налоговых обязательств и потенциальных налоговых нарушений.</w:t>
      </w:r>
    </w:p>
    <w:p w:rsidR="006F53D9" w:rsidRDefault="006F53D9" w:rsidP="00691888">
      <w:pPr>
        <w:pStyle w:val="a4"/>
        <w:ind w:firstLine="425"/>
        <w:jc w:val="both"/>
      </w:pPr>
      <w:r>
        <w:t xml:space="preserve">На </w:t>
      </w:r>
      <w:r w:rsidR="00131763">
        <w:t xml:space="preserve">втором </w:t>
      </w:r>
      <w:r>
        <w:t>этапе проводится углубленная проверка участков налогового учета, на которых выявлены проблемные зоны с учетом значения уровня существенности.</w:t>
      </w:r>
    </w:p>
    <w:p w:rsidR="00F827E3" w:rsidRPr="00F827E3" w:rsidRDefault="00F827E3" w:rsidP="00691888">
      <w:pPr>
        <w:pStyle w:val="a4"/>
        <w:ind w:firstLine="425"/>
        <w:jc w:val="both"/>
      </w:pPr>
      <w:r>
        <w:t>П</w:t>
      </w:r>
      <w:r w:rsidRPr="00F827E3">
        <w:t>риступая к проверке по Внутреннему стандарту, аудитор должен убедиться в наличии оправдательных документов для применения налоговых вычетов по НДФЛ в соответствии со ст. 218 НК РФ. Установленные стандартные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 Отсутствие этих документов свидетельствует о несоблюдении налогового законодательства и неправомерности применения налоговых вычетов по налогу на доходы физических лиц. При наличии оправдательных документов их перечень, суммы вычетов по данным бухгалтерского учета экономического субъекта и суммы вычетов по данным аудитора заносятся в рабочий документ "Аудит документального оформления предоставления налоговых вычетов по налогу на доходы физических лиц".</w:t>
      </w:r>
    </w:p>
    <w:p w:rsidR="006F53D9" w:rsidRDefault="00F827E3" w:rsidP="00691888">
      <w:pPr>
        <w:pStyle w:val="a4"/>
        <w:ind w:firstLine="425"/>
        <w:jc w:val="both"/>
      </w:pPr>
      <w:r>
        <w:t xml:space="preserve">Основной этап процедуры аудита </w:t>
      </w:r>
      <w:r w:rsidR="006F53D9">
        <w:t>включает:</w:t>
      </w:r>
    </w:p>
    <w:p w:rsidR="006F53D9" w:rsidRDefault="006F53D9" w:rsidP="00691888">
      <w:pPr>
        <w:pStyle w:val="a4"/>
        <w:jc w:val="both"/>
      </w:pPr>
      <w:r>
        <w:t>•     оценку правильности определения налогооблагаемой базы по единому социальному налогу и налогу на доходы физических лиц;</w:t>
      </w:r>
    </w:p>
    <w:p w:rsidR="006F53D9" w:rsidRDefault="00691888" w:rsidP="00691888">
      <w:pPr>
        <w:pStyle w:val="a4"/>
        <w:jc w:val="both"/>
      </w:pPr>
      <w:r>
        <w:t xml:space="preserve">•  </w:t>
      </w:r>
      <w:r w:rsidR="006F53D9">
        <w:t>проверку налоговой отчетности, представленной обществом по установленным формам;</w:t>
      </w:r>
    </w:p>
    <w:p w:rsidR="006F53D9" w:rsidRDefault="006F53D9" w:rsidP="00691888">
      <w:pPr>
        <w:pStyle w:val="a4"/>
        <w:jc w:val="both"/>
      </w:pPr>
      <w:r>
        <w:t>•   расчет налоговых последствий для общества в случаях некорректного применения норм налогового законодательства;</w:t>
      </w:r>
    </w:p>
    <w:p w:rsidR="005C53B5" w:rsidRPr="005C53B5" w:rsidRDefault="005C53B5" w:rsidP="005C53B5">
      <w:pPr>
        <w:pStyle w:val="a4"/>
        <w:ind w:firstLine="425"/>
        <w:jc w:val="both"/>
      </w:pPr>
      <w:r w:rsidRPr="005C53B5">
        <w:t xml:space="preserve">Процедура проведения проверки правильности исчисления НДФЛ включает в себя анализ следующих документов: </w:t>
      </w:r>
    </w:p>
    <w:p w:rsidR="005C53B5" w:rsidRPr="005C53B5" w:rsidRDefault="005C53B5" w:rsidP="005C53B5">
      <w:pPr>
        <w:pStyle w:val="a4"/>
        <w:jc w:val="both"/>
      </w:pPr>
      <w:r w:rsidRPr="005C53B5">
        <w:t xml:space="preserve">- бухгалтерского баланса (форма N 1); </w:t>
      </w:r>
    </w:p>
    <w:p w:rsidR="005C53B5" w:rsidRPr="005C53B5" w:rsidRDefault="005C53B5" w:rsidP="005C53B5">
      <w:pPr>
        <w:pStyle w:val="a4"/>
        <w:jc w:val="both"/>
      </w:pPr>
      <w:r w:rsidRPr="005C53B5">
        <w:t xml:space="preserve">- отчета о прибылях и убытках (форма N 2); </w:t>
      </w:r>
    </w:p>
    <w:p w:rsidR="005C53B5" w:rsidRPr="005C53B5" w:rsidRDefault="005C53B5" w:rsidP="005C53B5">
      <w:pPr>
        <w:pStyle w:val="a4"/>
        <w:jc w:val="both"/>
      </w:pPr>
      <w:r w:rsidRPr="005C53B5">
        <w:t xml:space="preserve">- главной книги или оборотно-сальдовой ведомости; </w:t>
      </w:r>
    </w:p>
    <w:p w:rsidR="005C53B5" w:rsidRPr="005C53B5" w:rsidRDefault="005C53B5" w:rsidP="005C53B5">
      <w:pPr>
        <w:pStyle w:val="a4"/>
        <w:jc w:val="both"/>
      </w:pPr>
      <w:r w:rsidRPr="005C53B5">
        <w:t>- ПБУ 1/</w:t>
      </w:r>
      <w:r w:rsidR="00760A7A">
        <w:t>08</w:t>
      </w:r>
      <w:r w:rsidRPr="005C53B5">
        <w:t xml:space="preserve"> «Учетная политика организации»; </w:t>
      </w:r>
    </w:p>
    <w:p w:rsidR="005C53B5" w:rsidRPr="005C53B5" w:rsidRDefault="005C53B5" w:rsidP="005C53B5">
      <w:pPr>
        <w:pStyle w:val="a4"/>
        <w:jc w:val="both"/>
      </w:pPr>
      <w:r w:rsidRPr="005C53B5">
        <w:t xml:space="preserve">- регистров бухгалтерского учета по счетам 70, 68 субсчет «Расчеты по налогу на доходы физических лиц»; </w:t>
      </w:r>
    </w:p>
    <w:p w:rsidR="005C53B5" w:rsidRPr="005C53B5" w:rsidRDefault="005C53B5" w:rsidP="005C53B5">
      <w:pPr>
        <w:pStyle w:val="a4"/>
        <w:jc w:val="both"/>
      </w:pPr>
      <w:r w:rsidRPr="005C53B5">
        <w:t xml:space="preserve">- налоговых деклараций; </w:t>
      </w:r>
    </w:p>
    <w:p w:rsidR="005C53B5" w:rsidRPr="005C53B5" w:rsidRDefault="005C53B5" w:rsidP="005C53B5">
      <w:pPr>
        <w:pStyle w:val="a4"/>
        <w:jc w:val="both"/>
      </w:pPr>
      <w:r w:rsidRPr="005C53B5">
        <w:t xml:space="preserve">- реестров по НДФЛ; </w:t>
      </w:r>
    </w:p>
    <w:p w:rsidR="005C53B5" w:rsidRPr="005C53B5" w:rsidRDefault="005C53B5" w:rsidP="005C53B5">
      <w:pPr>
        <w:pStyle w:val="a4"/>
        <w:jc w:val="both"/>
      </w:pPr>
      <w:r w:rsidRPr="005C53B5">
        <w:t xml:space="preserve">- ведомостей по начислению заработной платы; </w:t>
      </w:r>
    </w:p>
    <w:p w:rsidR="005C53B5" w:rsidRPr="005C53B5" w:rsidRDefault="005C53B5" w:rsidP="005C53B5">
      <w:pPr>
        <w:pStyle w:val="a4"/>
        <w:jc w:val="both"/>
      </w:pPr>
      <w:r w:rsidRPr="005C53B5">
        <w:t xml:space="preserve">- трудовых договоров; </w:t>
      </w:r>
    </w:p>
    <w:p w:rsidR="005C53B5" w:rsidRPr="005C53B5" w:rsidRDefault="005C53B5" w:rsidP="005C53B5">
      <w:pPr>
        <w:pStyle w:val="a4"/>
        <w:jc w:val="both"/>
      </w:pPr>
      <w:r w:rsidRPr="005C53B5">
        <w:t xml:space="preserve">- штатного расписания; </w:t>
      </w:r>
    </w:p>
    <w:p w:rsidR="005C53B5" w:rsidRPr="005C53B5" w:rsidRDefault="005C53B5" w:rsidP="005C53B5">
      <w:pPr>
        <w:pStyle w:val="a4"/>
        <w:jc w:val="both"/>
      </w:pPr>
      <w:r w:rsidRPr="005C53B5">
        <w:t xml:space="preserve">- кадровых приказов; </w:t>
      </w:r>
    </w:p>
    <w:p w:rsidR="005C53B5" w:rsidRPr="005C53B5" w:rsidRDefault="005C53B5" w:rsidP="005C53B5">
      <w:pPr>
        <w:pStyle w:val="a4"/>
        <w:jc w:val="both"/>
      </w:pPr>
      <w:r w:rsidRPr="005C53B5">
        <w:t xml:space="preserve">- приказов по отдельным видам начислений и удержаний; </w:t>
      </w:r>
    </w:p>
    <w:p w:rsidR="005C53B5" w:rsidRPr="005C53B5" w:rsidRDefault="005C53B5" w:rsidP="005C53B5">
      <w:pPr>
        <w:pStyle w:val="a4"/>
        <w:jc w:val="both"/>
      </w:pPr>
      <w:r w:rsidRPr="005C53B5">
        <w:t xml:space="preserve">- коллективного договора или положения о премировании; </w:t>
      </w:r>
    </w:p>
    <w:p w:rsidR="005C53B5" w:rsidRPr="005C53B5" w:rsidRDefault="005C53B5" w:rsidP="005C53B5">
      <w:pPr>
        <w:pStyle w:val="a4"/>
        <w:jc w:val="both"/>
      </w:pPr>
      <w:r w:rsidRPr="005C53B5">
        <w:t xml:space="preserve">- налоговых карточек; </w:t>
      </w:r>
    </w:p>
    <w:p w:rsidR="00FE4F82" w:rsidRDefault="005C53B5" w:rsidP="00BF14A1">
      <w:pPr>
        <w:pStyle w:val="a4"/>
        <w:jc w:val="both"/>
      </w:pPr>
      <w:r w:rsidRPr="005C53B5">
        <w:t xml:space="preserve">- других документов, подтверждающих применение организацией налоговых льгот. </w:t>
      </w:r>
    </w:p>
    <w:p w:rsidR="006F53D9" w:rsidRDefault="006F53D9" w:rsidP="00691888">
      <w:pPr>
        <w:pStyle w:val="a4"/>
        <w:jc w:val="right"/>
      </w:pPr>
      <w:r>
        <w:t>Таблица №2</w:t>
      </w:r>
    </w:p>
    <w:p w:rsidR="006F53D9" w:rsidRPr="00691888" w:rsidRDefault="006F53D9" w:rsidP="00E90D2A">
      <w:pPr>
        <w:pStyle w:val="a4"/>
        <w:rPr>
          <w:b/>
        </w:rPr>
      </w:pPr>
      <w:r w:rsidRPr="00691888">
        <w:rPr>
          <w:b/>
        </w:rPr>
        <w:t>Содержание разделов (подразделов) проверки и процедуры</w:t>
      </w:r>
    </w:p>
    <w:tbl>
      <w:tblPr>
        <w:tblW w:w="0" w:type="auto"/>
        <w:tblInd w:w="40" w:type="dxa"/>
        <w:tblLayout w:type="fixed"/>
        <w:tblCellMar>
          <w:left w:w="40" w:type="dxa"/>
          <w:right w:w="40" w:type="dxa"/>
        </w:tblCellMar>
        <w:tblLook w:val="0000" w:firstRow="0" w:lastRow="0" w:firstColumn="0" w:lastColumn="0" w:noHBand="0" w:noVBand="0"/>
      </w:tblPr>
      <w:tblGrid>
        <w:gridCol w:w="3787"/>
        <w:gridCol w:w="5582"/>
      </w:tblGrid>
      <w:tr w:rsidR="006F53D9">
        <w:trPr>
          <w:trHeigh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6F53D9" w:rsidRPr="00691888" w:rsidRDefault="006F53D9" w:rsidP="00691888">
            <w:pPr>
              <w:rPr>
                <w:sz w:val="24"/>
                <w:szCs w:val="24"/>
              </w:rPr>
            </w:pPr>
            <w:r w:rsidRPr="00691888">
              <w:rPr>
                <w:sz w:val="24"/>
                <w:szCs w:val="24"/>
              </w:rPr>
              <w:t>Содержание разделов (подразделов) проверки</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6F53D9" w:rsidRPr="00691888" w:rsidRDefault="006F53D9" w:rsidP="00691888">
            <w:pPr>
              <w:rPr>
                <w:sz w:val="24"/>
                <w:szCs w:val="24"/>
              </w:rPr>
            </w:pPr>
            <w:r w:rsidRPr="00691888">
              <w:rPr>
                <w:sz w:val="24"/>
                <w:szCs w:val="24"/>
              </w:rPr>
              <w:t>Аудиторские процедуры, комментарии</w:t>
            </w:r>
          </w:p>
        </w:tc>
      </w:tr>
      <w:tr w:rsidR="006F53D9">
        <w:trPr>
          <w:trHeight w:val="278"/>
        </w:trPr>
        <w:tc>
          <w:tcPr>
            <w:tcW w:w="9369" w:type="dxa"/>
            <w:gridSpan w:val="2"/>
            <w:tcBorders>
              <w:top w:val="single" w:sz="6" w:space="0" w:color="auto"/>
              <w:left w:val="single" w:sz="6" w:space="0" w:color="auto"/>
              <w:bottom w:val="single" w:sz="6" w:space="0" w:color="auto"/>
              <w:right w:val="single" w:sz="6" w:space="0" w:color="auto"/>
            </w:tcBorders>
            <w:shd w:val="clear" w:color="auto" w:fill="FFFFFF"/>
          </w:tcPr>
          <w:p w:rsidR="006F53D9" w:rsidRPr="00691888" w:rsidRDefault="006F53D9" w:rsidP="00691888">
            <w:pPr>
              <w:rPr>
                <w:sz w:val="24"/>
                <w:szCs w:val="24"/>
              </w:rPr>
            </w:pPr>
            <w:r w:rsidRPr="00691888">
              <w:rPr>
                <w:sz w:val="24"/>
                <w:szCs w:val="24"/>
              </w:rPr>
              <w:t>Аудит налога на доходы физических лиц</w:t>
            </w:r>
          </w:p>
        </w:tc>
      </w:tr>
      <w:tr w:rsidR="006F53D9">
        <w:trPr>
          <w:trHeight w:val="2928"/>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6F53D9" w:rsidRPr="00122CB6" w:rsidRDefault="006F53D9" w:rsidP="00B93E0F">
            <w:pPr>
              <w:spacing w:line="240" w:lineRule="auto"/>
              <w:jc w:val="both"/>
              <w:rPr>
                <w:sz w:val="24"/>
                <w:szCs w:val="24"/>
              </w:rPr>
            </w:pPr>
            <w:r w:rsidRPr="00122CB6">
              <w:rPr>
                <w:sz w:val="24"/>
                <w:szCs w:val="24"/>
              </w:rPr>
              <w:t>Проверка                              правильности формирования   налоговой   базы   по видам  дохода  и даты  фактического получения доходов, в том числе:</w:t>
            </w:r>
          </w:p>
          <w:p w:rsidR="006F53D9" w:rsidRPr="00122CB6" w:rsidRDefault="006F53D9" w:rsidP="00B93E0F">
            <w:pPr>
              <w:spacing w:line="240" w:lineRule="auto"/>
              <w:jc w:val="both"/>
              <w:rPr>
                <w:sz w:val="24"/>
                <w:szCs w:val="24"/>
              </w:rPr>
            </w:pPr>
            <w:r w:rsidRPr="00122CB6">
              <w:rPr>
                <w:sz w:val="24"/>
                <w:szCs w:val="24"/>
              </w:rPr>
              <w:t>доходы    от    источника    в    Российской</w:t>
            </w:r>
          </w:p>
          <w:p w:rsidR="006F53D9" w:rsidRPr="00122CB6" w:rsidRDefault="006F53D9" w:rsidP="00B93E0F">
            <w:pPr>
              <w:spacing w:line="240" w:lineRule="auto"/>
              <w:jc w:val="both"/>
              <w:rPr>
                <w:sz w:val="24"/>
                <w:szCs w:val="24"/>
              </w:rPr>
            </w:pPr>
            <w:r w:rsidRPr="00122CB6">
              <w:rPr>
                <w:sz w:val="24"/>
                <w:szCs w:val="24"/>
              </w:rPr>
              <w:t>Федерации</w:t>
            </w:r>
          </w:p>
          <w:p w:rsidR="006F53D9" w:rsidRPr="00122CB6" w:rsidRDefault="006F53D9" w:rsidP="00B93E0F">
            <w:pPr>
              <w:spacing w:line="240" w:lineRule="auto"/>
              <w:jc w:val="both"/>
              <w:rPr>
                <w:sz w:val="24"/>
                <w:szCs w:val="24"/>
              </w:rPr>
            </w:pPr>
            <w:r w:rsidRPr="00122CB6">
              <w:rPr>
                <w:sz w:val="24"/>
                <w:szCs w:val="24"/>
              </w:rPr>
              <w:t>доходы    от    источников    за    пределами</w:t>
            </w:r>
          </w:p>
          <w:p w:rsidR="006F53D9" w:rsidRPr="00122CB6" w:rsidRDefault="006F53D9" w:rsidP="00122CB6">
            <w:pPr>
              <w:spacing w:line="240" w:lineRule="auto"/>
              <w:jc w:val="left"/>
              <w:rPr>
                <w:sz w:val="24"/>
                <w:szCs w:val="24"/>
              </w:rPr>
            </w:pPr>
            <w:r w:rsidRPr="00122CB6">
              <w:rPr>
                <w:sz w:val="24"/>
                <w:szCs w:val="24"/>
              </w:rPr>
              <w:t>Российской Федерации</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6F53D9" w:rsidRPr="00122CB6" w:rsidRDefault="006F53D9" w:rsidP="00122CB6">
            <w:pPr>
              <w:spacing w:line="240" w:lineRule="auto"/>
              <w:jc w:val="both"/>
              <w:rPr>
                <w:sz w:val="24"/>
                <w:szCs w:val="24"/>
              </w:rPr>
            </w:pPr>
            <w:r w:rsidRPr="00122CB6">
              <w:rPr>
                <w:sz w:val="24"/>
                <w:szCs w:val="24"/>
              </w:rPr>
              <w:t>Общие аудиторские процедуры по проверке правильности формирования налогооблагаемой базы (проверка документов, бухгалтерских записей, запросы и подтверждение, подсчет и аналитические процедуры) проверка документов, запросы и подтверждение, расчеты и аналитические процедуры к таким доходам относятся в том числе дивиденды и проценты, полученные от иностранной организации, страховые выплаты при наступлении страхового случая, доходы от использования за пределами Российской Федерации авторских или иных смежных прав, доходы, полученные от сдачи в аренду или иного использования имущества, находящегося за пределами Российской Федерации, вознаграждение за выполнение трудовых или иных обязанностей, выполненную работу, оказанную услугу, совершение действия за пределами Российской Федерации</w:t>
            </w:r>
          </w:p>
        </w:tc>
      </w:tr>
      <w:tr w:rsidR="006F53D9">
        <w:trPr>
          <w:trHeight w:val="292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6F53D9" w:rsidRPr="00122CB6" w:rsidRDefault="006F53D9" w:rsidP="00122CB6">
            <w:pPr>
              <w:spacing w:line="240" w:lineRule="auto"/>
              <w:jc w:val="both"/>
              <w:rPr>
                <w:sz w:val="24"/>
                <w:szCs w:val="24"/>
              </w:rPr>
            </w:pPr>
            <w:r w:rsidRPr="00122CB6">
              <w:rPr>
                <w:sz w:val="24"/>
                <w:szCs w:val="24"/>
              </w:rPr>
              <w:t>Проверка правильности определения налоговой базы и даты фактического получения   доходов   в   натуральной форме</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6F53D9" w:rsidRPr="00122CB6" w:rsidRDefault="006F53D9" w:rsidP="00122CB6">
            <w:pPr>
              <w:spacing w:line="240" w:lineRule="auto"/>
              <w:jc w:val="both"/>
              <w:rPr>
                <w:sz w:val="24"/>
                <w:szCs w:val="24"/>
              </w:rPr>
            </w:pPr>
            <w:r w:rsidRPr="00122CB6">
              <w:rPr>
                <w:sz w:val="24"/>
                <w:szCs w:val="24"/>
              </w:rPr>
              <w:t>При получении налогоплательщиком дохода от организаций и индивидуальных предпринимателей в натуральной форме в виде товаров (работ, услуг), иного имущества налоговая база исчисляется как стоимость этих товаров (работ, услуг), иного имущества исходя из их цен, определяемых в порядке, предусмотренном ст. 40 НК РФ. К доходам, полученным налогоплательщиком в натуральной форме, в частности, относятся: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 оплата труда в натуральной форме</w:t>
            </w:r>
          </w:p>
        </w:tc>
      </w:tr>
      <w:tr w:rsidR="006F53D9">
        <w:trPr>
          <w:trHeigh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6F53D9" w:rsidRPr="00122CB6" w:rsidRDefault="006F53D9" w:rsidP="00122CB6">
            <w:pPr>
              <w:spacing w:line="240" w:lineRule="auto"/>
              <w:rPr>
                <w:sz w:val="24"/>
                <w:szCs w:val="24"/>
              </w:rPr>
            </w:pPr>
            <w:r w:rsidRPr="00122CB6">
              <w:rPr>
                <w:sz w:val="24"/>
                <w:szCs w:val="24"/>
              </w:rPr>
              <w:t>Проверка правильности определения налоговой базы и даты фактического</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6F53D9" w:rsidRPr="00122CB6" w:rsidRDefault="006F53D9" w:rsidP="00122CB6">
            <w:pPr>
              <w:spacing w:line="240" w:lineRule="auto"/>
              <w:rPr>
                <w:sz w:val="24"/>
                <w:szCs w:val="24"/>
              </w:rPr>
            </w:pPr>
            <w:r w:rsidRPr="00122CB6">
              <w:rPr>
                <w:sz w:val="24"/>
                <w:szCs w:val="24"/>
              </w:rPr>
              <w:t>Налоговая база в виде доходов, полученных в виде материальной выгоды, определяется как превышение суммы</w:t>
            </w:r>
          </w:p>
        </w:tc>
      </w:tr>
      <w:tr w:rsidR="00F827E3">
        <w:trPr>
          <w:trHeigh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122CB6">
            <w:pPr>
              <w:spacing w:line="240" w:lineRule="auto"/>
              <w:jc w:val="both"/>
              <w:rPr>
                <w:sz w:val="24"/>
                <w:szCs w:val="24"/>
              </w:rPr>
            </w:pPr>
            <w:r w:rsidRPr="00122CB6">
              <w:rPr>
                <w:sz w:val="24"/>
                <w:szCs w:val="24"/>
              </w:rPr>
              <w:t>Содержание разделов (подразделов) проверки</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122CB6">
            <w:pPr>
              <w:spacing w:line="240" w:lineRule="auto"/>
              <w:jc w:val="both"/>
              <w:rPr>
                <w:sz w:val="24"/>
                <w:szCs w:val="24"/>
              </w:rPr>
            </w:pPr>
            <w:r w:rsidRPr="00122CB6">
              <w:rPr>
                <w:sz w:val="24"/>
                <w:szCs w:val="24"/>
              </w:rPr>
              <w:t>Аудиторские процедуры, комментарии</w:t>
            </w:r>
          </w:p>
        </w:tc>
      </w:tr>
      <w:tr w:rsidR="00F827E3">
        <w:trPr>
          <w:trHeigh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122CB6">
            <w:pPr>
              <w:spacing w:line="240" w:lineRule="auto"/>
              <w:jc w:val="both"/>
              <w:rPr>
                <w:sz w:val="24"/>
                <w:szCs w:val="24"/>
              </w:rPr>
            </w:pPr>
            <w:r w:rsidRPr="00122CB6">
              <w:rPr>
                <w:sz w:val="24"/>
                <w:szCs w:val="24"/>
              </w:rPr>
              <w:t>получения         доходов         в         виде материальной  выгоды,  в  том  числе полученной        от        экономии        на процентах             за             пользование налогоплательщиком             заемными средствами, от приобретения товаров (работ,   услуг)   у   взаимозависимых лиц и от приобретения ценных бумаг</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122CB6">
            <w:pPr>
              <w:spacing w:line="240" w:lineRule="auto"/>
              <w:jc w:val="both"/>
              <w:rPr>
                <w:sz w:val="24"/>
                <w:szCs w:val="24"/>
              </w:rPr>
            </w:pPr>
            <w:r w:rsidRPr="00122CB6">
              <w:rPr>
                <w:sz w:val="24"/>
                <w:szCs w:val="24"/>
              </w:rPr>
              <w:t>процентов за пользование заемными средствами, выраженными в рублях, исчисленной исходя из трех четвертых действующей ставки рефинансирования, установленной ЦБ на дату получения таких средств, над суммой процентов, исчисленной исходя из условий договора, а также как превышение суммы процентов за пользование заемными средствами, выраженными в иностранной валюте, исчисленной исходя из 9 % годовых, над суммой процентов, исчисленной исходя из условий договора</w:t>
            </w:r>
          </w:p>
        </w:tc>
      </w:tr>
      <w:tr w:rsidR="00F827E3">
        <w:trPr>
          <w:trHeigh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122CB6">
            <w:pPr>
              <w:spacing w:line="240" w:lineRule="auto"/>
              <w:jc w:val="both"/>
              <w:rPr>
                <w:sz w:val="24"/>
                <w:szCs w:val="24"/>
              </w:rPr>
            </w:pPr>
            <w:r w:rsidRPr="00122CB6">
              <w:rPr>
                <w:sz w:val="24"/>
                <w:szCs w:val="24"/>
              </w:rPr>
              <w:t>Проверка правильности определения налоговой          базы          с          учетом особенностей, указанных в ст. 213 НК РФ         (доходы         по         договорам страхования    и    негосударственного пенсионного обеспечения, а также от долевого участия в организации)</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122CB6">
            <w:pPr>
              <w:spacing w:line="240" w:lineRule="auto"/>
              <w:jc w:val="both"/>
              <w:rPr>
                <w:sz w:val="24"/>
                <w:szCs w:val="24"/>
              </w:rPr>
            </w:pPr>
            <w:r w:rsidRPr="00122CB6">
              <w:rPr>
                <w:sz w:val="24"/>
                <w:szCs w:val="24"/>
              </w:rPr>
              <w:t>Проверка документов, запросы и подтверждение, расчеты и аналитические процедуры</w:t>
            </w:r>
          </w:p>
        </w:tc>
      </w:tr>
      <w:tr w:rsidR="00F827E3">
        <w:trPr>
          <w:trHeigh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122CB6">
            <w:pPr>
              <w:spacing w:line="240" w:lineRule="auto"/>
              <w:jc w:val="both"/>
              <w:rPr>
                <w:sz w:val="24"/>
                <w:szCs w:val="24"/>
              </w:rPr>
            </w:pPr>
            <w:r w:rsidRPr="00122CB6">
              <w:rPr>
                <w:sz w:val="24"/>
                <w:szCs w:val="24"/>
              </w:rPr>
              <w:t>Проверка        наличия        документов, подтверждающих право применения налоговых    вычетов,    в    том    числе стандартных и профессиональных</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122CB6">
            <w:pPr>
              <w:spacing w:line="240" w:lineRule="auto"/>
              <w:jc w:val="both"/>
              <w:rPr>
                <w:sz w:val="24"/>
                <w:szCs w:val="24"/>
              </w:rPr>
            </w:pPr>
            <w:r w:rsidRPr="00122CB6">
              <w:rPr>
                <w:sz w:val="24"/>
                <w:szCs w:val="24"/>
              </w:rPr>
              <w:t>Стандартные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 Профессиональные налоговые вычеты предоставляются в сумме фактически произведенных и документально подтвержденных расходов, непосредственно связанных с извлечением доходов</w:t>
            </w:r>
          </w:p>
        </w:tc>
      </w:tr>
      <w:tr w:rsidR="00F827E3">
        <w:trPr>
          <w:trHeigh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F5454A">
            <w:pPr>
              <w:spacing w:line="240" w:lineRule="auto"/>
              <w:jc w:val="both"/>
              <w:rPr>
                <w:sz w:val="24"/>
                <w:szCs w:val="24"/>
              </w:rPr>
            </w:pPr>
            <w:r w:rsidRPr="00122CB6">
              <w:rPr>
                <w:sz w:val="24"/>
                <w:szCs w:val="24"/>
              </w:rPr>
              <w:t>Проверка правильности определения налоговой базы с учетом налоговых вычетов</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122CB6">
            <w:pPr>
              <w:spacing w:line="240" w:lineRule="auto"/>
              <w:jc w:val="both"/>
              <w:rPr>
                <w:sz w:val="24"/>
                <w:szCs w:val="24"/>
              </w:rPr>
            </w:pPr>
            <w:r w:rsidRPr="00122CB6">
              <w:rPr>
                <w:sz w:val="24"/>
                <w:szCs w:val="24"/>
              </w:rPr>
              <w:t>Проверка документов, запросы и подтверждение, расчеты и аналитические процедуры</w:t>
            </w:r>
          </w:p>
        </w:tc>
      </w:tr>
      <w:tr w:rsidR="00F827E3">
        <w:trPr>
          <w:trHeigh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F5454A">
            <w:pPr>
              <w:spacing w:line="240" w:lineRule="auto"/>
              <w:jc w:val="both"/>
              <w:rPr>
                <w:sz w:val="24"/>
                <w:szCs w:val="24"/>
              </w:rPr>
            </w:pPr>
            <w:r w:rsidRPr="00122CB6">
              <w:rPr>
                <w:sz w:val="24"/>
                <w:szCs w:val="24"/>
              </w:rPr>
              <w:t>Проверка правильности определения доходов,              не              подлежащих налогообложению    (освобождаемых от     налогообложения)      по     видам доходов (ст. 217 НК РФ)</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C4657A" w:rsidP="00122CB6">
            <w:pPr>
              <w:spacing w:line="240" w:lineRule="auto"/>
              <w:jc w:val="both"/>
              <w:rPr>
                <w:sz w:val="24"/>
                <w:szCs w:val="24"/>
              </w:rPr>
            </w:pPr>
            <w:r w:rsidRPr="00122CB6">
              <w:rPr>
                <w:sz w:val="24"/>
                <w:szCs w:val="24"/>
              </w:rPr>
              <w:t>Проверка документов в соответствии с законодательством</w:t>
            </w:r>
          </w:p>
        </w:tc>
      </w:tr>
      <w:tr w:rsidR="00F827E3">
        <w:trPr>
          <w:trHeigh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B93E0F">
            <w:pPr>
              <w:spacing w:line="240" w:lineRule="auto"/>
              <w:jc w:val="both"/>
              <w:rPr>
                <w:sz w:val="24"/>
                <w:szCs w:val="24"/>
              </w:rPr>
            </w:pPr>
            <w:r w:rsidRPr="00122CB6">
              <w:rPr>
                <w:sz w:val="24"/>
                <w:szCs w:val="24"/>
              </w:rPr>
              <w:t>Проверка правильности применения налоговых ставок (ст. 224 НК РФ)</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F827E3" w:rsidRPr="00122CB6" w:rsidRDefault="00F827E3" w:rsidP="00B93E0F">
            <w:pPr>
              <w:spacing w:line="240" w:lineRule="auto"/>
              <w:jc w:val="both"/>
              <w:rPr>
                <w:sz w:val="24"/>
                <w:szCs w:val="24"/>
              </w:rPr>
            </w:pPr>
            <w:r w:rsidRPr="00122CB6">
              <w:rPr>
                <w:sz w:val="24"/>
                <w:szCs w:val="24"/>
              </w:rPr>
              <w:t>Аудитор должен учитывать, что налоговая ставка установлена в размере 13 %. Однако ставка в размере 35 % установлена в отношении, следующих доходов: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4000 руб. Налоговая ставка устанавливается в размере 30 % в отношении всех доходов, получаемых физическими лицами, не являющимися налоговыми резидентами Российской Федерации. Налоговая ставка устанавливается в размере 9 % в отношении доходов от долевого участия в деятельности организаций, полученных в виде дивидендов</w:t>
            </w:r>
          </w:p>
        </w:tc>
      </w:tr>
      <w:tr w:rsidR="00F827E3">
        <w:trPr>
          <w:trHeigh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F827E3" w:rsidRPr="00B93E0F" w:rsidRDefault="00F827E3" w:rsidP="00B93E0F">
            <w:pPr>
              <w:jc w:val="both"/>
              <w:rPr>
                <w:sz w:val="24"/>
                <w:szCs w:val="24"/>
              </w:rPr>
            </w:pPr>
            <w:r w:rsidRPr="00B93E0F">
              <w:rPr>
                <w:sz w:val="24"/>
                <w:szCs w:val="24"/>
              </w:rPr>
              <w:t>Проверка правильности исчисления, соблюдения      порядка      и      сроков уплаты    налога    организацией    как налоговым агентом</w:t>
            </w:r>
          </w:p>
        </w:tc>
        <w:tc>
          <w:tcPr>
            <w:tcW w:w="5582" w:type="dxa"/>
            <w:tcBorders>
              <w:top w:val="single" w:sz="6" w:space="0" w:color="auto"/>
              <w:left w:val="single" w:sz="6" w:space="0" w:color="auto"/>
              <w:bottom w:val="single" w:sz="6" w:space="0" w:color="auto"/>
              <w:right w:val="single" w:sz="6" w:space="0" w:color="auto"/>
            </w:tcBorders>
            <w:shd w:val="clear" w:color="auto" w:fill="FFFFFF"/>
          </w:tcPr>
          <w:p w:rsidR="00F827E3" w:rsidRPr="00B93E0F" w:rsidRDefault="00F827E3" w:rsidP="00B93E0F">
            <w:pPr>
              <w:jc w:val="both"/>
              <w:rPr>
                <w:sz w:val="24"/>
                <w:szCs w:val="24"/>
              </w:rPr>
            </w:pPr>
            <w:r w:rsidRPr="00B93E0F">
              <w:rPr>
                <w:sz w:val="24"/>
                <w:szCs w:val="24"/>
              </w:rPr>
              <w:t>Расчет сумм НДФЛ, проверка правильности заполнения налоговых карточек и справок о доходах физического лица</w:t>
            </w:r>
          </w:p>
        </w:tc>
      </w:tr>
    </w:tbl>
    <w:p w:rsidR="006F53D9" w:rsidRDefault="006F53D9" w:rsidP="00E90D2A">
      <w:pPr>
        <w:pStyle w:val="a4"/>
      </w:pPr>
    </w:p>
    <w:p w:rsidR="006F53D9" w:rsidRDefault="006F53D9" w:rsidP="00691888">
      <w:pPr>
        <w:pStyle w:val="a4"/>
        <w:ind w:firstLine="425"/>
        <w:jc w:val="both"/>
      </w:pPr>
      <w:r w:rsidRPr="006F53D9">
        <w:t>Общий план и программа проведения аудиторской проверки статьи финансовой (бухгалтерской) отчетности "Задолженность по налогам и сборам (налог на доходы физических лиц)" разработаны в соответствии с федеральным правилом (стандартом) № 3 "Планирование аудита", утвержденным постановлением Правительства Российской Федерации от 23.09.2002 № 696</w:t>
      </w:r>
      <w:r>
        <w:t xml:space="preserve"> ( с изм. и доп.)</w:t>
      </w:r>
      <w:r w:rsidRPr="006F53D9">
        <w:t>, и внутрифирменным стандартом аудита "Планирование аудита".</w:t>
      </w:r>
    </w:p>
    <w:p w:rsidR="00A97D3D" w:rsidRDefault="00A97D3D" w:rsidP="00691888">
      <w:pPr>
        <w:pStyle w:val="a4"/>
        <w:ind w:firstLine="425"/>
        <w:jc w:val="both"/>
      </w:pPr>
      <w:r>
        <w:t>Программа аудиторской проверки включает ряд аудиторских процедур, с помощью которых осуществляется проверка:</w:t>
      </w:r>
    </w:p>
    <w:p w:rsidR="00A97D3D" w:rsidRDefault="00A97D3D" w:rsidP="00691888">
      <w:pPr>
        <w:pStyle w:val="a4"/>
        <w:numPr>
          <w:ilvl w:val="0"/>
          <w:numId w:val="6"/>
        </w:numPr>
        <w:jc w:val="both"/>
      </w:pPr>
      <w:r>
        <w:t>наличия документов, подтверждающих право на налоговые вычеты по налогу на доходы физических лиц;</w:t>
      </w:r>
    </w:p>
    <w:p w:rsidR="00A97D3D" w:rsidRDefault="00A97D3D" w:rsidP="00691888">
      <w:pPr>
        <w:pStyle w:val="a4"/>
        <w:numPr>
          <w:ilvl w:val="0"/>
          <w:numId w:val="6"/>
        </w:numPr>
        <w:jc w:val="both"/>
      </w:pPr>
      <w:r>
        <w:t>формирования налогооблагаемой базы по НДФЛ;</w:t>
      </w:r>
    </w:p>
    <w:p w:rsidR="00A97D3D" w:rsidRDefault="00A97D3D" w:rsidP="00691888">
      <w:pPr>
        <w:pStyle w:val="a4"/>
        <w:numPr>
          <w:ilvl w:val="0"/>
          <w:numId w:val="6"/>
        </w:numPr>
        <w:jc w:val="both"/>
      </w:pPr>
      <w:r>
        <w:t>документального оформления формирования налогооблагаемой базы по НДФЛ;</w:t>
      </w:r>
    </w:p>
    <w:p w:rsidR="00A97D3D" w:rsidRDefault="00A97D3D" w:rsidP="00691888">
      <w:pPr>
        <w:pStyle w:val="a4"/>
        <w:numPr>
          <w:ilvl w:val="0"/>
          <w:numId w:val="6"/>
        </w:numPr>
        <w:jc w:val="both"/>
      </w:pPr>
      <w:r>
        <w:t>правильности применения налоговых ставок по НДФЛ по отдельным видам доходов;</w:t>
      </w:r>
    </w:p>
    <w:p w:rsidR="00A97D3D" w:rsidRDefault="00A97D3D" w:rsidP="00691888">
      <w:pPr>
        <w:pStyle w:val="a4"/>
        <w:numPr>
          <w:ilvl w:val="0"/>
          <w:numId w:val="6"/>
        </w:numPr>
        <w:jc w:val="both"/>
      </w:pPr>
      <w:r>
        <w:t>правильности ведения налогового учета расчетов с бюджетом по НДФЛ;</w:t>
      </w:r>
    </w:p>
    <w:p w:rsidR="00A97D3D" w:rsidRDefault="00A97D3D" w:rsidP="00691888">
      <w:pPr>
        <w:pStyle w:val="a4"/>
        <w:numPr>
          <w:ilvl w:val="0"/>
          <w:numId w:val="6"/>
        </w:numPr>
        <w:jc w:val="both"/>
      </w:pPr>
      <w:r>
        <w:t>правильности организации синтетического учета расчетов с бюджетом по НДФЛ;</w:t>
      </w:r>
    </w:p>
    <w:p w:rsidR="00A97D3D" w:rsidRDefault="00A97D3D" w:rsidP="00691888">
      <w:pPr>
        <w:pStyle w:val="a4"/>
        <w:numPr>
          <w:ilvl w:val="0"/>
          <w:numId w:val="6"/>
        </w:numPr>
        <w:jc w:val="both"/>
      </w:pPr>
      <w:r>
        <w:t>полноты и своевременности перечисления НДФЛ в бюджет;</w:t>
      </w:r>
    </w:p>
    <w:p w:rsidR="00A97D3D" w:rsidRDefault="00A97D3D" w:rsidP="00691888">
      <w:pPr>
        <w:pStyle w:val="a4"/>
        <w:numPr>
          <w:ilvl w:val="0"/>
          <w:numId w:val="6"/>
        </w:numPr>
        <w:jc w:val="both"/>
      </w:pPr>
      <w:r>
        <w:t>отчетности по налогу на НДФЛ.</w:t>
      </w:r>
    </w:p>
    <w:p w:rsidR="00A97D3D" w:rsidRDefault="00A97D3D" w:rsidP="00691888">
      <w:pPr>
        <w:pStyle w:val="a4"/>
        <w:ind w:firstLine="314"/>
        <w:jc w:val="both"/>
      </w:pPr>
      <w:r>
        <w:t>В приложениях к Внутреннему стандарту приводятся макеты следующих рабочих документов аудитора:</w:t>
      </w:r>
    </w:p>
    <w:p w:rsidR="00691888" w:rsidRDefault="00A97D3D" w:rsidP="00691888">
      <w:pPr>
        <w:pStyle w:val="a4"/>
        <w:numPr>
          <w:ilvl w:val="0"/>
          <w:numId w:val="7"/>
        </w:numPr>
        <w:jc w:val="both"/>
      </w:pPr>
      <w:r>
        <w:t>аудит документального оформления предоставления налоговых вычетов по НДФЛ;</w:t>
      </w:r>
    </w:p>
    <w:p w:rsidR="00A97D3D" w:rsidRDefault="00A97D3D" w:rsidP="00691888">
      <w:pPr>
        <w:pStyle w:val="a4"/>
        <w:numPr>
          <w:ilvl w:val="0"/>
          <w:numId w:val="7"/>
        </w:numPr>
        <w:jc w:val="both"/>
      </w:pPr>
      <w:r>
        <w:t>аудит налогооблагаемой базы и величины НДФЛ;</w:t>
      </w:r>
    </w:p>
    <w:p w:rsidR="00A97D3D" w:rsidRDefault="00691888" w:rsidP="00691888">
      <w:pPr>
        <w:pStyle w:val="a4"/>
        <w:numPr>
          <w:ilvl w:val="0"/>
          <w:numId w:val="7"/>
        </w:numPr>
        <w:jc w:val="both"/>
      </w:pPr>
      <w:r>
        <w:t>а</w:t>
      </w:r>
      <w:r w:rsidR="00A97D3D">
        <w:t>удит оформления первичных учетных документов по учету доходов, облагаемых НДФЛ;</w:t>
      </w:r>
    </w:p>
    <w:p w:rsidR="00A97D3D" w:rsidRDefault="00A97D3D" w:rsidP="00691888">
      <w:pPr>
        <w:pStyle w:val="a4"/>
        <w:numPr>
          <w:ilvl w:val="0"/>
          <w:numId w:val="7"/>
        </w:numPr>
        <w:jc w:val="both"/>
      </w:pPr>
      <w:r>
        <w:t>свод нарушений, выявленных в результате формальной проверки первичных учетных документов;</w:t>
      </w:r>
    </w:p>
    <w:p w:rsidR="00A97D3D" w:rsidRDefault="00A97D3D" w:rsidP="00691888">
      <w:pPr>
        <w:pStyle w:val="a4"/>
        <w:numPr>
          <w:ilvl w:val="0"/>
          <w:numId w:val="7"/>
        </w:numPr>
        <w:jc w:val="both"/>
      </w:pPr>
      <w:r>
        <w:t>свод нарушений, выявленных в ходе арифметической проверки первичных документов;</w:t>
      </w:r>
    </w:p>
    <w:p w:rsidR="00A97D3D" w:rsidRDefault="00A97D3D" w:rsidP="00691888">
      <w:pPr>
        <w:pStyle w:val="a4"/>
        <w:numPr>
          <w:ilvl w:val="0"/>
          <w:numId w:val="7"/>
        </w:numPr>
        <w:jc w:val="both"/>
      </w:pPr>
      <w:r>
        <w:t>схема аудита синтетического и аналитического учета;</w:t>
      </w:r>
    </w:p>
    <w:p w:rsidR="00A97D3D" w:rsidRDefault="00A97D3D" w:rsidP="00691888">
      <w:pPr>
        <w:pStyle w:val="a4"/>
        <w:numPr>
          <w:ilvl w:val="0"/>
          <w:numId w:val="7"/>
        </w:numPr>
        <w:jc w:val="both"/>
      </w:pPr>
      <w:r>
        <w:t>ведомость аудита организации синтетического учета расчетов с бюджетом по НДФЛ;</w:t>
      </w:r>
    </w:p>
    <w:p w:rsidR="00A97D3D" w:rsidRDefault="00A97D3D" w:rsidP="00691888">
      <w:pPr>
        <w:pStyle w:val="a4"/>
        <w:numPr>
          <w:ilvl w:val="0"/>
          <w:numId w:val="7"/>
        </w:numPr>
        <w:jc w:val="both"/>
      </w:pPr>
      <w:r>
        <w:t>результаты    проверки   тождественности   остатков    и   оборотов    в   регистрах    синтетического    и аналитического учета;</w:t>
      </w:r>
    </w:p>
    <w:p w:rsidR="00A97D3D" w:rsidRDefault="00A97D3D" w:rsidP="00691888">
      <w:pPr>
        <w:pStyle w:val="a4"/>
        <w:numPr>
          <w:ilvl w:val="0"/>
          <w:numId w:val="7"/>
        </w:numPr>
        <w:jc w:val="both"/>
      </w:pPr>
      <w:r>
        <w:t>сводная ведомость исправления выявленных нарушений;</w:t>
      </w:r>
    </w:p>
    <w:p w:rsidR="006F53D9" w:rsidRDefault="00A97D3D" w:rsidP="00691888">
      <w:pPr>
        <w:pStyle w:val="a4"/>
        <w:numPr>
          <w:ilvl w:val="0"/>
          <w:numId w:val="7"/>
        </w:numPr>
        <w:jc w:val="both"/>
      </w:pPr>
      <w:r>
        <w:t>свод рекомендаций, разработанных по результатам аудита.</w:t>
      </w:r>
    </w:p>
    <w:p w:rsidR="00C4657A" w:rsidRDefault="00C4657A" w:rsidP="00B703D6">
      <w:pPr>
        <w:pStyle w:val="a4"/>
        <w:ind w:firstLine="425"/>
        <w:jc w:val="both"/>
      </w:pPr>
      <w:r>
        <w:t>На заключительном этапе производится оформление результатов налогового аудита по НДФЛ, включающее анализ выполнения программы аудита, классификацию выявленных ошибок и нарушений, обобщение результатов проверки.</w:t>
      </w:r>
    </w:p>
    <w:p w:rsidR="005C53B5" w:rsidRDefault="00C4657A" w:rsidP="00B703D6">
      <w:pPr>
        <w:pStyle w:val="a4"/>
        <w:ind w:firstLine="425"/>
        <w:jc w:val="both"/>
      </w:pPr>
      <w:r>
        <w:t>Внутри каждого подраздела аудитор проводит тесты, утвержденные внутрифирменным стандартам ООО «Аудит-Информ» №.02-09/2010 « Тест</w:t>
      </w:r>
      <w:r w:rsidR="00603151">
        <w:t>ы</w:t>
      </w:r>
      <w:r>
        <w:t xml:space="preserve"> включа</w:t>
      </w:r>
      <w:r w:rsidR="00603151">
        <w:t>ю</w:t>
      </w:r>
      <w:r>
        <w:t>т предмет тестирования, вывод о соответствии действующему законодательству, замечания с конкретными примерами, рекомендации по исправлению.</w:t>
      </w:r>
      <w:r w:rsidR="005C53B5">
        <w:t xml:space="preserve"> </w:t>
      </w:r>
    </w:p>
    <w:p w:rsidR="005C53B5" w:rsidRDefault="005C53B5" w:rsidP="005C53B5">
      <w:pPr>
        <w:pStyle w:val="a4"/>
        <w:ind w:firstLine="425"/>
      </w:pPr>
    </w:p>
    <w:p w:rsidR="005C53B5" w:rsidRDefault="005C53B5" w:rsidP="005C53B5">
      <w:pPr>
        <w:pStyle w:val="a4"/>
        <w:ind w:firstLine="425"/>
      </w:pPr>
    </w:p>
    <w:p w:rsidR="005C53B5" w:rsidRDefault="005C53B5" w:rsidP="005C53B5">
      <w:pPr>
        <w:pStyle w:val="a4"/>
        <w:ind w:firstLine="425"/>
      </w:pPr>
    </w:p>
    <w:p w:rsidR="005C53B5" w:rsidRDefault="005C53B5" w:rsidP="005C53B5">
      <w:pPr>
        <w:pStyle w:val="a4"/>
        <w:ind w:firstLine="425"/>
      </w:pPr>
    </w:p>
    <w:p w:rsidR="005C53B5" w:rsidRDefault="005C53B5" w:rsidP="005C53B5">
      <w:pPr>
        <w:pStyle w:val="a4"/>
        <w:ind w:firstLine="425"/>
      </w:pPr>
    </w:p>
    <w:p w:rsidR="005C53B5" w:rsidRDefault="005C53B5" w:rsidP="005C53B5">
      <w:pPr>
        <w:pStyle w:val="a4"/>
        <w:ind w:firstLine="425"/>
      </w:pPr>
    </w:p>
    <w:p w:rsidR="005C53B5" w:rsidRDefault="005C53B5" w:rsidP="005C53B5">
      <w:pPr>
        <w:pStyle w:val="a4"/>
        <w:ind w:firstLine="425"/>
      </w:pPr>
    </w:p>
    <w:p w:rsidR="005C53B5" w:rsidRDefault="005C53B5" w:rsidP="005C53B5">
      <w:pPr>
        <w:pStyle w:val="a4"/>
        <w:ind w:firstLine="425"/>
      </w:pPr>
    </w:p>
    <w:p w:rsidR="005C53B5" w:rsidRDefault="005C53B5" w:rsidP="005C53B5">
      <w:pPr>
        <w:pStyle w:val="a4"/>
        <w:ind w:firstLine="425"/>
      </w:pPr>
    </w:p>
    <w:p w:rsidR="005C53B5" w:rsidRDefault="005C53B5" w:rsidP="005C53B5">
      <w:pPr>
        <w:pStyle w:val="a4"/>
        <w:ind w:firstLine="425"/>
      </w:pPr>
    </w:p>
    <w:p w:rsidR="00FE4F82" w:rsidRDefault="00FE4F82" w:rsidP="005C53B5">
      <w:pPr>
        <w:pStyle w:val="a4"/>
        <w:ind w:firstLine="425"/>
      </w:pPr>
    </w:p>
    <w:p w:rsidR="00C4657A" w:rsidRDefault="005C53B5" w:rsidP="005C53B5">
      <w:pPr>
        <w:pStyle w:val="a4"/>
        <w:ind w:firstLine="425"/>
        <w:rPr>
          <w:b/>
        </w:rPr>
      </w:pPr>
      <w:r w:rsidRPr="005C53B5">
        <w:rPr>
          <w:b/>
        </w:rPr>
        <w:t>Список использованной литературы</w:t>
      </w:r>
    </w:p>
    <w:p w:rsidR="00FE4F82" w:rsidRDefault="00FE4F82" w:rsidP="005C53B5">
      <w:pPr>
        <w:pStyle w:val="a4"/>
        <w:ind w:firstLine="425"/>
        <w:rPr>
          <w:b/>
        </w:rPr>
      </w:pPr>
    </w:p>
    <w:p w:rsidR="00FE4F82" w:rsidRDefault="00FE4F82" w:rsidP="00FE4F82">
      <w:pPr>
        <w:pStyle w:val="a4"/>
        <w:numPr>
          <w:ilvl w:val="0"/>
          <w:numId w:val="19"/>
        </w:numPr>
        <w:jc w:val="both"/>
      </w:pPr>
      <w:r>
        <w:t xml:space="preserve">Методика аудиторской деятельности «Налоговый аудит и другие сопутствующие услуги по налоговым вопросам. Общение с налоговыми органами» (Одобрена Комиссией по аудиторской деятельности при Президенте РФ 11 июля </w:t>
      </w:r>
      <w:smartTag w:uri="urn:schemas-microsoft-com:office:smarttags" w:element="metricconverter">
        <w:smartTagPr>
          <w:attr w:name="ProductID" w:val="2000 Г"/>
        </w:smartTagPr>
        <w:r>
          <w:t>2000 г</w:t>
        </w:r>
      </w:smartTag>
      <w:r>
        <w:t>. Протокол №1)</w:t>
      </w:r>
    </w:p>
    <w:p w:rsidR="00FE4F82" w:rsidRDefault="00FE4F82" w:rsidP="00FE4F82">
      <w:pPr>
        <w:pStyle w:val="a4"/>
        <w:numPr>
          <w:ilvl w:val="0"/>
          <w:numId w:val="19"/>
        </w:numPr>
        <w:jc w:val="both"/>
      </w:pPr>
      <w:r>
        <w:t>Постановление Правительства РФ от 2309.202 №696 (Ред. от 19.11.2008) «Об Утверждении Федеральных Правил (Стандаров) Аудиторской деятельности»</w:t>
      </w:r>
    </w:p>
    <w:p w:rsidR="00FE4F82" w:rsidRDefault="00FE4F82" w:rsidP="00FE4F82">
      <w:pPr>
        <w:pStyle w:val="a4"/>
        <w:numPr>
          <w:ilvl w:val="0"/>
          <w:numId w:val="19"/>
        </w:numPr>
        <w:jc w:val="both"/>
      </w:pPr>
      <w:r>
        <w:t>Бычкова С.М.,Фомина Т.Ю. Аудит единого социального налога и налога на доходы физических лиц // Аудиторские ведомости. – 2006 -№11</w:t>
      </w:r>
    </w:p>
    <w:p w:rsidR="00FE4F82" w:rsidRDefault="00FE4F82" w:rsidP="00FE4F82">
      <w:pPr>
        <w:pStyle w:val="a4"/>
        <w:numPr>
          <w:ilvl w:val="0"/>
          <w:numId w:val="19"/>
        </w:numPr>
        <w:jc w:val="both"/>
      </w:pPr>
      <w:r>
        <w:t>Суворовова С.П., Ковалева А.М. Внутрифирменный стандарт Налогового Аудита // Аудиторские ведомости -2008-№11</w:t>
      </w:r>
    </w:p>
    <w:p w:rsidR="00FE4F82" w:rsidRPr="00FE4F82" w:rsidRDefault="00FE4F82" w:rsidP="00FE4F82">
      <w:pPr>
        <w:pStyle w:val="a4"/>
        <w:ind w:firstLine="425"/>
        <w:jc w:val="both"/>
      </w:pPr>
    </w:p>
    <w:p w:rsidR="005C53B5" w:rsidRPr="005C53B5" w:rsidRDefault="005C53B5" w:rsidP="005C53B5">
      <w:pPr>
        <w:pStyle w:val="20"/>
        <w:spacing w:line="360" w:lineRule="auto"/>
        <w:ind w:firstLine="0"/>
        <w:jc w:val="both"/>
        <w:rPr>
          <w:caps/>
        </w:rPr>
      </w:pPr>
    </w:p>
    <w:p w:rsidR="003C1A05" w:rsidRDefault="003C1A05" w:rsidP="00B93E0F">
      <w:pPr>
        <w:pStyle w:val="20"/>
        <w:ind w:left="0" w:firstLine="0"/>
        <w:jc w:val="both"/>
        <w:rPr>
          <w:rFonts w:ascii="Arial" w:hAnsi="Arial"/>
          <w:b/>
          <w:caps/>
          <w:sz w:val="18"/>
        </w:rPr>
      </w:pPr>
    </w:p>
    <w:p w:rsidR="00B93E0F" w:rsidRDefault="00B93E0F" w:rsidP="00B93E0F">
      <w:pPr>
        <w:pStyle w:val="20"/>
        <w:ind w:left="0" w:firstLine="0"/>
        <w:jc w:val="both"/>
        <w:rPr>
          <w:rFonts w:ascii="Arial" w:hAnsi="Arial"/>
          <w:b/>
          <w:caps/>
          <w:sz w:val="18"/>
        </w:rPr>
      </w:pPr>
    </w:p>
    <w:p w:rsidR="00B93E0F" w:rsidRDefault="00B93E0F" w:rsidP="00B93E0F">
      <w:pPr>
        <w:pStyle w:val="20"/>
        <w:ind w:left="0" w:firstLine="0"/>
        <w:jc w:val="both"/>
        <w:rPr>
          <w:rFonts w:ascii="Arial" w:hAnsi="Arial"/>
          <w:b/>
          <w:caps/>
          <w:sz w:val="18"/>
        </w:rPr>
      </w:pPr>
    </w:p>
    <w:p w:rsidR="00B93E0F" w:rsidRDefault="00B93E0F" w:rsidP="00B93E0F">
      <w:pPr>
        <w:pStyle w:val="20"/>
        <w:ind w:left="0" w:firstLine="0"/>
        <w:jc w:val="both"/>
        <w:rPr>
          <w:rFonts w:ascii="Arial" w:hAnsi="Arial"/>
          <w:b/>
          <w:caps/>
          <w:sz w:val="18"/>
        </w:rPr>
      </w:pPr>
    </w:p>
    <w:p w:rsidR="00B93E0F" w:rsidRDefault="00B93E0F" w:rsidP="00B93E0F">
      <w:pPr>
        <w:pStyle w:val="20"/>
        <w:ind w:left="0" w:firstLine="0"/>
        <w:jc w:val="both"/>
        <w:rPr>
          <w:rFonts w:ascii="Arial" w:hAnsi="Arial"/>
          <w:b/>
          <w:caps/>
          <w:sz w:val="18"/>
        </w:rPr>
      </w:pPr>
    </w:p>
    <w:p w:rsidR="00B93E0F" w:rsidRDefault="00B93E0F" w:rsidP="00B93E0F">
      <w:pPr>
        <w:pStyle w:val="20"/>
        <w:ind w:left="0" w:firstLine="0"/>
        <w:jc w:val="both"/>
        <w:rPr>
          <w:rFonts w:ascii="Arial" w:hAnsi="Arial"/>
          <w:b/>
          <w:caps/>
          <w:sz w:val="18"/>
        </w:rPr>
      </w:pPr>
    </w:p>
    <w:p w:rsidR="00FE4F82" w:rsidRDefault="00FE4F82" w:rsidP="00B93E0F">
      <w:pPr>
        <w:pStyle w:val="20"/>
        <w:ind w:left="0" w:firstLine="0"/>
        <w:jc w:val="both"/>
        <w:rPr>
          <w:rFonts w:ascii="Arial" w:hAnsi="Arial"/>
          <w:b/>
          <w:caps/>
          <w:sz w:val="18"/>
        </w:rPr>
      </w:pPr>
    </w:p>
    <w:p w:rsidR="00FE4F82" w:rsidRDefault="00FE4F82" w:rsidP="00B93E0F">
      <w:pPr>
        <w:pStyle w:val="20"/>
        <w:ind w:left="0" w:firstLine="0"/>
        <w:jc w:val="both"/>
        <w:rPr>
          <w:rFonts w:ascii="Arial" w:hAnsi="Arial"/>
          <w:b/>
          <w:caps/>
          <w:sz w:val="18"/>
        </w:rPr>
      </w:pPr>
    </w:p>
    <w:p w:rsidR="00FE4F82" w:rsidRDefault="00FE4F82" w:rsidP="00B93E0F">
      <w:pPr>
        <w:pStyle w:val="20"/>
        <w:ind w:left="0" w:firstLine="0"/>
        <w:jc w:val="both"/>
        <w:rPr>
          <w:rFonts w:ascii="Arial" w:hAnsi="Arial"/>
          <w:b/>
          <w:caps/>
          <w:sz w:val="18"/>
        </w:rPr>
      </w:pPr>
    </w:p>
    <w:p w:rsidR="00FE4F82" w:rsidRDefault="00FE4F82" w:rsidP="00B93E0F">
      <w:pPr>
        <w:pStyle w:val="20"/>
        <w:ind w:left="0" w:firstLine="0"/>
        <w:jc w:val="both"/>
        <w:rPr>
          <w:rFonts w:ascii="Arial" w:hAnsi="Arial"/>
          <w:b/>
          <w:caps/>
          <w:sz w:val="18"/>
        </w:rPr>
      </w:pPr>
    </w:p>
    <w:p w:rsidR="00B93E0F" w:rsidRDefault="00B93E0F" w:rsidP="00B93E0F">
      <w:pPr>
        <w:pStyle w:val="20"/>
        <w:ind w:left="0" w:firstLine="0"/>
        <w:jc w:val="both"/>
        <w:rPr>
          <w:rFonts w:ascii="Arial" w:hAnsi="Arial"/>
          <w:b/>
          <w:caps/>
          <w:sz w:val="18"/>
        </w:rPr>
      </w:pPr>
    </w:p>
    <w:p w:rsidR="003C1A05" w:rsidRPr="003C1A05" w:rsidRDefault="00B763DE" w:rsidP="00B93E0F">
      <w:pPr>
        <w:ind w:firstLine="0"/>
        <w:jc w:val="right"/>
      </w:pPr>
      <w:r>
        <w:t>П</w:t>
      </w:r>
      <w:r w:rsidR="00B93E0F">
        <w:t>риложение №</w:t>
      </w:r>
      <w:r>
        <w:t>1</w:t>
      </w:r>
    </w:p>
    <w:p w:rsidR="00603151" w:rsidRDefault="00603151" w:rsidP="00603151">
      <w:pPr>
        <w:pStyle w:val="20"/>
        <w:ind w:firstLine="0"/>
        <w:rPr>
          <w:rFonts w:ascii="Arial" w:hAnsi="Arial"/>
          <w:b/>
          <w:caps/>
          <w:sz w:val="18"/>
        </w:rPr>
      </w:pPr>
      <w:r>
        <w:rPr>
          <w:rFonts w:ascii="Arial" w:hAnsi="Arial"/>
          <w:b/>
          <w:caps/>
          <w:sz w:val="18"/>
        </w:rPr>
        <w:t>Тест «Оценка НЕОТЪЕМЛЕМОГО риска»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960"/>
        <w:gridCol w:w="1440"/>
      </w:tblGrid>
      <w:tr w:rsidR="00603151">
        <w:trPr>
          <w:cantSplit/>
        </w:trPr>
        <w:tc>
          <w:tcPr>
            <w:tcW w:w="4140" w:type="dxa"/>
          </w:tcPr>
          <w:p w:rsidR="00603151" w:rsidRDefault="00603151" w:rsidP="005C53B5">
            <w:pPr>
              <w:pStyle w:val="a8"/>
              <w:spacing w:before="40"/>
              <w:rPr>
                <w:rFonts w:ascii="Arial" w:hAnsi="Arial"/>
                <w:sz w:val="18"/>
              </w:rPr>
            </w:pPr>
            <w:r>
              <w:rPr>
                <w:rFonts w:ascii="Arial" w:hAnsi="Arial"/>
                <w:sz w:val="18"/>
              </w:rPr>
              <w:t>Наименование аудируемого лица</w:t>
            </w:r>
          </w:p>
        </w:tc>
        <w:tc>
          <w:tcPr>
            <w:tcW w:w="3960" w:type="dxa"/>
          </w:tcPr>
          <w:p w:rsidR="00603151" w:rsidRDefault="00603151" w:rsidP="005C53B5">
            <w:pPr>
              <w:spacing w:before="40"/>
              <w:rPr>
                <w:rFonts w:ascii="Arial" w:hAnsi="Arial"/>
                <w:sz w:val="18"/>
              </w:rPr>
            </w:pPr>
          </w:p>
        </w:tc>
        <w:tc>
          <w:tcPr>
            <w:tcW w:w="1440" w:type="dxa"/>
            <w:vMerge w:val="restart"/>
          </w:tcPr>
          <w:p w:rsidR="00603151" w:rsidRDefault="00603151" w:rsidP="005C53B5">
            <w:pPr>
              <w:pStyle w:val="3"/>
              <w:rPr>
                <w:b w:val="0"/>
                <w:sz w:val="18"/>
              </w:rPr>
            </w:pPr>
            <w:r>
              <w:rPr>
                <w:b w:val="0"/>
                <w:sz w:val="18"/>
              </w:rPr>
              <w:t>РД 1п</w:t>
            </w:r>
          </w:p>
        </w:tc>
      </w:tr>
      <w:tr w:rsidR="00603151">
        <w:trPr>
          <w:cantSplit/>
        </w:trPr>
        <w:tc>
          <w:tcPr>
            <w:tcW w:w="4140" w:type="dxa"/>
          </w:tcPr>
          <w:p w:rsidR="00603151" w:rsidRDefault="00603151" w:rsidP="005C53B5">
            <w:pPr>
              <w:pStyle w:val="a9"/>
              <w:spacing w:before="40"/>
              <w:rPr>
                <w:rFonts w:ascii="Arial" w:hAnsi="Arial"/>
                <w:sz w:val="18"/>
              </w:rPr>
            </w:pPr>
            <w:r>
              <w:rPr>
                <w:rFonts w:ascii="Arial" w:hAnsi="Arial"/>
                <w:sz w:val="18"/>
              </w:rPr>
              <w:t>Проверяемый период</w:t>
            </w:r>
          </w:p>
        </w:tc>
        <w:tc>
          <w:tcPr>
            <w:tcW w:w="3960" w:type="dxa"/>
          </w:tcPr>
          <w:p w:rsidR="00603151" w:rsidRDefault="00603151" w:rsidP="005C53B5">
            <w:pPr>
              <w:spacing w:before="40"/>
              <w:rPr>
                <w:rFonts w:ascii="Arial" w:hAnsi="Arial"/>
                <w:sz w:val="18"/>
              </w:rPr>
            </w:pPr>
          </w:p>
        </w:tc>
        <w:tc>
          <w:tcPr>
            <w:tcW w:w="1440" w:type="dxa"/>
            <w:vMerge/>
          </w:tcPr>
          <w:p w:rsidR="00603151" w:rsidRDefault="00603151" w:rsidP="005C53B5">
            <w:pPr>
              <w:spacing w:before="40"/>
              <w:rPr>
                <w:rFonts w:ascii="Arial" w:hAnsi="Arial"/>
                <w:sz w:val="18"/>
              </w:rPr>
            </w:pPr>
          </w:p>
        </w:tc>
      </w:tr>
      <w:tr w:rsidR="00603151">
        <w:trPr>
          <w:cantSplit/>
        </w:trPr>
        <w:tc>
          <w:tcPr>
            <w:tcW w:w="4140" w:type="dxa"/>
          </w:tcPr>
          <w:p w:rsidR="00603151" w:rsidRDefault="00603151" w:rsidP="00FE4F82">
            <w:pPr>
              <w:spacing w:before="40"/>
              <w:jc w:val="both"/>
              <w:rPr>
                <w:rFonts w:ascii="Arial" w:hAnsi="Arial"/>
                <w:sz w:val="18"/>
              </w:rPr>
            </w:pPr>
            <w:r>
              <w:rPr>
                <w:rFonts w:ascii="Arial" w:hAnsi="Arial"/>
                <w:sz w:val="18"/>
              </w:rPr>
              <w:t>ФИО лица, составившего документ</w:t>
            </w:r>
          </w:p>
        </w:tc>
        <w:tc>
          <w:tcPr>
            <w:tcW w:w="3960" w:type="dxa"/>
          </w:tcPr>
          <w:p w:rsidR="00603151" w:rsidRDefault="00603151" w:rsidP="005C53B5">
            <w:pPr>
              <w:spacing w:before="40"/>
              <w:rPr>
                <w:rFonts w:ascii="Arial" w:hAnsi="Arial"/>
                <w:sz w:val="18"/>
              </w:rPr>
            </w:pPr>
          </w:p>
        </w:tc>
        <w:tc>
          <w:tcPr>
            <w:tcW w:w="1440" w:type="dxa"/>
            <w:vMerge/>
          </w:tcPr>
          <w:p w:rsidR="00603151" w:rsidRDefault="00603151" w:rsidP="005C53B5">
            <w:pPr>
              <w:spacing w:before="40"/>
              <w:rPr>
                <w:rFonts w:ascii="Arial" w:hAnsi="Arial"/>
                <w:sz w:val="18"/>
              </w:rPr>
            </w:pPr>
          </w:p>
        </w:tc>
      </w:tr>
      <w:tr w:rsidR="00603151">
        <w:trPr>
          <w:cantSplit/>
        </w:trPr>
        <w:tc>
          <w:tcPr>
            <w:tcW w:w="4140" w:type="dxa"/>
          </w:tcPr>
          <w:p w:rsidR="00603151" w:rsidRDefault="00603151" w:rsidP="00FE4F82">
            <w:pPr>
              <w:spacing w:before="40"/>
              <w:jc w:val="both"/>
              <w:rPr>
                <w:rFonts w:ascii="Arial" w:hAnsi="Arial"/>
                <w:sz w:val="18"/>
              </w:rPr>
            </w:pPr>
            <w:r>
              <w:rPr>
                <w:rFonts w:ascii="Arial" w:hAnsi="Arial"/>
                <w:sz w:val="18"/>
              </w:rPr>
              <w:t>Дата составления документа</w:t>
            </w:r>
          </w:p>
        </w:tc>
        <w:tc>
          <w:tcPr>
            <w:tcW w:w="3960" w:type="dxa"/>
          </w:tcPr>
          <w:p w:rsidR="00603151" w:rsidRDefault="00603151" w:rsidP="005C53B5">
            <w:pPr>
              <w:spacing w:before="40"/>
              <w:rPr>
                <w:rFonts w:ascii="Arial" w:hAnsi="Arial"/>
                <w:sz w:val="18"/>
              </w:rPr>
            </w:pPr>
          </w:p>
        </w:tc>
        <w:tc>
          <w:tcPr>
            <w:tcW w:w="1440" w:type="dxa"/>
            <w:vMerge/>
          </w:tcPr>
          <w:p w:rsidR="00603151" w:rsidRDefault="00603151" w:rsidP="005C53B5">
            <w:pPr>
              <w:spacing w:before="40"/>
              <w:rPr>
                <w:rFonts w:ascii="Arial" w:hAnsi="Arial"/>
                <w:sz w:val="18"/>
              </w:rPr>
            </w:pPr>
          </w:p>
        </w:tc>
      </w:tr>
      <w:tr w:rsidR="00603151">
        <w:trPr>
          <w:cantSplit/>
        </w:trPr>
        <w:tc>
          <w:tcPr>
            <w:tcW w:w="4140" w:type="dxa"/>
          </w:tcPr>
          <w:p w:rsidR="00603151" w:rsidRDefault="00603151" w:rsidP="00FE4F82">
            <w:pPr>
              <w:pStyle w:val="a8"/>
              <w:spacing w:before="40"/>
              <w:jc w:val="both"/>
              <w:rPr>
                <w:rFonts w:ascii="Arial" w:hAnsi="Arial"/>
                <w:sz w:val="18"/>
              </w:rPr>
            </w:pPr>
            <w:r>
              <w:rPr>
                <w:rFonts w:ascii="Arial" w:hAnsi="Arial"/>
                <w:sz w:val="18"/>
              </w:rPr>
              <w:t>ФИО лица, проверявшего документ</w:t>
            </w:r>
          </w:p>
        </w:tc>
        <w:tc>
          <w:tcPr>
            <w:tcW w:w="3960" w:type="dxa"/>
          </w:tcPr>
          <w:p w:rsidR="00603151" w:rsidRDefault="00603151" w:rsidP="005C53B5">
            <w:pPr>
              <w:spacing w:before="40"/>
              <w:rPr>
                <w:rFonts w:ascii="Arial" w:hAnsi="Arial"/>
                <w:sz w:val="18"/>
              </w:rPr>
            </w:pPr>
          </w:p>
        </w:tc>
        <w:tc>
          <w:tcPr>
            <w:tcW w:w="1440" w:type="dxa"/>
            <w:vMerge/>
          </w:tcPr>
          <w:p w:rsidR="00603151" w:rsidRDefault="00603151" w:rsidP="005C53B5">
            <w:pPr>
              <w:spacing w:before="40"/>
              <w:rPr>
                <w:rFonts w:ascii="Arial" w:hAnsi="Arial"/>
                <w:sz w:val="18"/>
              </w:rPr>
            </w:pPr>
          </w:p>
        </w:tc>
      </w:tr>
      <w:tr w:rsidR="00603151">
        <w:trPr>
          <w:cantSplit/>
        </w:trPr>
        <w:tc>
          <w:tcPr>
            <w:tcW w:w="4140" w:type="dxa"/>
          </w:tcPr>
          <w:p w:rsidR="00603151" w:rsidRDefault="00603151" w:rsidP="00FE4F82">
            <w:pPr>
              <w:spacing w:before="40"/>
              <w:jc w:val="both"/>
              <w:rPr>
                <w:rFonts w:ascii="Arial" w:hAnsi="Arial"/>
                <w:sz w:val="18"/>
              </w:rPr>
            </w:pPr>
            <w:r>
              <w:rPr>
                <w:rFonts w:ascii="Arial" w:hAnsi="Arial"/>
                <w:sz w:val="18"/>
              </w:rPr>
              <w:t>Дата проверки документа</w:t>
            </w:r>
          </w:p>
        </w:tc>
        <w:tc>
          <w:tcPr>
            <w:tcW w:w="3960" w:type="dxa"/>
          </w:tcPr>
          <w:p w:rsidR="00603151" w:rsidRDefault="00603151" w:rsidP="005C53B5">
            <w:pPr>
              <w:spacing w:before="40"/>
              <w:rPr>
                <w:rFonts w:ascii="Arial" w:hAnsi="Arial"/>
                <w:sz w:val="18"/>
              </w:rPr>
            </w:pPr>
          </w:p>
        </w:tc>
        <w:tc>
          <w:tcPr>
            <w:tcW w:w="1440" w:type="dxa"/>
            <w:vMerge/>
          </w:tcPr>
          <w:p w:rsidR="00603151" w:rsidRDefault="00603151" w:rsidP="005C53B5">
            <w:pPr>
              <w:spacing w:before="40"/>
              <w:rPr>
                <w:rFonts w:ascii="Arial" w:hAnsi="Arial"/>
                <w:sz w:val="18"/>
              </w:rPr>
            </w:pPr>
          </w:p>
        </w:tc>
      </w:tr>
    </w:tbl>
    <w:p w:rsidR="00603151" w:rsidRDefault="00603151" w:rsidP="00603151">
      <w:pPr>
        <w:pStyle w:val="1"/>
        <w:rPr>
          <w:caps/>
          <w:sz w:val="18"/>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3240"/>
      </w:tblGrid>
      <w:tr w:rsidR="00603151">
        <w:trPr>
          <w:tblHeader/>
        </w:trPr>
        <w:tc>
          <w:tcPr>
            <w:tcW w:w="6300" w:type="dxa"/>
          </w:tcPr>
          <w:p w:rsidR="00603151" w:rsidRDefault="00603151" w:rsidP="00603151">
            <w:pPr>
              <w:ind w:right="2232"/>
              <w:rPr>
                <w:rFonts w:ascii="Arial" w:hAnsi="Arial"/>
                <w:b/>
                <w:sz w:val="18"/>
              </w:rPr>
            </w:pPr>
            <w:r>
              <w:rPr>
                <w:rFonts w:ascii="Arial" w:hAnsi="Arial"/>
                <w:b/>
                <w:sz w:val="18"/>
              </w:rPr>
              <w:t>Факторы риска</w:t>
            </w:r>
          </w:p>
        </w:tc>
        <w:tc>
          <w:tcPr>
            <w:tcW w:w="3240" w:type="dxa"/>
          </w:tcPr>
          <w:p w:rsidR="00603151" w:rsidRDefault="00603151" w:rsidP="005C53B5">
            <w:pPr>
              <w:pStyle w:val="3"/>
              <w:tabs>
                <w:tab w:val="left" w:pos="8647"/>
                <w:tab w:val="left" w:pos="8789"/>
              </w:tabs>
              <w:ind w:left="-108" w:right="-108"/>
              <w:rPr>
                <w:b w:val="0"/>
                <w:sz w:val="18"/>
              </w:rPr>
            </w:pPr>
            <w:r>
              <w:rPr>
                <w:b w:val="0"/>
                <w:sz w:val="18"/>
              </w:rPr>
              <w:t xml:space="preserve">Оценка риска </w:t>
            </w:r>
          </w:p>
        </w:tc>
      </w:tr>
      <w:tr w:rsidR="00603151">
        <w:trPr>
          <w:trHeight w:val="224"/>
          <w:tblHeader/>
        </w:trPr>
        <w:tc>
          <w:tcPr>
            <w:tcW w:w="6300" w:type="dxa"/>
          </w:tcPr>
          <w:p w:rsidR="00603151" w:rsidRDefault="00603151" w:rsidP="005C53B5">
            <w:pPr>
              <w:rPr>
                <w:rFonts w:ascii="Arial" w:hAnsi="Arial"/>
                <w:sz w:val="18"/>
              </w:rPr>
            </w:pPr>
            <w:r>
              <w:rPr>
                <w:rFonts w:ascii="Arial" w:hAnsi="Arial"/>
                <w:sz w:val="18"/>
              </w:rPr>
              <w:t>1</w:t>
            </w:r>
          </w:p>
        </w:tc>
        <w:tc>
          <w:tcPr>
            <w:tcW w:w="3240" w:type="dxa"/>
          </w:tcPr>
          <w:p w:rsidR="00603151" w:rsidRDefault="00603151" w:rsidP="005C53B5">
            <w:pPr>
              <w:pStyle w:val="3"/>
              <w:tabs>
                <w:tab w:val="left" w:pos="8647"/>
                <w:tab w:val="left" w:pos="8789"/>
              </w:tabs>
              <w:ind w:left="-108" w:right="-108"/>
              <w:rPr>
                <w:sz w:val="18"/>
              </w:rPr>
            </w:pPr>
            <w:r>
              <w:rPr>
                <w:sz w:val="18"/>
              </w:rPr>
              <w:t>2</w:t>
            </w:r>
          </w:p>
        </w:tc>
      </w:tr>
      <w:tr w:rsidR="00603151">
        <w:tblPrEx>
          <w:tblCellMar>
            <w:left w:w="70" w:type="dxa"/>
            <w:right w:w="70" w:type="dxa"/>
          </w:tblCellMar>
        </w:tblPrEx>
        <w:tc>
          <w:tcPr>
            <w:tcW w:w="6300" w:type="dxa"/>
            <w:tcBorders>
              <w:top w:val="nil"/>
            </w:tcBorders>
          </w:tcPr>
          <w:p w:rsidR="00603151" w:rsidRDefault="00603151" w:rsidP="005C53B5">
            <w:pPr>
              <w:pStyle w:val="2"/>
              <w:rPr>
                <w:sz w:val="18"/>
              </w:rPr>
            </w:pPr>
            <w:r>
              <w:rPr>
                <w:sz w:val="18"/>
                <w:lang w:val="en-US"/>
              </w:rPr>
              <w:t>I</w:t>
            </w:r>
            <w:r>
              <w:rPr>
                <w:sz w:val="18"/>
              </w:rPr>
              <w:t xml:space="preserve">. Особенности деятельности, осуществляемой аудируемым лицом </w:t>
            </w:r>
          </w:p>
        </w:tc>
        <w:tc>
          <w:tcPr>
            <w:tcW w:w="3240" w:type="dxa"/>
            <w:tcBorders>
              <w:top w:val="nil"/>
            </w:tcBorders>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0"/>
                <w:numId w:val="11"/>
              </w:numPr>
              <w:tabs>
                <w:tab w:val="left" w:pos="644"/>
              </w:tabs>
              <w:spacing w:line="240" w:lineRule="auto"/>
              <w:jc w:val="both"/>
              <w:rPr>
                <w:rFonts w:ascii="Arial" w:hAnsi="Arial"/>
                <w:sz w:val="18"/>
              </w:rPr>
            </w:pPr>
            <w:r>
              <w:rPr>
                <w:rFonts w:ascii="Arial" w:hAnsi="Arial"/>
                <w:sz w:val="18"/>
              </w:rPr>
              <w:t>Операционная деятельность:</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производство товаров с непрерывным циклом</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 xml:space="preserve">оказание услуг специфического характера в т.ч. </w:t>
            </w:r>
          </w:p>
          <w:p w:rsidR="00603151" w:rsidRDefault="00603151" w:rsidP="00B93E0F">
            <w:pPr>
              <w:numPr>
                <w:ilvl w:val="12"/>
                <w:numId w:val="0"/>
              </w:numPr>
              <w:ind w:left="639"/>
              <w:jc w:val="both"/>
              <w:rPr>
                <w:rFonts w:ascii="Arial" w:hAnsi="Arial"/>
                <w:sz w:val="18"/>
              </w:rPr>
            </w:pPr>
            <w:r>
              <w:rPr>
                <w:rFonts w:ascii="Arial" w:hAnsi="Arial"/>
                <w:sz w:val="18"/>
              </w:rPr>
              <w:t>- связанных с использованием объектов, обслуживающих производств и хозяйств</w:t>
            </w:r>
          </w:p>
          <w:p w:rsidR="00603151" w:rsidRDefault="00603151" w:rsidP="00B93E0F">
            <w:pPr>
              <w:numPr>
                <w:ilvl w:val="12"/>
                <w:numId w:val="0"/>
              </w:numPr>
              <w:ind w:left="639"/>
              <w:jc w:val="both"/>
              <w:rPr>
                <w:rFonts w:ascii="Arial" w:hAnsi="Arial"/>
                <w:sz w:val="18"/>
              </w:rPr>
            </w:pPr>
            <w:r>
              <w:rPr>
                <w:rFonts w:ascii="Arial" w:hAnsi="Arial"/>
                <w:sz w:val="18"/>
              </w:rPr>
              <w:t>- профессионального участника рынка ценных бумаг</w:t>
            </w:r>
          </w:p>
          <w:p w:rsidR="00603151" w:rsidRDefault="00603151" w:rsidP="00B93E0F">
            <w:pPr>
              <w:numPr>
                <w:ilvl w:val="12"/>
                <w:numId w:val="0"/>
              </w:numPr>
              <w:ind w:left="639"/>
              <w:jc w:val="both"/>
              <w:rPr>
                <w:rFonts w:ascii="Arial" w:hAnsi="Arial"/>
                <w:sz w:val="18"/>
              </w:rPr>
            </w:pPr>
            <w:r>
              <w:rPr>
                <w:rFonts w:ascii="Arial" w:hAnsi="Arial"/>
                <w:sz w:val="18"/>
              </w:rPr>
              <w:t>- лизинг (сублизинг)</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выполнение строительно-монтажных работ (в т.ч. для собственных нужд)</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производство сельскохозяйственной продукции</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реализация покупных товаров (оптовая или розничная торговля)</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0"/>
                <w:numId w:val="11"/>
              </w:numPr>
              <w:tabs>
                <w:tab w:val="left" w:pos="644"/>
              </w:tabs>
              <w:spacing w:line="240" w:lineRule="auto"/>
              <w:jc w:val="both"/>
              <w:rPr>
                <w:rFonts w:ascii="Arial" w:hAnsi="Arial"/>
                <w:sz w:val="18"/>
              </w:rPr>
            </w:pPr>
            <w:r>
              <w:rPr>
                <w:rFonts w:ascii="Arial" w:hAnsi="Arial"/>
                <w:sz w:val="18"/>
              </w:rPr>
              <w:t>Инвестиционная деятельность</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 xml:space="preserve">приобретение (реализация) объектов недвижимости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осуществление строительных, монтажных, пусконаладочных работ</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осуществление НИОКР</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 xml:space="preserve">осуществление финансовых вложений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реализация ценных бумаг</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 xml:space="preserve">осуществление совместной деятельности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639"/>
              <w:rPr>
                <w:rFonts w:ascii="Arial" w:hAnsi="Arial"/>
                <w:sz w:val="18"/>
              </w:rPr>
            </w:pPr>
            <w:r>
              <w:rPr>
                <w:rFonts w:ascii="Arial" w:hAnsi="Arial"/>
                <w:sz w:val="18"/>
              </w:rPr>
              <w:t xml:space="preserve">осуществление операций по уступке прав требований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603151">
            <w:pPr>
              <w:numPr>
                <w:ilvl w:val="0"/>
                <w:numId w:val="11"/>
              </w:numPr>
              <w:tabs>
                <w:tab w:val="left" w:pos="644"/>
              </w:tabs>
              <w:spacing w:line="240" w:lineRule="auto"/>
              <w:jc w:val="left"/>
              <w:rPr>
                <w:rFonts w:ascii="Arial" w:hAnsi="Arial"/>
                <w:sz w:val="18"/>
              </w:rPr>
            </w:pPr>
            <w:r>
              <w:rPr>
                <w:rFonts w:ascii="Arial" w:hAnsi="Arial"/>
                <w:sz w:val="18"/>
              </w:rPr>
              <w:t>Финансовая деятельность</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639"/>
              <w:rPr>
                <w:rFonts w:ascii="Arial" w:hAnsi="Arial"/>
                <w:sz w:val="18"/>
              </w:rPr>
            </w:pPr>
            <w:r>
              <w:rPr>
                <w:rFonts w:ascii="Arial" w:hAnsi="Arial"/>
                <w:sz w:val="18"/>
              </w:rPr>
              <w:t>выпуск акций, облигаций, векселей</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639"/>
              <w:rPr>
                <w:rFonts w:ascii="Arial" w:hAnsi="Arial"/>
                <w:sz w:val="18"/>
              </w:rPr>
            </w:pPr>
            <w:r>
              <w:rPr>
                <w:rFonts w:ascii="Arial" w:hAnsi="Arial"/>
                <w:sz w:val="18"/>
              </w:rPr>
              <w:t xml:space="preserve">получение (погашение) кредитов и займов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603151">
            <w:pPr>
              <w:numPr>
                <w:ilvl w:val="0"/>
                <w:numId w:val="11"/>
              </w:numPr>
              <w:tabs>
                <w:tab w:val="left" w:pos="644"/>
              </w:tabs>
              <w:spacing w:line="240" w:lineRule="auto"/>
              <w:jc w:val="left"/>
              <w:rPr>
                <w:rFonts w:ascii="Arial" w:hAnsi="Arial"/>
                <w:sz w:val="18"/>
              </w:rPr>
            </w:pPr>
            <w:r>
              <w:rPr>
                <w:rFonts w:ascii="Arial" w:hAnsi="Arial"/>
                <w:sz w:val="18"/>
              </w:rPr>
              <w:t>Осуществление внешнеэкономической деятельности</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603151">
            <w:pPr>
              <w:numPr>
                <w:ilvl w:val="0"/>
                <w:numId w:val="11"/>
              </w:numPr>
              <w:tabs>
                <w:tab w:val="left" w:pos="644"/>
              </w:tabs>
              <w:spacing w:line="240" w:lineRule="auto"/>
              <w:jc w:val="left"/>
              <w:rPr>
                <w:rFonts w:ascii="Arial" w:hAnsi="Arial"/>
                <w:spacing w:val="-2"/>
                <w:sz w:val="18"/>
              </w:rPr>
            </w:pPr>
            <w:r>
              <w:rPr>
                <w:rFonts w:ascii="Arial" w:hAnsi="Arial"/>
                <w:spacing w:val="-2"/>
                <w:sz w:val="18"/>
              </w:rPr>
              <w:t>Наличие отраслевых методических рекомендаций, имеющих свою специфику и отличия от общепринятых нормативных документов</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639"/>
              <w:rPr>
                <w:rFonts w:ascii="Arial" w:hAnsi="Arial"/>
                <w:sz w:val="18"/>
              </w:rPr>
            </w:pPr>
            <w:r>
              <w:rPr>
                <w:rFonts w:ascii="Arial" w:hAnsi="Arial"/>
                <w:sz w:val="18"/>
              </w:rPr>
              <w:t>нет</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639"/>
              <w:rPr>
                <w:rFonts w:ascii="Arial" w:hAnsi="Arial"/>
                <w:sz w:val="18"/>
              </w:rPr>
            </w:pPr>
            <w:r>
              <w:rPr>
                <w:rFonts w:ascii="Arial" w:hAnsi="Arial"/>
                <w:sz w:val="18"/>
              </w:rPr>
              <w:t>да</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603151">
            <w:pPr>
              <w:numPr>
                <w:ilvl w:val="0"/>
                <w:numId w:val="11"/>
              </w:numPr>
              <w:tabs>
                <w:tab w:val="left" w:pos="644"/>
              </w:tabs>
              <w:spacing w:line="240" w:lineRule="auto"/>
              <w:jc w:val="left"/>
              <w:rPr>
                <w:rFonts w:ascii="Arial" w:hAnsi="Arial"/>
                <w:sz w:val="18"/>
              </w:rPr>
            </w:pPr>
            <w:r>
              <w:rPr>
                <w:rFonts w:ascii="Arial" w:hAnsi="Arial"/>
                <w:sz w:val="18"/>
              </w:rPr>
              <w:t xml:space="preserve">Продажа имущества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639"/>
              <w:rPr>
                <w:rFonts w:ascii="Arial" w:hAnsi="Arial"/>
                <w:spacing w:val="-4"/>
                <w:sz w:val="18"/>
              </w:rPr>
            </w:pPr>
            <w:r>
              <w:rPr>
                <w:rFonts w:ascii="Arial" w:hAnsi="Arial"/>
                <w:spacing w:val="-4"/>
                <w:sz w:val="18"/>
              </w:rPr>
              <w:t>да</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639"/>
              <w:rPr>
                <w:rFonts w:ascii="Arial" w:hAnsi="Arial"/>
                <w:spacing w:val="-6"/>
                <w:sz w:val="18"/>
              </w:rPr>
            </w:pPr>
            <w:r>
              <w:rPr>
                <w:rFonts w:ascii="Arial" w:hAnsi="Arial"/>
                <w:spacing w:val="-6"/>
                <w:sz w:val="18"/>
              </w:rPr>
              <w:t>нет</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603151">
            <w:pPr>
              <w:numPr>
                <w:ilvl w:val="0"/>
                <w:numId w:val="11"/>
              </w:numPr>
              <w:tabs>
                <w:tab w:val="left" w:pos="644"/>
              </w:tabs>
              <w:spacing w:line="240" w:lineRule="auto"/>
              <w:jc w:val="left"/>
              <w:rPr>
                <w:rFonts w:ascii="Arial" w:hAnsi="Arial"/>
                <w:sz w:val="18"/>
              </w:rPr>
            </w:pPr>
            <w:r>
              <w:rPr>
                <w:rFonts w:ascii="Arial" w:hAnsi="Arial"/>
                <w:sz w:val="18"/>
              </w:rPr>
              <w:t xml:space="preserve">Наличие налоговых льгот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639"/>
              <w:rPr>
                <w:rFonts w:ascii="Arial" w:hAnsi="Arial"/>
                <w:sz w:val="18"/>
              </w:rPr>
            </w:pPr>
            <w:r>
              <w:rPr>
                <w:rFonts w:ascii="Arial" w:hAnsi="Arial"/>
                <w:sz w:val="18"/>
              </w:rPr>
              <w:t xml:space="preserve">да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639"/>
              <w:rPr>
                <w:rFonts w:ascii="Arial" w:hAnsi="Arial"/>
                <w:sz w:val="18"/>
              </w:rPr>
            </w:pPr>
            <w:r>
              <w:rPr>
                <w:rFonts w:ascii="Arial" w:hAnsi="Arial"/>
                <w:sz w:val="18"/>
              </w:rPr>
              <w:t xml:space="preserve">нет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603151">
            <w:pPr>
              <w:numPr>
                <w:ilvl w:val="0"/>
                <w:numId w:val="11"/>
              </w:numPr>
              <w:tabs>
                <w:tab w:val="left" w:pos="644"/>
              </w:tabs>
              <w:spacing w:line="240" w:lineRule="auto"/>
              <w:jc w:val="left"/>
              <w:rPr>
                <w:rFonts w:ascii="Arial" w:hAnsi="Arial"/>
                <w:sz w:val="18"/>
              </w:rPr>
            </w:pPr>
            <w:r>
              <w:rPr>
                <w:rFonts w:ascii="Arial" w:hAnsi="Arial"/>
                <w:sz w:val="18"/>
              </w:rPr>
              <w:t>Осуществление мероприятий за счет средств, имеющих целевой характер (бюджетное финансирование, прочие источники)</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639"/>
              <w:rPr>
                <w:rFonts w:ascii="Arial" w:hAnsi="Arial"/>
                <w:sz w:val="18"/>
              </w:rPr>
            </w:pPr>
            <w:r>
              <w:rPr>
                <w:rFonts w:ascii="Arial" w:hAnsi="Arial"/>
                <w:sz w:val="18"/>
              </w:rPr>
              <w:t>да</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639"/>
              <w:rPr>
                <w:rFonts w:ascii="Arial" w:hAnsi="Arial"/>
                <w:sz w:val="18"/>
              </w:rPr>
            </w:pPr>
            <w:r>
              <w:rPr>
                <w:rFonts w:ascii="Arial" w:hAnsi="Arial"/>
                <w:sz w:val="18"/>
              </w:rPr>
              <w:t>нет</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0"/>
                <w:numId w:val="11"/>
              </w:numPr>
              <w:tabs>
                <w:tab w:val="left" w:pos="644"/>
              </w:tabs>
              <w:spacing w:line="240" w:lineRule="auto"/>
              <w:jc w:val="both"/>
              <w:rPr>
                <w:rFonts w:ascii="Arial" w:hAnsi="Arial"/>
                <w:sz w:val="18"/>
              </w:rPr>
            </w:pPr>
            <w:r>
              <w:rPr>
                <w:rFonts w:ascii="Arial" w:hAnsi="Arial"/>
                <w:sz w:val="18"/>
              </w:rPr>
              <w:t>Доля расчетов денежными средствами в общем объеме расчетов</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менее 20%</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от 20 до 50%</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 xml:space="preserve">более 50%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0"/>
                <w:numId w:val="11"/>
              </w:numPr>
              <w:tabs>
                <w:tab w:val="left" w:pos="644"/>
              </w:tabs>
              <w:spacing w:line="240" w:lineRule="auto"/>
              <w:jc w:val="both"/>
              <w:rPr>
                <w:rFonts w:ascii="Arial" w:hAnsi="Arial"/>
                <w:sz w:val="18"/>
              </w:rPr>
            </w:pPr>
            <w:r>
              <w:rPr>
                <w:rFonts w:ascii="Arial" w:hAnsi="Arial"/>
                <w:sz w:val="18"/>
              </w:rPr>
              <w:t>Наличие незавершенного производства и специфика его оценки</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оценка и инвентаризация запасов и НЗП сложны и специфичны</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запасы легко поддаются оценке и инвентаризации</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у организации отсутствует НЗП и значительная величина запасов</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Borders>
              <w:top w:val="nil"/>
            </w:tcBorders>
          </w:tcPr>
          <w:p w:rsidR="00603151" w:rsidRDefault="00603151" w:rsidP="00B93E0F">
            <w:pPr>
              <w:pStyle w:val="2"/>
              <w:jc w:val="both"/>
              <w:rPr>
                <w:sz w:val="18"/>
              </w:rPr>
            </w:pPr>
            <w:r>
              <w:rPr>
                <w:sz w:val="18"/>
                <w:lang w:val="en-US"/>
              </w:rPr>
              <w:t>II</w:t>
            </w:r>
            <w:r>
              <w:rPr>
                <w:sz w:val="18"/>
              </w:rPr>
              <w:t xml:space="preserve">. Структура организации </w:t>
            </w:r>
          </w:p>
        </w:tc>
        <w:tc>
          <w:tcPr>
            <w:tcW w:w="3240" w:type="dxa"/>
            <w:tcBorders>
              <w:top w:val="nil"/>
            </w:tcBorders>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0"/>
                <w:numId w:val="12"/>
              </w:numPr>
              <w:tabs>
                <w:tab w:val="left" w:pos="360"/>
              </w:tabs>
              <w:spacing w:line="240" w:lineRule="auto"/>
              <w:ind w:left="431" w:hanging="147"/>
              <w:jc w:val="both"/>
              <w:rPr>
                <w:rFonts w:ascii="Arial" w:hAnsi="Arial"/>
                <w:spacing w:val="-2"/>
                <w:sz w:val="18"/>
              </w:rPr>
            </w:pPr>
            <w:r>
              <w:rPr>
                <w:rFonts w:ascii="Arial" w:hAnsi="Arial"/>
                <w:spacing w:val="-2"/>
                <w:sz w:val="18"/>
              </w:rPr>
              <w:t>Соответствие организационной структуры размеру и степени сложности бизнеса клиента</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недостаточное</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относительное</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высокое</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0"/>
                <w:numId w:val="12"/>
              </w:numPr>
              <w:tabs>
                <w:tab w:val="left" w:pos="360"/>
              </w:tabs>
              <w:spacing w:line="240" w:lineRule="auto"/>
              <w:ind w:left="431" w:hanging="147"/>
              <w:jc w:val="both"/>
              <w:rPr>
                <w:rFonts w:ascii="Arial" w:hAnsi="Arial"/>
                <w:sz w:val="18"/>
              </w:rPr>
            </w:pPr>
            <w:r>
              <w:rPr>
                <w:rFonts w:ascii="Arial" w:hAnsi="Arial"/>
                <w:sz w:val="18"/>
              </w:rPr>
              <w:t>Наличие обособленных подразделений и филиалов, имеющих отдельный баланс</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отсутствуют</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имеются обособленные подразделения и филиалы</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12"/>
                <w:numId w:val="0"/>
              </w:numPr>
              <w:ind w:left="639"/>
              <w:jc w:val="both"/>
              <w:rPr>
                <w:rFonts w:ascii="Arial" w:hAnsi="Arial"/>
                <w:sz w:val="18"/>
              </w:rPr>
            </w:pPr>
            <w:r>
              <w:rPr>
                <w:rFonts w:ascii="Arial" w:hAnsi="Arial"/>
                <w:sz w:val="18"/>
              </w:rPr>
              <w:t>головная организация осуществляет функции расчетного центра (расчеты между филиалами отражаются в бухучете головной организации)</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0"/>
                <w:numId w:val="12"/>
              </w:numPr>
              <w:tabs>
                <w:tab w:val="left" w:pos="639"/>
              </w:tabs>
              <w:spacing w:line="240" w:lineRule="auto"/>
              <w:ind w:left="639" w:hanging="355"/>
              <w:jc w:val="both"/>
              <w:rPr>
                <w:rFonts w:ascii="Arial" w:hAnsi="Arial"/>
                <w:sz w:val="18"/>
              </w:rPr>
            </w:pPr>
            <w:r>
              <w:rPr>
                <w:rFonts w:ascii="Arial" w:hAnsi="Arial"/>
                <w:sz w:val="18"/>
              </w:rPr>
              <w:t>Наличие территориально удаленных подразделений, выполняющих отдельные учетные функции либо оформляющих первичные документы</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numPr>
                <w:ilvl w:val="0"/>
                <w:numId w:val="12"/>
              </w:numPr>
              <w:tabs>
                <w:tab w:val="left" w:pos="639"/>
              </w:tabs>
              <w:spacing w:line="240" w:lineRule="auto"/>
              <w:ind w:left="639" w:hanging="355"/>
              <w:jc w:val="both"/>
              <w:rPr>
                <w:rFonts w:ascii="Arial" w:hAnsi="Arial"/>
                <w:sz w:val="18"/>
              </w:rPr>
            </w:pPr>
            <w:r>
              <w:rPr>
                <w:rFonts w:ascii="Arial" w:hAnsi="Arial"/>
                <w:sz w:val="18"/>
              </w:rPr>
              <w:t>Географическое положение обособленных подразделений</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ind w:left="650"/>
              <w:jc w:val="both"/>
              <w:rPr>
                <w:rFonts w:ascii="Arial" w:hAnsi="Arial"/>
                <w:sz w:val="18"/>
              </w:rPr>
            </w:pPr>
            <w:r>
              <w:rPr>
                <w:rFonts w:ascii="Arial" w:hAnsi="Arial"/>
                <w:sz w:val="18"/>
              </w:rPr>
              <w:t xml:space="preserve">на территории одного субъекта РФ и муниципального образования как головная организация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ind w:left="650"/>
              <w:jc w:val="both"/>
              <w:rPr>
                <w:rFonts w:ascii="Arial" w:hAnsi="Arial"/>
                <w:sz w:val="18"/>
              </w:rPr>
            </w:pPr>
            <w:r>
              <w:rPr>
                <w:rFonts w:ascii="Arial" w:hAnsi="Arial"/>
                <w:sz w:val="18"/>
              </w:rPr>
              <w:t>на территории одного субъекта РФ, но иного муниципального образования, чем головная организация</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ind w:left="650"/>
              <w:jc w:val="both"/>
              <w:rPr>
                <w:rFonts w:ascii="Arial" w:hAnsi="Arial"/>
                <w:sz w:val="18"/>
              </w:rPr>
            </w:pPr>
            <w:r>
              <w:rPr>
                <w:rFonts w:ascii="Arial" w:hAnsi="Arial"/>
                <w:sz w:val="18"/>
              </w:rPr>
              <w:t>на территории иного субъекта РФ, чем головная организация</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B93E0F">
            <w:pPr>
              <w:ind w:left="650"/>
              <w:jc w:val="both"/>
              <w:rPr>
                <w:rFonts w:ascii="Arial" w:hAnsi="Arial"/>
                <w:sz w:val="18"/>
              </w:rPr>
            </w:pPr>
            <w:r>
              <w:rPr>
                <w:rFonts w:ascii="Arial" w:hAnsi="Arial"/>
                <w:sz w:val="18"/>
              </w:rPr>
              <w:t>за пределами РФ</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Borders>
              <w:top w:val="nil"/>
            </w:tcBorders>
          </w:tcPr>
          <w:p w:rsidR="00603151" w:rsidRDefault="00603151" w:rsidP="00B93E0F">
            <w:pPr>
              <w:pStyle w:val="2"/>
              <w:jc w:val="both"/>
              <w:rPr>
                <w:sz w:val="18"/>
              </w:rPr>
            </w:pPr>
            <w:r>
              <w:rPr>
                <w:sz w:val="18"/>
                <w:lang w:val="en-US"/>
              </w:rPr>
              <w:t>III</w:t>
            </w:r>
            <w:r>
              <w:rPr>
                <w:sz w:val="18"/>
              </w:rPr>
              <w:t xml:space="preserve">. Информационная обеспеченность организации </w:t>
            </w:r>
          </w:p>
        </w:tc>
        <w:tc>
          <w:tcPr>
            <w:tcW w:w="3240" w:type="dxa"/>
            <w:tcBorders>
              <w:top w:val="nil"/>
            </w:tcBorders>
          </w:tcPr>
          <w:p w:rsidR="00603151" w:rsidRDefault="00603151" w:rsidP="005C53B5">
            <w:pPr>
              <w:ind w:right="170"/>
              <w:jc w:val="right"/>
              <w:rPr>
                <w:rFonts w:ascii="Arial" w:hAnsi="Arial"/>
                <w:b/>
                <w:sz w:val="18"/>
              </w:rPr>
            </w:pPr>
          </w:p>
        </w:tc>
      </w:tr>
      <w:tr w:rsidR="00603151">
        <w:tc>
          <w:tcPr>
            <w:tcW w:w="6300" w:type="dxa"/>
            <w:tcBorders>
              <w:top w:val="nil"/>
            </w:tcBorders>
          </w:tcPr>
          <w:p w:rsidR="00603151" w:rsidRDefault="00603151" w:rsidP="00B93E0F">
            <w:pPr>
              <w:numPr>
                <w:ilvl w:val="0"/>
                <w:numId w:val="13"/>
              </w:numPr>
              <w:tabs>
                <w:tab w:val="left" w:pos="644"/>
              </w:tabs>
              <w:spacing w:line="240" w:lineRule="auto"/>
              <w:jc w:val="both"/>
              <w:rPr>
                <w:rFonts w:ascii="Arial" w:hAnsi="Arial"/>
                <w:sz w:val="18"/>
              </w:rPr>
            </w:pPr>
            <w:r>
              <w:rPr>
                <w:rFonts w:ascii="Arial" w:hAnsi="Arial"/>
                <w:sz w:val="18"/>
              </w:rPr>
              <w:t xml:space="preserve">Наличие специальной периодической литературы в организации </w:t>
            </w:r>
          </w:p>
        </w:tc>
        <w:tc>
          <w:tcPr>
            <w:tcW w:w="3240" w:type="dxa"/>
            <w:tcBorders>
              <w:top w:val="nil"/>
            </w:tcBorders>
          </w:tcPr>
          <w:p w:rsidR="00603151" w:rsidRDefault="00603151" w:rsidP="005C53B5">
            <w:pPr>
              <w:numPr>
                <w:ilvl w:val="12"/>
                <w:numId w:val="0"/>
              </w:numPr>
              <w:ind w:right="170"/>
              <w:jc w:val="right"/>
              <w:rPr>
                <w:rFonts w:ascii="Arial" w:hAnsi="Arial"/>
                <w:sz w:val="18"/>
              </w:rPr>
            </w:pPr>
          </w:p>
        </w:tc>
      </w:tr>
      <w:tr w:rsidR="00603151">
        <w:tc>
          <w:tcPr>
            <w:tcW w:w="6300" w:type="dxa"/>
            <w:tcBorders>
              <w:top w:val="nil"/>
            </w:tcBorders>
          </w:tcPr>
          <w:p w:rsidR="00603151" w:rsidRDefault="00603151" w:rsidP="00B93E0F">
            <w:pPr>
              <w:numPr>
                <w:ilvl w:val="12"/>
                <w:numId w:val="0"/>
              </w:numPr>
              <w:ind w:left="639"/>
              <w:jc w:val="both"/>
              <w:rPr>
                <w:rFonts w:ascii="Arial" w:hAnsi="Arial"/>
                <w:sz w:val="18"/>
              </w:rPr>
            </w:pPr>
            <w:r>
              <w:rPr>
                <w:rFonts w:ascii="Arial" w:hAnsi="Arial"/>
                <w:sz w:val="18"/>
              </w:rPr>
              <w:t>да</w:t>
            </w:r>
          </w:p>
        </w:tc>
        <w:tc>
          <w:tcPr>
            <w:tcW w:w="3240" w:type="dxa"/>
            <w:tcBorders>
              <w:top w:val="nil"/>
            </w:tcBorders>
          </w:tcPr>
          <w:p w:rsidR="00603151" w:rsidRDefault="00603151" w:rsidP="005C53B5">
            <w:pPr>
              <w:numPr>
                <w:ilvl w:val="12"/>
                <w:numId w:val="0"/>
              </w:numPr>
              <w:ind w:right="170"/>
              <w:jc w:val="right"/>
              <w:rPr>
                <w:rFonts w:ascii="Arial" w:hAnsi="Arial"/>
                <w:sz w:val="18"/>
              </w:rPr>
            </w:pPr>
          </w:p>
        </w:tc>
      </w:tr>
      <w:tr w:rsidR="00603151">
        <w:tc>
          <w:tcPr>
            <w:tcW w:w="6300" w:type="dxa"/>
            <w:tcBorders>
              <w:top w:val="nil"/>
            </w:tcBorders>
          </w:tcPr>
          <w:p w:rsidR="00603151" w:rsidRDefault="00603151" w:rsidP="00B93E0F">
            <w:pPr>
              <w:numPr>
                <w:ilvl w:val="12"/>
                <w:numId w:val="0"/>
              </w:numPr>
              <w:ind w:left="639"/>
              <w:jc w:val="both"/>
              <w:rPr>
                <w:rFonts w:ascii="Arial" w:hAnsi="Arial"/>
                <w:sz w:val="18"/>
              </w:rPr>
            </w:pPr>
            <w:r>
              <w:rPr>
                <w:rFonts w:ascii="Arial" w:hAnsi="Arial"/>
                <w:sz w:val="18"/>
              </w:rPr>
              <w:t>нет</w:t>
            </w:r>
          </w:p>
        </w:tc>
        <w:tc>
          <w:tcPr>
            <w:tcW w:w="3240" w:type="dxa"/>
            <w:tcBorders>
              <w:top w:val="nil"/>
            </w:tcBorders>
          </w:tcPr>
          <w:p w:rsidR="00603151" w:rsidRDefault="00603151" w:rsidP="005C53B5">
            <w:pPr>
              <w:numPr>
                <w:ilvl w:val="12"/>
                <w:numId w:val="0"/>
              </w:numPr>
              <w:ind w:right="170"/>
              <w:jc w:val="right"/>
              <w:rPr>
                <w:rFonts w:ascii="Arial" w:hAnsi="Arial"/>
                <w:sz w:val="18"/>
              </w:rPr>
            </w:pPr>
          </w:p>
        </w:tc>
      </w:tr>
      <w:tr w:rsidR="00603151">
        <w:tc>
          <w:tcPr>
            <w:tcW w:w="6300" w:type="dxa"/>
            <w:tcBorders>
              <w:top w:val="nil"/>
            </w:tcBorders>
          </w:tcPr>
          <w:p w:rsidR="00603151" w:rsidRDefault="00603151" w:rsidP="00B93E0F">
            <w:pPr>
              <w:numPr>
                <w:ilvl w:val="0"/>
                <w:numId w:val="13"/>
              </w:numPr>
              <w:tabs>
                <w:tab w:val="left" w:pos="644"/>
              </w:tabs>
              <w:spacing w:line="240" w:lineRule="auto"/>
              <w:jc w:val="both"/>
              <w:rPr>
                <w:rFonts w:ascii="Arial" w:hAnsi="Arial"/>
                <w:sz w:val="18"/>
              </w:rPr>
            </w:pPr>
            <w:r>
              <w:rPr>
                <w:rFonts w:ascii="Arial" w:hAnsi="Arial"/>
                <w:sz w:val="18"/>
              </w:rPr>
              <w:t>Наличие регулярно обновляемых справочно-информационных электронных баз</w:t>
            </w:r>
          </w:p>
        </w:tc>
        <w:tc>
          <w:tcPr>
            <w:tcW w:w="3240" w:type="dxa"/>
            <w:tcBorders>
              <w:top w:val="nil"/>
            </w:tcBorders>
          </w:tcPr>
          <w:p w:rsidR="00603151" w:rsidRDefault="00603151" w:rsidP="005C53B5">
            <w:pPr>
              <w:numPr>
                <w:ilvl w:val="12"/>
                <w:numId w:val="0"/>
              </w:numPr>
              <w:ind w:right="170"/>
              <w:jc w:val="right"/>
              <w:rPr>
                <w:rFonts w:ascii="Arial" w:hAnsi="Arial"/>
                <w:sz w:val="18"/>
              </w:rPr>
            </w:pPr>
          </w:p>
        </w:tc>
      </w:tr>
      <w:tr w:rsidR="00603151">
        <w:tc>
          <w:tcPr>
            <w:tcW w:w="6300" w:type="dxa"/>
            <w:tcBorders>
              <w:top w:val="nil"/>
            </w:tcBorders>
          </w:tcPr>
          <w:p w:rsidR="00603151" w:rsidRDefault="00603151" w:rsidP="005C53B5">
            <w:pPr>
              <w:numPr>
                <w:ilvl w:val="12"/>
                <w:numId w:val="0"/>
              </w:numPr>
              <w:ind w:left="639"/>
              <w:rPr>
                <w:rFonts w:ascii="Arial" w:hAnsi="Arial"/>
                <w:sz w:val="18"/>
              </w:rPr>
            </w:pPr>
            <w:r>
              <w:rPr>
                <w:rFonts w:ascii="Arial" w:hAnsi="Arial"/>
                <w:sz w:val="18"/>
              </w:rPr>
              <w:t>да</w:t>
            </w:r>
          </w:p>
        </w:tc>
        <w:tc>
          <w:tcPr>
            <w:tcW w:w="3240" w:type="dxa"/>
            <w:tcBorders>
              <w:top w:val="nil"/>
            </w:tcBorders>
          </w:tcPr>
          <w:p w:rsidR="00603151" w:rsidRDefault="00603151" w:rsidP="005C53B5">
            <w:pPr>
              <w:numPr>
                <w:ilvl w:val="12"/>
                <w:numId w:val="0"/>
              </w:numPr>
              <w:ind w:right="170"/>
              <w:jc w:val="right"/>
              <w:rPr>
                <w:rFonts w:ascii="Arial" w:hAnsi="Arial"/>
                <w:sz w:val="18"/>
              </w:rPr>
            </w:pPr>
          </w:p>
        </w:tc>
      </w:tr>
      <w:tr w:rsidR="00603151">
        <w:tc>
          <w:tcPr>
            <w:tcW w:w="6300" w:type="dxa"/>
            <w:tcBorders>
              <w:top w:val="nil"/>
              <w:bottom w:val="nil"/>
            </w:tcBorders>
          </w:tcPr>
          <w:p w:rsidR="00603151" w:rsidRDefault="00603151" w:rsidP="005C53B5">
            <w:pPr>
              <w:numPr>
                <w:ilvl w:val="12"/>
                <w:numId w:val="0"/>
              </w:numPr>
              <w:ind w:left="639"/>
              <w:rPr>
                <w:rFonts w:ascii="Arial" w:hAnsi="Arial"/>
                <w:sz w:val="18"/>
              </w:rPr>
            </w:pPr>
            <w:r>
              <w:rPr>
                <w:rFonts w:ascii="Arial" w:hAnsi="Arial"/>
                <w:sz w:val="18"/>
              </w:rPr>
              <w:t>нет</w:t>
            </w:r>
          </w:p>
        </w:tc>
        <w:tc>
          <w:tcPr>
            <w:tcW w:w="3240" w:type="dxa"/>
            <w:tcBorders>
              <w:top w:val="nil"/>
              <w:bottom w:val="nil"/>
            </w:tcBorders>
          </w:tcPr>
          <w:p w:rsidR="00603151" w:rsidRDefault="00603151" w:rsidP="005C53B5">
            <w:pPr>
              <w:numPr>
                <w:ilvl w:val="12"/>
                <w:numId w:val="0"/>
              </w:numPr>
              <w:ind w:right="170"/>
              <w:jc w:val="right"/>
              <w:rPr>
                <w:rFonts w:ascii="Arial" w:hAnsi="Arial"/>
                <w:sz w:val="18"/>
              </w:rPr>
            </w:pPr>
          </w:p>
        </w:tc>
      </w:tr>
      <w:tr w:rsidR="00603151">
        <w:tc>
          <w:tcPr>
            <w:tcW w:w="6300" w:type="dxa"/>
            <w:tcBorders>
              <w:top w:val="single" w:sz="12" w:space="0" w:color="auto"/>
            </w:tcBorders>
          </w:tcPr>
          <w:p w:rsidR="00603151" w:rsidRDefault="00603151" w:rsidP="005C53B5">
            <w:pPr>
              <w:jc w:val="both"/>
              <w:rPr>
                <w:rFonts w:ascii="Arial" w:hAnsi="Arial"/>
                <w:b/>
                <w:sz w:val="18"/>
              </w:rPr>
            </w:pPr>
            <w:r>
              <w:rPr>
                <w:rFonts w:ascii="Arial" w:hAnsi="Arial"/>
                <w:b/>
                <w:sz w:val="18"/>
                <w:lang w:val="en-US"/>
              </w:rPr>
              <w:t>IV</w:t>
            </w:r>
            <w:r>
              <w:rPr>
                <w:rFonts w:ascii="Arial" w:hAnsi="Arial"/>
                <w:b/>
                <w:sz w:val="18"/>
              </w:rPr>
              <w:t>. Опыт и квалификация работников ответственных за ведение бухгалтерского и налогового учета и составление отчетности</w:t>
            </w:r>
          </w:p>
        </w:tc>
        <w:tc>
          <w:tcPr>
            <w:tcW w:w="3240" w:type="dxa"/>
            <w:tcBorders>
              <w:top w:val="single" w:sz="12" w:space="0" w:color="auto"/>
            </w:tcBorders>
          </w:tcPr>
          <w:p w:rsidR="00603151" w:rsidRDefault="00603151" w:rsidP="005C53B5">
            <w:pPr>
              <w:ind w:right="170"/>
              <w:jc w:val="right"/>
              <w:rPr>
                <w:rFonts w:ascii="Arial" w:hAnsi="Arial"/>
                <w:sz w:val="18"/>
              </w:rPr>
            </w:pPr>
          </w:p>
        </w:tc>
      </w:tr>
      <w:tr w:rsidR="00603151">
        <w:tc>
          <w:tcPr>
            <w:tcW w:w="6300" w:type="dxa"/>
          </w:tcPr>
          <w:p w:rsidR="00603151" w:rsidRDefault="00603151" w:rsidP="00603151">
            <w:pPr>
              <w:numPr>
                <w:ilvl w:val="0"/>
                <w:numId w:val="14"/>
              </w:numPr>
              <w:spacing w:line="240" w:lineRule="auto"/>
              <w:jc w:val="both"/>
              <w:rPr>
                <w:rFonts w:ascii="Arial" w:hAnsi="Arial"/>
                <w:sz w:val="18"/>
              </w:rPr>
            </w:pPr>
            <w:r>
              <w:rPr>
                <w:rFonts w:ascii="Arial" w:hAnsi="Arial"/>
                <w:sz w:val="18"/>
              </w:rPr>
              <w:t>Главный бухгалтер имеет высшее или среднее специальное образование</w:t>
            </w:r>
          </w:p>
        </w:tc>
        <w:tc>
          <w:tcPr>
            <w:tcW w:w="3240" w:type="dxa"/>
          </w:tcPr>
          <w:p w:rsidR="00603151" w:rsidRDefault="00603151" w:rsidP="005C53B5">
            <w:pPr>
              <w:ind w:right="170"/>
              <w:jc w:val="right"/>
              <w:rPr>
                <w:rFonts w:ascii="Arial" w:hAnsi="Arial"/>
                <w:sz w:val="18"/>
              </w:rPr>
            </w:pPr>
          </w:p>
        </w:tc>
      </w:tr>
      <w:tr w:rsidR="00603151">
        <w:tc>
          <w:tcPr>
            <w:tcW w:w="6300" w:type="dxa"/>
          </w:tcPr>
          <w:p w:rsidR="00603151" w:rsidRDefault="00603151" w:rsidP="005C53B5">
            <w:pPr>
              <w:numPr>
                <w:ilvl w:val="12"/>
                <w:numId w:val="0"/>
              </w:numPr>
              <w:ind w:left="639"/>
              <w:rPr>
                <w:rFonts w:ascii="Arial" w:hAnsi="Arial"/>
                <w:sz w:val="18"/>
              </w:rPr>
            </w:pPr>
            <w:r>
              <w:rPr>
                <w:rFonts w:ascii="Arial" w:hAnsi="Arial"/>
                <w:sz w:val="18"/>
              </w:rPr>
              <w:t>да</w:t>
            </w:r>
          </w:p>
        </w:tc>
        <w:tc>
          <w:tcPr>
            <w:tcW w:w="3240" w:type="dxa"/>
          </w:tcPr>
          <w:p w:rsidR="00603151" w:rsidRDefault="00603151" w:rsidP="005C53B5">
            <w:pPr>
              <w:numPr>
                <w:ilvl w:val="12"/>
                <w:numId w:val="0"/>
              </w:numPr>
              <w:ind w:right="170"/>
              <w:jc w:val="right"/>
              <w:rPr>
                <w:rFonts w:ascii="Arial" w:hAnsi="Arial"/>
                <w:sz w:val="18"/>
              </w:rPr>
            </w:pPr>
          </w:p>
        </w:tc>
      </w:tr>
      <w:tr w:rsidR="00603151">
        <w:tc>
          <w:tcPr>
            <w:tcW w:w="6300" w:type="dxa"/>
          </w:tcPr>
          <w:p w:rsidR="00603151" w:rsidRDefault="00603151" w:rsidP="005C53B5">
            <w:pPr>
              <w:numPr>
                <w:ilvl w:val="12"/>
                <w:numId w:val="0"/>
              </w:numPr>
              <w:ind w:left="639"/>
              <w:rPr>
                <w:rFonts w:ascii="Arial" w:hAnsi="Arial"/>
                <w:sz w:val="18"/>
              </w:rPr>
            </w:pPr>
            <w:r>
              <w:rPr>
                <w:rFonts w:ascii="Arial" w:hAnsi="Arial"/>
                <w:sz w:val="18"/>
              </w:rPr>
              <w:t>нет</w:t>
            </w:r>
          </w:p>
        </w:tc>
        <w:tc>
          <w:tcPr>
            <w:tcW w:w="3240" w:type="dxa"/>
          </w:tcPr>
          <w:p w:rsidR="00603151" w:rsidRDefault="00603151" w:rsidP="005C53B5">
            <w:pPr>
              <w:numPr>
                <w:ilvl w:val="12"/>
                <w:numId w:val="0"/>
              </w:numPr>
              <w:ind w:right="170"/>
              <w:jc w:val="right"/>
              <w:rPr>
                <w:rFonts w:ascii="Arial" w:hAnsi="Arial"/>
                <w:sz w:val="18"/>
              </w:rPr>
            </w:pPr>
          </w:p>
        </w:tc>
      </w:tr>
      <w:tr w:rsidR="00603151">
        <w:tc>
          <w:tcPr>
            <w:tcW w:w="6300" w:type="dxa"/>
          </w:tcPr>
          <w:p w:rsidR="00603151" w:rsidRDefault="00603151" w:rsidP="005C53B5">
            <w:pPr>
              <w:ind w:firstLine="612"/>
              <w:jc w:val="both"/>
              <w:rPr>
                <w:rFonts w:ascii="Arial" w:hAnsi="Arial"/>
                <w:sz w:val="18"/>
              </w:rPr>
            </w:pPr>
            <w:r>
              <w:rPr>
                <w:rFonts w:ascii="Arial" w:hAnsi="Arial"/>
                <w:sz w:val="18"/>
              </w:rPr>
              <w:t>Стаж работы в данной должности</w:t>
            </w:r>
          </w:p>
        </w:tc>
        <w:tc>
          <w:tcPr>
            <w:tcW w:w="3240" w:type="dxa"/>
          </w:tcPr>
          <w:p w:rsidR="00603151" w:rsidRDefault="00603151" w:rsidP="005C53B5">
            <w:pPr>
              <w:numPr>
                <w:ilvl w:val="12"/>
                <w:numId w:val="0"/>
              </w:numPr>
              <w:ind w:right="170"/>
              <w:jc w:val="right"/>
              <w:rPr>
                <w:rFonts w:ascii="Arial" w:hAnsi="Arial"/>
                <w:sz w:val="18"/>
              </w:rPr>
            </w:pPr>
          </w:p>
        </w:tc>
      </w:tr>
      <w:tr w:rsidR="00603151">
        <w:tc>
          <w:tcPr>
            <w:tcW w:w="6300" w:type="dxa"/>
          </w:tcPr>
          <w:p w:rsidR="00603151" w:rsidRDefault="00603151" w:rsidP="005C53B5">
            <w:pPr>
              <w:numPr>
                <w:ilvl w:val="12"/>
                <w:numId w:val="0"/>
              </w:numPr>
              <w:ind w:left="612"/>
              <w:jc w:val="both"/>
              <w:rPr>
                <w:rFonts w:ascii="Arial" w:hAnsi="Arial"/>
                <w:sz w:val="18"/>
              </w:rPr>
            </w:pPr>
            <w:r>
              <w:rPr>
                <w:rFonts w:ascii="Arial" w:hAnsi="Arial"/>
                <w:sz w:val="18"/>
              </w:rPr>
              <w:t>менее 2 лет</w:t>
            </w:r>
          </w:p>
        </w:tc>
        <w:tc>
          <w:tcPr>
            <w:tcW w:w="3240" w:type="dxa"/>
          </w:tcPr>
          <w:p w:rsidR="00603151" w:rsidRDefault="00603151" w:rsidP="005C53B5">
            <w:pPr>
              <w:numPr>
                <w:ilvl w:val="12"/>
                <w:numId w:val="0"/>
              </w:numPr>
              <w:ind w:right="170"/>
              <w:jc w:val="right"/>
              <w:rPr>
                <w:rFonts w:ascii="Arial" w:hAnsi="Arial"/>
                <w:sz w:val="18"/>
              </w:rPr>
            </w:pPr>
          </w:p>
        </w:tc>
      </w:tr>
      <w:tr w:rsidR="00603151">
        <w:tc>
          <w:tcPr>
            <w:tcW w:w="6300" w:type="dxa"/>
          </w:tcPr>
          <w:p w:rsidR="00603151" w:rsidRDefault="00603151" w:rsidP="005C53B5">
            <w:pPr>
              <w:numPr>
                <w:ilvl w:val="12"/>
                <w:numId w:val="0"/>
              </w:numPr>
              <w:ind w:left="612"/>
              <w:jc w:val="both"/>
              <w:rPr>
                <w:rFonts w:ascii="Arial" w:hAnsi="Arial"/>
                <w:sz w:val="18"/>
              </w:rPr>
            </w:pPr>
            <w:r>
              <w:rPr>
                <w:rFonts w:ascii="Arial" w:hAnsi="Arial"/>
                <w:sz w:val="18"/>
              </w:rPr>
              <w:t>от 2 до 10 лет</w:t>
            </w:r>
          </w:p>
        </w:tc>
        <w:tc>
          <w:tcPr>
            <w:tcW w:w="3240" w:type="dxa"/>
          </w:tcPr>
          <w:p w:rsidR="00603151" w:rsidRDefault="00603151" w:rsidP="005C53B5">
            <w:pPr>
              <w:numPr>
                <w:ilvl w:val="12"/>
                <w:numId w:val="0"/>
              </w:numPr>
              <w:ind w:right="170"/>
              <w:jc w:val="right"/>
              <w:rPr>
                <w:rFonts w:ascii="Arial" w:hAnsi="Arial"/>
                <w:sz w:val="18"/>
              </w:rPr>
            </w:pPr>
          </w:p>
        </w:tc>
      </w:tr>
      <w:tr w:rsidR="00603151">
        <w:tc>
          <w:tcPr>
            <w:tcW w:w="6300" w:type="dxa"/>
          </w:tcPr>
          <w:p w:rsidR="00603151" w:rsidRDefault="00603151" w:rsidP="005C53B5">
            <w:pPr>
              <w:numPr>
                <w:ilvl w:val="12"/>
                <w:numId w:val="0"/>
              </w:numPr>
              <w:ind w:left="612"/>
              <w:jc w:val="both"/>
              <w:rPr>
                <w:rFonts w:ascii="Arial" w:hAnsi="Arial"/>
                <w:sz w:val="18"/>
              </w:rPr>
            </w:pPr>
            <w:r>
              <w:rPr>
                <w:rFonts w:ascii="Arial" w:hAnsi="Arial"/>
                <w:sz w:val="18"/>
              </w:rPr>
              <w:t>свыше 10 лет</w:t>
            </w:r>
          </w:p>
        </w:tc>
        <w:tc>
          <w:tcPr>
            <w:tcW w:w="3240" w:type="dxa"/>
          </w:tcPr>
          <w:p w:rsidR="00603151" w:rsidRDefault="00603151" w:rsidP="005C53B5">
            <w:pPr>
              <w:numPr>
                <w:ilvl w:val="12"/>
                <w:numId w:val="0"/>
              </w:numPr>
              <w:ind w:right="170"/>
              <w:jc w:val="right"/>
              <w:rPr>
                <w:rFonts w:ascii="Arial" w:hAnsi="Arial"/>
                <w:sz w:val="18"/>
              </w:rPr>
            </w:pPr>
          </w:p>
        </w:tc>
      </w:tr>
      <w:tr w:rsidR="00603151">
        <w:tc>
          <w:tcPr>
            <w:tcW w:w="6300" w:type="dxa"/>
          </w:tcPr>
          <w:p w:rsidR="00603151" w:rsidRDefault="00603151" w:rsidP="005C53B5">
            <w:pPr>
              <w:tabs>
                <w:tab w:val="left" w:pos="927"/>
              </w:tabs>
              <w:ind w:firstLine="612"/>
              <w:jc w:val="both"/>
              <w:rPr>
                <w:rFonts w:ascii="Arial" w:hAnsi="Arial"/>
                <w:sz w:val="18"/>
              </w:rPr>
            </w:pPr>
            <w:r>
              <w:rPr>
                <w:rFonts w:ascii="Arial" w:hAnsi="Arial"/>
                <w:sz w:val="18"/>
              </w:rPr>
              <w:t xml:space="preserve">Стаж работы в проверяемой организации </w:t>
            </w:r>
          </w:p>
        </w:tc>
        <w:tc>
          <w:tcPr>
            <w:tcW w:w="3240" w:type="dxa"/>
          </w:tcPr>
          <w:p w:rsidR="00603151" w:rsidRDefault="00603151" w:rsidP="005C53B5">
            <w:pPr>
              <w:numPr>
                <w:ilvl w:val="12"/>
                <w:numId w:val="0"/>
              </w:numPr>
              <w:ind w:right="170"/>
              <w:jc w:val="right"/>
              <w:rPr>
                <w:rFonts w:ascii="Arial" w:hAnsi="Arial"/>
                <w:sz w:val="18"/>
              </w:rPr>
            </w:pPr>
          </w:p>
        </w:tc>
      </w:tr>
      <w:tr w:rsidR="00603151">
        <w:tc>
          <w:tcPr>
            <w:tcW w:w="6300" w:type="dxa"/>
          </w:tcPr>
          <w:p w:rsidR="00603151" w:rsidRDefault="00603151" w:rsidP="005C53B5">
            <w:pPr>
              <w:numPr>
                <w:ilvl w:val="12"/>
                <w:numId w:val="0"/>
              </w:numPr>
              <w:ind w:left="612"/>
              <w:jc w:val="both"/>
              <w:rPr>
                <w:rFonts w:ascii="Arial" w:hAnsi="Arial"/>
                <w:sz w:val="18"/>
              </w:rPr>
            </w:pPr>
            <w:r>
              <w:rPr>
                <w:rFonts w:ascii="Arial" w:hAnsi="Arial"/>
                <w:sz w:val="18"/>
              </w:rPr>
              <w:t>менее 1 года</w:t>
            </w:r>
          </w:p>
        </w:tc>
        <w:tc>
          <w:tcPr>
            <w:tcW w:w="3240" w:type="dxa"/>
          </w:tcPr>
          <w:p w:rsidR="00603151" w:rsidRDefault="00603151" w:rsidP="005C53B5">
            <w:pPr>
              <w:numPr>
                <w:ilvl w:val="12"/>
                <w:numId w:val="0"/>
              </w:numPr>
              <w:ind w:right="170"/>
              <w:jc w:val="right"/>
              <w:rPr>
                <w:rFonts w:ascii="Arial" w:hAnsi="Arial"/>
                <w:sz w:val="18"/>
              </w:rPr>
            </w:pPr>
          </w:p>
        </w:tc>
      </w:tr>
      <w:tr w:rsidR="00603151">
        <w:tc>
          <w:tcPr>
            <w:tcW w:w="6300" w:type="dxa"/>
          </w:tcPr>
          <w:p w:rsidR="00603151" w:rsidRDefault="00603151" w:rsidP="005C53B5">
            <w:pPr>
              <w:numPr>
                <w:ilvl w:val="12"/>
                <w:numId w:val="0"/>
              </w:numPr>
              <w:ind w:left="612"/>
              <w:jc w:val="both"/>
              <w:rPr>
                <w:rFonts w:ascii="Arial" w:hAnsi="Arial"/>
                <w:sz w:val="18"/>
              </w:rPr>
            </w:pPr>
            <w:r>
              <w:rPr>
                <w:rFonts w:ascii="Arial" w:hAnsi="Arial"/>
                <w:sz w:val="18"/>
              </w:rPr>
              <w:t>от 1 года до 5 лет</w:t>
            </w:r>
          </w:p>
        </w:tc>
        <w:tc>
          <w:tcPr>
            <w:tcW w:w="3240" w:type="dxa"/>
          </w:tcPr>
          <w:p w:rsidR="00603151" w:rsidRDefault="00603151" w:rsidP="005C53B5">
            <w:pPr>
              <w:numPr>
                <w:ilvl w:val="12"/>
                <w:numId w:val="0"/>
              </w:numPr>
              <w:ind w:right="170"/>
              <w:jc w:val="right"/>
              <w:rPr>
                <w:rFonts w:ascii="Arial" w:hAnsi="Arial"/>
                <w:sz w:val="18"/>
              </w:rPr>
            </w:pPr>
          </w:p>
        </w:tc>
      </w:tr>
      <w:tr w:rsidR="00603151">
        <w:tc>
          <w:tcPr>
            <w:tcW w:w="6300" w:type="dxa"/>
          </w:tcPr>
          <w:p w:rsidR="00603151" w:rsidRDefault="00603151" w:rsidP="005C53B5">
            <w:pPr>
              <w:numPr>
                <w:ilvl w:val="12"/>
                <w:numId w:val="0"/>
              </w:numPr>
              <w:ind w:left="612"/>
              <w:jc w:val="both"/>
              <w:rPr>
                <w:rFonts w:ascii="Arial" w:hAnsi="Arial"/>
                <w:sz w:val="18"/>
              </w:rPr>
            </w:pPr>
            <w:r>
              <w:rPr>
                <w:rFonts w:ascii="Arial" w:hAnsi="Arial"/>
                <w:sz w:val="18"/>
              </w:rPr>
              <w:t>свыше 5 лет</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603151">
            <w:pPr>
              <w:numPr>
                <w:ilvl w:val="0"/>
                <w:numId w:val="15"/>
              </w:numPr>
              <w:tabs>
                <w:tab w:val="left" w:pos="644"/>
              </w:tabs>
              <w:spacing w:line="240" w:lineRule="auto"/>
              <w:ind w:left="857" w:hanging="573"/>
              <w:jc w:val="left"/>
              <w:rPr>
                <w:rFonts w:ascii="Arial" w:hAnsi="Arial"/>
                <w:sz w:val="18"/>
              </w:rPr>
            </w:pPr>
            <w:r>
              <w:rPr>
                <w:rFonts w:ascii="Arial" w:hAnsi="Arial"/>
                <w:sz w:val="18"/>
              </w:rPr>
              <w:t>Средний возраст работников бухгалтерии и налоговой службы:</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567" w:firstLine="72"/>
              <w:rPr>
                <w:rFonts w:ascii="Arial" w:hAnsi="Arial"/>
                <w:sz w:val="18"/>
              </w:rPr>
            </w:pPr>
            <w:r>
              <w:rPr>
                <w:rFonts w:ascii="Arial" w:hAnsi="Arial"/>
                <w:sz w:val="18"/>
              </w:rPr>
              <w:t>от 20 до 30 лет;</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567" w:firstLine="72"/>
              <w:rPr>
                <w:rFonts w:ascii="Arial" w:hAnsi="Arial"/>
                <w:sz w:val="18"/>
              </w:rPr>
            </w:pPr>
            <w:r>
              <w:rPr>
                <w:rFonts w:ascii="Arial" w:hAnsi="Arial"/>
                <w:sz w:val="18"/>
              </w:rPr>
              <w:t>свыше 30.</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603151">
            <w:pPr>
              <w:numPr>
                <w:ilvl w:val="0"/>
                <w:numId w:val="15"/>
              </w:numPr>
              <w:tabs>
                <w:tab w:val="left" w:pos="644"/>
              </w:tabs>
              <w:spacing w:line="240" w:lineRule="auto"/>
              <w:ind w:left="644"/>
              <w:jc w:val="left"/>
              <w:rPr>
                <w:rFonts w:ascii="Arial" w:hAnsi="Arial"/>
                <w:sz w:val="18"/>
              </w:rPr>
            </w:pPr>
            <w:r>
              <w:rPr>
                <w:rFonts w:ascii="Arial" w:hAnsi="Arial"/>
                <w:sz w:val="18"/>
              </w:rPr>
              <w:t>Доля работников бухгалтерии и налоговой службы, имеющих высшее или среднее экономическое образование</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567" w:firstLine="72"/>
              <w:rPr>
                <w:rFonts w:ascii="Arial" w:hAnsi="Arial"/>
                <w:sz w:val="18"/>
              </w:rPr>
            </w:pPr>
            <w:r>
              <w:rPr>
                <w:rFonts w:ascii="Arial" w:hAnsi="Arial"/>
                <w:sz w:val="18"/>
              </w:rPr>
              <w:t>менее 30%</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567" w:firstLine="72"/>
              <w:rPr>
                <w:rFonts w:ascii="Arial" w:hAnsi="Arial"/>
                <w:sz w:val="18"/>
              </w:rPr>
            </w:pPr>
            <w:r>
              <w:rPr>
                <w:rFonts w:ascii="Arial" w:hAnsi="Arial"/>
                <w:sz w:val="18"/>
              </w:rPr>
              <w:t>от 30 до 65%</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567" w:firstLine="72"/>
              <w:rPr>
                <w:rFonts w:ascii="Arial" w:hAnsi="Arial"/>
                <w:sz w:val="18"/>
              </w:rPr>
            </w:pPr>
            <w:r>
              <w:rPr>
                <w:rFonts w:ascii="Arial" w:hAnsi="Arial"/>
                <w:sz w:val="18"/>
              </w:rPr>
              <w:t>более 65%</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603151">
            <w:pPr>
              <w:numPr>
                <w:ilvl w:val="0"/>
                <w:numId w:val="15"/>
              </w:numPr>
              <w:tabs>
                <w:tab w:val="left" w:pos="644"/>
              </w:tabs>
              <w:spacing w:line="240" w:lineRule="auto"/>
              <w:ind w:left="644"/>
              <w:jc w:val="left"/>
              <w:rPr>
                <w:rFonts w:ascii="Arial" w:hAnsi="Arial"/>
                <w:sz w:val="18"/>
              </w:rPr>
            </w:pPr>
            <w:r>
              <w:rPr>
                <w:rFonts w:ascii="Arial" w:hAnsi="Arial"/>
                <w:sz w:val="18"/>
              </w:rPr>
              <w:t>Доля работников бухгалтерии и налоговогй службы, обучавшихся за последний год на курсах повышения квалификации, посещающих семинары, получающих дополнительное образование</w:t>
            </w:r>
          </w:p>
        </w:tc>
        <w:tc>
          <w:tcPr>
            <w:tcW w:w="3240" w:type="dxa"/>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567" w:firstLine="72"/>
              <w:rPr>
                <w:rFonts w:ascii="Arial" w:hAnsi="Arial"/>
                <w:sz w:val="18"/>
              </w:rPr>
            </w:pPr>
            <w:r>
              <w:rPr>
                <w:rFonts w:ascii="Arial" w:hAnsi="Arial"/>
                <w:sz w:val="18"/>
              </w:rPr>
              <w:t>менее 20%</w:t>
            </w:r>
          </w:p>
        </w:tc>
        <w:tc>
          <w:tcPr>
            <w:tcW w:w="3240" w:type="dxa"/>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Borders>
              <w:bottom w:val="nil"/>
            </w:tcBorders>
          </w:tcPr>
          <w:p w:rsidR="00603151" w:rsidRDefault="00603151" w:rsidP="005C53B5">
            <w:pPr>
              <w:numPr>
                <w:ilvl w:val="12"/>
                <w:numId w:val="0"/>
              </w:numPr>
              <w:ind w:left="567" w:firstLine="72"/>
              <w:rPr>
                <w:rFonts w:ascii="Arial" w:hAnsi="Arial"/>
                <w:sz w:val="18"/>
              </w:rPr>
            </w:pPr>
            <w:r>
              <w:rPr>
                <w:rFonts w:ascii="Arial" w:hAnsi="Arial"/>
                <w:sz w:val="18"/>
              </w:rPr>
              <w:t>от 20 до 40%</w:t>
            </w:r>
          </w:p>
        </w:tc>
        <w:tc>
          <w:tcPr>
            <w:tcW w:w="3240" w:type="dxa"/>
            <w:tcBorders>
              <w:bottom w:val="nil"/>
            </w:tcBorders>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Borders>
              <w:bottom w:val="nil"/>
            </w:tcBorders>
          </w:tcPr>
          <w:p w:rsidR="00603151" w:rsidRDefault="00603151" w:rsidP="005C53B5">
            <w:pPr>
              <w:numPr>
                <w:ilvl w:val="12"/>
                <w:numId w:val="0"/>
              </w:numPr>
              <w:ind w:left="567" w:firstLine="72"/>
              <w:rPr>
                <w:rFonts w:ascii="Arial" w:hAnsi="Arial"/>
                <w:sz w:val="18"/>
              </w:rPr>
            </w:pPr>
            <w:r>
              <w:rPr>
                <w:rFonts w:ascii="Arial" w:hAnsi="Arial"/>
                <w:sz w:val="18"/>
              </w:rPr>
              <w:t>свыше 40%</w:t>
            </w:r>
          </w:p>
        </w:tc>
        <w:tc>
          <w:tcPr>
            <w:tcW w:w="3240" w:type="dxa"/>
            <w:tcBorders>
              <w:bottom w:val="nil"/>
            </w:tcBorders>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Borders>
              <w:bottom w:val="nil"/>
            </w:tcBorders>
          </w:tcPr>
          <w:p w:rsidR="00603151" w:rsidRDefault="00603151" w:rsidP="00603151">
            <w:pPr>
              <w:numPr>
                <w:ilvl w:val="0"/>
                <w:numId w:val="15"/>
              </w:numPr>
              <w:tabs>
                <w:tab w:val="clear" w:pos="927"/>
              </w:tabs>
              <w:spacing w:line="240" w:lineRule="auto"/>
              <w:ind w:left="612"/>
              <w:jc w:val="left"/>
              <w:rPr>
                <w:rFonts w:ascii="Arial" w:hAnsi="Arial"/>
                <w:sz w:val="18"/>
              </w:rPr>
            </w:pPr>
            <w:r>
              <w:rPr>
                <w:rFonts w:ascii="Arial" w:hAnsi="Arial"/>
                <w:sz w:val="18"/>
              </w:rPr>
              <w:t>Текучесть кадров бухгалтерии и налоговой службы</w:t>
            </w:r>
          </w:p>
        </w:tc>
        <w:tc>
          <w:tcPr>
            <w:tcW w:w="3240" w:type="dxa"/>
            <w:tcBorders>
              <w:bottom w:val="nil"/>
            </w:tcBorders>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Borders>
              <w:bottom w:val="nil"/>
            </w:tcBorders>
          </w:tcPr>
          <w:p w:rsidR="00603151" w:rsidRDefault="00603151" w:rsidP="005C53B5">
            <w:pPr>
              <w:numPr>
                <w:ilvl w:val="12"/>
                <w:numId w:val="0"/>
              </w:numPr>
              <w:ind w:left="567" w:firstLine="72"/>
              <w:rPr>
                <w:rFonts w:ascii="Arial" w:hAnsi="Arial"/>
                <w:sz w:val="18"/>
              </w:rPr>
            </w:pPr>
            <w:r>
              <w:rPr>
                <w:rFonts w:ascii="Arial" w:hAnsi="Arial"/>
                <w:sz w:val="18"/>
              </w:rPr>
              <w:t>высокая (свыше 40%)</w:t>
            </w:r>
          </w:p>
        </w:tc>
        <w:tc>
          <w:tcPr>
            <w:tcW w:w="3240" w:type="dxa"/>
            <w:tcBorders>
              <w:bottom w:val="nil"/>
            </w:tcBorders>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Borders>
              <w:bottom w:val="nil"/>
            </w:tcBorders>
          </w:tcPr>
          <w:p w:rsidR="00603151" w:rsidRDefault="00603151" w:rsidP="005C53B5">
            <w:pPr>
              <w:numPr>
                <w:ilvl w:val="12"/>
                <w:numId w:val="0"/>
              </w:numPr>
              <w:ind w:left="567" w:firstLine="72"/>
              <w:rPr>
                <w:rFonts w:ascii="Arial" w:hAnsi="Arial"/>
                <w:sz w:val="18"/>
              </w:rPr>
            </w:pPr>
            <w:r>
              <w:rPr>
                <w:rFonts w:ascii="Arial" w:hAnsi="Arial"/>
                <w:sz w:val="18"/>
              </w:rPr>
              <w:t>средняя (от 10 до 40%)</w:t>
            </w:r>
          </w:p>
        </w:tc>
        <w:tc>
          <w:tcPr>
            <w:tcW w:w="3240" w:type="dxa"/>
            <w:tcBorders>
              <w:bottom w:val="nil"/>
            </w:tcBorders>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Borders>
              <w:bottom w:val="nil"/>
            </w:tcBorders>
          </w:tcPr>
          <w:p w:rsidR="00603151" w:rsidRDefault="00603151" w:rsidP="005C53B5">
            <w:pPr>
              <w:numPr>
                <w:ilvl w:val="12"/>
                <w:numId w:val="0"/>
              </w:numPr>
              <w:ind w:left="567" w:firstLine="72"/>
              <w:rPr>
                <w:rFonts w:ascii="Arial" w:hAnsi="Arial"/>
                <w:sz w:val="18"/>
              </w:rPr>
            </w:pPr>
            <w:r>
              <w:rPr>
                <w:rFonts w:ascii="Arial" w:hAnsi="Arial"/>
                <w:sz w:val="18"/>
              </w:rPr>
              <w:t>низкая (менее 10%)</w:t>
            </w:r>
          </w:p>
        </w:tc>
        <w:tc>
          <w:tcPr>
            <w:tcW w:w="3240" w:type="dxa"/>
            <w:tcBorders>
              <w:bottom w:val="nil"/>
            </w:tcBorders>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Borders>
              <w:top w:val="single" w:sz="12" w:space="0" w:color="auto"/>
              <w:bottom w:val="single" w:sz="12" w:space="0" w:color="auto"/>
            </w:tcBorders>
          </w:tcPr>
          <w:p w:rsidR="00603151" w:rsidRPr="00B93E0F" w:rsidRDefault="00603151" w:rsidP="005C53B5">
            <w:pPr>
              <w:rPr>
                <w:b/>
                <w:sz w:val="18"/>
              </w:rPr>
            </w:pPr>
            <w:r w:rsidRPr="00B93E0F">
              <w:rPr>
                <w:b/>
                <w:sz w:val="18"/>
                <w:lang w:val="en-US"/>
              </w:rPr>
              <w:t>V</w:t>
            </w:r>
            <w:r w:rsidRPr="00B93E0F">
              <w:rPr>
                <w:b/>
                <w:sz w:val="18"/>
              </w:rPr>
              <w:t>. Наличие информации о нарушениях налогового законодательства</w:t>
            </w:r>
          </w:p>
        </w:tc>
        <w:tc>
          <w:tcPr>
            <w:tcW w:w="3240" w:type="dxa"/>
            <w:tcBorders>
              <w:top w:val="single" w:sz="12" w:space="0" w:color="auto"/>
              <w:bottom w:val="single" w:sz="12" w:space="0" w:color="auto"/>
            </w:tcBorders>
          </w:tcPr>
          <w:p w:rsidR="00603151" w:rsidRDefault="00603151" w:rsidP="005C53B5">
            <w:pPr>
              <w:ind w:right="170"/>
              <w:jc w:val="right"/>
              <w:rPr>
                <w:rFonts w:ascii="Arial" w:hAnsi="Arial"/>
                <w:b/>
                <w:sz w:val="18"/>
              </w:rPr>
            </w:pPr>
          </w:p>
        </w:tc>
      </w:tr>
      <w:tr w:rsidR="00603151">
        <w:tblPrEx>
          <w:tblCellMar>
            <w:left w:w="70" w:type="dxa"/>
            <w:right w:w="70" w:type="dxa"/>
          </w:tblCellMar>
        </w:tblPrEx>
        <w:tc>
          <w:tcPr>
            <w:tcW w:w="6300" w:type="dxa"/>
            <w:tcBorders>
              <w:top w:val="nil"/>
            </w:tcBorders>
          </w:tcPr>
          <w:p w:rsidR="00603151" w:rsidRPr="00B93E0F" w:rsidRDefault="00603151" w:rsidP="005C53B5">
            <w:pPr>
              <w:keepNext/>
              <w:rPr>
                <w:b/>
                <w:sz w:val="18"/>
              </w:rPr>
            </w:pPr>
            <w:r w:rsidRPr="00B93E0F">
              <w:rPr>
                <w:b/>
                <w:sz w:val="18"/>
                <w:lang w:val="en-US"/>
              </w:rPr>
              <w:t>VI</w:t>
            </w:r>
            <w:r w:rsidRPr="00B93E0F">
              <w:rPr>
                <w:b/>
                <w:sz w:val="18"/>
              </w:rPr>
              <w:t>. Наличие обстоятельств, влияющих на возможность искажения показателей финансовой и налоговой отчетности</w:t>
            </w:r>
          </w:p>
        </w:tc>
        <w:tc>
          <w:tcPr>
            <w:tcW w:w="3240" w:type="dxa"/>
            <w:tcBorders>
              <w:top w:val="nil"/>
            </w:tcBorders>
          </w:tcPr>
          <w:p w:rsidR="00603151" w:rsidRDefault="00603151" w:rsidP="005C53B5">
            <w:pPr>
              <w:ind w:right="170"/>
              <w:jc w:val="right"/>
              <w:rPr>
                <w:rFonts w:ascii="Arial" w:hAnsi="Arial"/>
                <w:b/>
                <w:sz w:val="18"/>
              </w:rPr>
            </w:pPr>
          </w:p>
        </w:tc>
      </w:tr>
      <w:tr w:rsidR="00603151">
        <w:tblPrEx>
          <w:tblCellMar>
            <w:left w:w="70" w:type="dxa"/>
            <w:right w:w="70" w:type="dxa"/>
          </w:tblCellMar>
        </w:tblPrEx>
        <w:tc>
          <w:tcPr>
            <w:tcW w:w="6300" w:type="dxa"/>
          </w:tcPr>
          <w:p w:rsidR="00603151" w:rsidRPr="00B93E0F" w:rsidRDefault="00603151" w:rsidP="005C53B5">
            <w:pPr>
              <w:keepNext/>
              <w:ind w:left="567"/>
              <w:rPr>
                <w:sz w:val="18"/>
              </w:rPr>
            </w:pPr>
            <w:r w:rsidRPr="00B93E0F">
              <w:rPr>
                <w:sz w:val="18"/>
              </w:rPr>
              <w:t>1. Угроза непрерывности деятельности</w:t>
            </w:r>
          </w:p>
        </w:tc>
        <w:tc>
          <w:tcPr>
            <w:tcW w:w="3240" w:type="dxa"/>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Borders>
              <w:bottom w:val="nil"/>
            </w:tcBorders>
          </w:tcPr>
          <w:p w:rsidR="00603151" w:rsidRPr="00B93E0F" w:rsidRDefault="00603151" w:rsidP="005C53B5">
            <w:pPr>
              <w:rPr>
                <w:sz w:val="18"/>
              </w:rPr>
            </w:pPr>
            <w:r w:rsidRPr="00B93E0F">
              <w:rPr>
                <w:sz w:val="18"/>
              </w:rPr>
              <w:t xml:space="preserve">          2. Реорганизация</w:t>
            </w:r>
          </w:p>
        </w:tc>
        <w:tc>
          <w:tcPr>
            <w:tcW w:w="3240" w:type="dxa"/>
            <w:tcBorders>
              <w:bottom w:val="nil"/>
            </w:tcBorders>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Borders>
              <w:bottom w:val="single" w:sz="12" w:space="0" w:color="auto"/>
            </w:tcBorders>
          </w:tcPr>
          <w:p w:rsidR="00603151" w:rsidRPr="00B93E0F" w:rsidRDefault="00603151" w:rsidP="005C53B5">
            <w:pPr>
              <w:ind w:left="567"/>
              <w:rPr>
                <w:sz w:val="18"/>
              </w:rPr>
            </w:pPr>
            <w:r w:rsidRPr="00B93E0F">
              <w:rPr>
                <w:sz w:val="18"/>
              </w:rPr>
              <w:t>3. Наличие внешнего давления на руководителей и персонал (со стороны собственников, проверяющих органов, вышестоящих организаций)</w:t>
            </w:r>
          </w:p>
        </w:tc>
        <w:tc>
          <w:tcPr>
            <w:tcW w:w="3240" w:type="dxa"/>
            <w:tcBorders>
              <w:bottom w:val="single" w:sz="12" w:space="0" w:color="auto"/>
            </w:tcBorders>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Borders>
              <w:top w:val="nil"/>
            </w:tcBorders>
          </w:tcPr>
          <w:p w:rsidR="00603151" w:rsidRPr="00B93E0F" w:rsidRDefault="00603151" w:rsidP="005C53B5">
            <w:pPr>
              <w:rPr>
                <w:spacing w:val="-4"/>
                <w:sz w:val="18"/>
              </w:rPr>
            </w:pPr>
            <w:r w:rsidRPr="00B93E0F">
              <w:rPr>
                <w:b/>
                <w:sz w:val="18"/>
                <w:lang w:val="en-US"/>
              </w:rPr>
              <w:t>VI</w:t>
            </w:r>
            <w:r w:rsidRPr="00B93E0F">
              <w:rPr>
                <w:b/>
                <w:spacing w:val="-4"/>
                <w:sz w:val="18"/>
                <w:lang w:val="en-US"/>
              </w:rPr>
              <w:t>I</w:t>
            </w:r>
            <w:r w:rsidRPr="00B93E0F">
              <w:rPr>
                <w:b/>
                <w:spacing w:val="-4"/>
                <w:sz w:val="18"/>
              </w:rPr>
              <w:t>. Роль и место средств вычислительной техники в ведении учета и подготовки отчетности</w:t>
            </w:r>
          </w:p>
        </w:tc>
        <w:tc>
          <w:tcPr>
            <w:tcW w:w="3240" w:type="dxa"/>
            <w:tcBorders>
              <w:top w:val="nil"/>
            </w:tcBorders>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Pr>
          <w:p w:rsidR="00603151" w:rsidRPr="00B93E0F" w:rsidRDefault="00603151" w:rsidP="00603151">
            <w:pPr>
              <w:numPr>
                <w:ilvl w:val="0"/>
                <w:numId w:val="16"/>
              </w:numPr>
              <w:tabs>
                <w:tab w:val="left" w:pos="644"/>
              </w:tabs>
              <w:spacing w:line="240" w:lineRule="auto"/>
              <w:jc w:val="left"/>
              <w:rPr>
                <w:sz w:val="18"/>
              </w:rPr>
            </w:pPr>
            <w:r w:rsidRPr="00B93E0F">
              <w:rPr>
                <w:sz w:val="18"/>
              </w:rPr>
              <w:t>Применяемая система КОД</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567" w:firstLine="72"/>
              <w:rPr>
                <w:rFonts w:ascii="Arial" w:hAnsi="Arial"/>
                <w:sz w:val="18"/>
              </w:rPr>
            </w:pPr>
            <w:r>
              <w:rPr>
                <w:rFonts w:ascii="Arial" w:hAnsi="Arial"/>
                <w:sz w:val="18"/>
              </w:rPr>
              <w:t xml:space="preserve">универсальная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567" w:firstLine="72"/>
              <w:rPr>
                <w:rFonts w:ascii="Arial" w:hAnsi="Arial"/>
                <w:sz w:val="18"/>
              </w:rPr>
            </w:pPr>
            <w:r>
              <w:rPr>
                <w:rFonts w:ascii="Arial" w:hAnsi="Arial"/>
                <w:sz w:val="18"/>
              </w:rPr>
              <w:t xml:space="preserve">адаптированная к условиям данной организации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567" w:firstLine="72"/>
              <w:rPr>
                <w:rFonts w:ascii="Arial" w:hAnsi="Arial"/>
                <w:sz w:val="18"/>
              </w:rPr>
            </w:pPr>
            <w:r>
              <w:rPr>
                <w:rFonts w:ascii="Arial" w:hAnsi="Arial"/>
                <w:sz w:val="18"/>
              </w:rPr>
              <w:t xml:space="preserve">разработанная специально для данной организации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603151">
            <w:pPr>
              <w:keepNext/>
              <w:numPr>
                <w:ilvl w:val="0"/>
                <w:numId w:val="16"/>
              </w:numPr>
              <w:tabs>
                <w:tab w:val="left" w:pos="644"/>
              </w:tabs>
              <w:spacing w:line="240" w:lineRule="auto"/>
              <w:ind w:left="641" w:hanging="357"/>
              <w:jc w:val="left"/>
              <w:rPr>
                <w:rFonts w:ascii="Arial" w:hAnsi="Arial"/>
                <w:sz w:val="18"/>
              </w:rPr>
            </w:pPr>
            <w:r>
              <w:rPr>
                <w:rFonts w:ascii="Arial" w:hAnsi="Arial"/>
                <w:sz w:val="18"/>
              </w:rPr>
              <w:t xml:space="preserve">Наличие разработанной единой внутренней отчетности и единой системы свода данных для структурных подразделений </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567" w:firstLine="72"/>
              <w:rPr>
                <w:rFonts w:ascii="Arial" w:hAnsi="Arial"/>
                <w:sz w:val="18"/>
              </w:rPr>
            </w:pPr>
            <w:r>
              <w:rPr>
                <w:rFonts w:ascii="Arial" w:hAnsi="Arial"/>
                <w:sz w:val="18"/>
              </w:rPr>
              <w:t>да</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numPr>
                <w:ilvl w:val="12"/>
                <w:numId w:val="0"/>
              </w:numPr>
              <w:ind w:left="567" w:firstLine="72"/>
              <w:rPr>
                <w:rFonts w:ascii="Arial" w:hAnsi="Arial"/>
                <w:sz w:val="18"/>
              </w:rPr>
            </w:pPr>
            <w:r>
              <w:rPr>
                <w:rFonts w:ascii="Arial" w:hAnsi="Arial"/>
                <w:sz w:val="18"/>
              </w:rPr>
              <w:t>нет</w:t>
            </w:r>
          </w:p>
        </w:tc>
        <w:tc>
          <w:tcPr>
            <w:tcW w:w="3240" w:type="dxa"/>
          </w:tcPr>
          <w:p w:rsidR="00603151" w:rsidRDefault="00603151" w:rsidP="005C53B5">
            <w:pPr>
              <w:numPr>
                <w:ilvl w:val="12"/>
                <w:numId w:val="0"/>
              </w:num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rPr>
                <w:rFonts w:ascii="Arial" w:hAnsi="Arial"/>
                <w:b/>
                <w:sz w:val="18"/>
              </w:rPr>
            </w:pPr>
            <w:r>
              <w:rPr>
                <w:rFonts w:ascii="Arial" w:hAnsi="Arial"/>
                <w:b/>
                <w:sz w:val="18"/>
              </w:rPr>
              <w:t>Итого оценок:</w:t>
            </w:r>
          </w:p>
        </w:tc>
        <w:tc>
          <w:tcPr>
            <w:tcW w:w="3240" w:type="dxa"/>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ind w:firstLine="540"/>
              <w:rPr>
                <w:rFonts w:ascii="Arial" w:hAnsi="Arial"/>
                <w:b/>
                <w:sz w:val="18"/>
              </w:rPr>
            </w:pPr>
            <w:r>
              <w:rPr>
                <w:rFonts w:ascii="Arial" w:hAnsi="Arial"/>
                <w:b/>
                <w:sz w:val="18"/>
              </w:rPr>
              <w:t>«Высоких»</w:t>
            </w:r>
          </w:p>
        </w:tc>
        <w:tc>
          <w:tcPr>
            <w:tcW w:w="3240" w:type="dxa"/>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ind w:firstLine="540"/>
              <w:rPr>
                <w:rFonts w:ascii="Arial" w:hAnsi="Arial"/>
                <w:b/>
                <w:sz w:val="18"/>
              </w:rPr>
            </w:pPr>
            <w:r>
              <w:rPr>
                <w:rFonts w:ascii="Arial" w:hAnsi="Arial"/>
                <w:b/>
                <w:sz w:val="18"/>
              </w:rPr>
              <w:t>«Средних»</w:t>
            </w:r>
          </w:p>
        </w:tc>
        <w:tc>
          <w:tcPr>
            <w:tcW w:w="3240" w:type="dxa"/>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ind w:firstLine="540"/>
              <w:rPr>
                <w:rFonts w:ascii="Arial" w:hAnsi="Arial"/>
                <w:b/>
                <w:sz w:val="18"/>
              </w:rPr>
            </w:pPr>
            <w:r>
              <w:rPr>
                <w:rFonts w:ascii="Arial" w:hAnsi="Arial"/>
                <w:b/>
                <w:sz w:val="18"/>
              </w:rPr>
              <w:t xml:space="preserve">«Низких» </w:t>
            </w:r>
          </w:p>
        </w:tc>
        <w:tc>
          <w:tcPr>
            <w:tcW w:w="3240" w:type="dxa"/>
          </w:tcPr>
          <w:p w:rsidR="00603151" w:rsidRDefault="00603151" w:rsidP="005C53B5">
            <w:pPr>
              <w:ind w:right="170"/>
              <w:jc w:val="right"/>
              <w:rPr>
                <w:rFonts w:ascii="Arial" w:hAnsi="Arial"/>
                <w:sz w:val="18"/>
              </w:rPr>
            </w:pPr>
          </w:p>
        </w:tc>
      </w:tr>
      <w:tr w:rsidR="00603151">
        <w:tblPrEx>
          <w:tblCellMar>
            <w:left w:w="70" w:type="dxa"/>
            <w:right w:w="70" w:type="dxa"/>
          </w:tblCellMar>
        </w:tblPrEx>
        <w:tc>
          <w:tcPr>
            <w:tcW w:w="6300" w:type="dxa"/>
          </w:tcPr>
          <w:p w:rsidR="00603151" w:rsidRDefault="00603151" w:rsidP="005C53B5">
            <w:pPr>
              <w:pStyle w:val="8"/>
              <w:rPr>
                <w:sz w:val="18"/>
              </w:rPr>
            </w:pPr>
            <w:r>
              <w:rPr>
                <w:sz w:val="18"/>
              </w:rPr>
              <w:t xml:space="preserve">Итоговая оценка неотъемлемого риска </w:t>
            </w:r>
          </w:p>
        </w:tc>
        <w:tc>
          <w:tcPr>
            <w:tcW w:w="3240" w:type="dxa"/>
          </w:tcPr>
          <w:p w:rsidR="00603151" w:rsidRDefault="00603151" w:rsidP="005C53B5">
            <w:pPr>
              <w:ind w:right="170"/>
              <w:jc w:val="right"/>
              <w:rPr>
                <w:rFonts w:ascii="Arial" w:hAnsi="Arial"/>
                <w:sz w:val="18"/>
              </w:rPr>
            </w:pPr>
          </w:p>
        </w:tc>
      </w:tr>
    </w:tbl>
    <w:p w:rsidR="00603151" w:rsidRDefault="00603151" w:rsidP="00B703D6">
      <w:pPr>
        <w:pStyle w:val="a4"/>
        <w:ind w:firstLine="425"/>
        <w:jc w:val="both"/>
      </w:pPr>
    </w:p>
    <w:p w:rsidR="00B703D6" w:rsidRDefault="00B703D6" w:rsidP="00B703D6">
      <w:pPr>
        <w:pStyle w:val="a4"/>
        <w:ind w:firstLine="425"/>
        <w:jc w:val="both"/>
      </w:pPr>
    </w:p>
    <w:p w:rsidR="00C4657A" w:rsidRDefault="00C4657A" w:rsidP="00E90D2A">
      <w:pPr>
        <w:pStyle w:val="a4"/>
      </w:pPr>
      <w:bookmarkStart w:id="0" w:name="_GoBack"/>
      <w:bookmarkEnd w:id="0"/>
    </w:p>
    <w:sectPr w:rsidR="00C4657A" w:rsidSect="00E90D2A">
      <w:headerReference w:type="even" r:id="rId7"/>
      <w:footerReference w:type="even" r:id="rId8"/>
      <w:footerReference w:type="default" r:id="rId9"/>
      <w:pgSz w:w="11906" w:h="16838"/>
      <w:pgMar w:top="1134" w:right="850" w:bottom="1134" w:left="1701" w:header="708"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91" w:rsidRDefault="005B3E91" w:rsidP="00E90D2A">
      <w:r>
        <w:separator/>
      </w:r>
    </w:p>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122CB6"/>
    <w:p w:rsidR="005B3E91" w:rsidRDefault="005B3E91"/>
    <w:p w:rsidR="005B3E91" w:rsidRDefault="005B3E91" w:rsidP="00603151"/>
    <w:p w:rsidR="005B3E91" w:rsidRDefault="005B3E91" w:rsidP="00603151"/>
    <w:p w:rsidR="005B3E91" w:rsidRDefault="005B3E91" w:rsidP="00603151"/>
    <w:p w:rsidR="005B3E91" w:rsidRDefault="005B3E91" w:rsidP="00603151"/>
    <w:p w:rsidR="005B3E91" w:rsidRDefault="005B3E91" w:rsidP="00603151"/>
    <w:p w:rsidR="005B3E91" w:rsidRDefault="005B3E91" w:rsidP="00603151"/>
    <w:p w:rsidR="005B3E91" w:rsidRDefault="005B3E91" w:rsidP="003C1A05"/>
    <w:p w:rsidR="005B3E91" w:rsidRDefault="005B3E91" w:rsidP="00B93E0F"/>
    <w:p w:rsidR="005B3E91" w:rsidRDefault="005B3E91" w:rsidP="00B93E0F"/>
    <w:p w:rsidR="005B3E91" w:rsidRDefault="005B3E91" w:rsidP="00B93E0F"/>
    <w:p w:rsidR="005B3E91" w:rsidRDefault="005B3E91" w:rsidP="00B93E0F"/>
    <w:p w:rsidR="005B3E91" w:rsidRDefault="005B3E91" w:rsidP="00B93E0F"/>
    <w:p w:rsidR="005B3E91" w:rsidRDefault="005B3E91"/>
  </w:endnote>
  <w:endnote w:type="continuationSeparator" w:id="0">
    <w:p w:rsidR="005B3E91" w:rsidRDefault="005B3E91" w:rsidP="00E90D2A">
      <w:r>
        <w:continuationSeparator/>
      </w:r>
    </w:p>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122CB6"/>
    <w:p w:rsidR="005B3E91" w:rsidRDefault="005B3E91"/>
    <w:p w:rsidR="005B3E91" w:rsidRDefault="005B3E91" w:rsidP="00603151"/>
    <w:p w:rsidR="005B3E91" w:rsidRDefault="005B3E91" w:rsidP="00603151"/>
    <w:p w:rsidR="005B3E91" w:rsidRDefault="005B3E91" w:rsidP="00603151"/>
    <w:p w:rsidR="005B3E91" w:rsidRDefault="005B3E91" w:rsidP="00603151"/>
    <w:p w:rsidR="005B3E91" w:rsidRDefault="005B3E91" w:rsidP="00603151"/>
    <w:p w:rsidR="005B3E91" w:rsidRDefault="005B3E91" w:rsidP="00603151"/>
    <w:p w:rsidR="005B3E91" w:rsidRDefault="005B3E91" w:rsidP="003C1A05"/>
    <w:p w:rsidR="005B3E91" w:rsidRDefault="005B3E91" w:rsidP="00B93E0F"/>
    <w:p w:rsidR="005B3E91" w:rsidRDefault="005B3E91" w:rsidP="00B93E0F"/>
    <w:p w:rsidR="005B3E91" w:rsidRDefault="005B3E91" w:rsidP="00B93E0F"/>
    <w:p w:rsidR="005B3E91" w:rsidRDefault="005B3E91" w:rsidP="00B93E0F"/>
    <w:p w:rsidR="005B3E91" w:rsidRDefault="005B3E91" w:rsidP="00B93E0F"/>
    <w:p w:rsidR="005B3E91" w:rsidRDefault="005B3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B5" w:rsidRDefault="005C53B5" w:rsidP="005C53B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53B5" w:rsidRDefault="005C53B5" w:rsidP="00691888">
    <w:pPr>
      <w:pStyle w:val="a6"/>
      <w:ind w:right="360"/>
      <w:rPr>
        <w:rStyle w:val="a7"/>
      </w:rPr>
    </w:pPr>
  </w:p>
  <w:p w:rsidR="005C53B5" w:rsidRDefault="005C53B5" w:rsidP="00E90D2A">
    <w:pPr>
      <w:pStyle w:val="a6"/>
    </w:pPr>
  </w:p>
  <w:p w:rsidR="005C53B5" w:rsidRDefault="005C53B5" w:rsidP="00E90D2A"/>
  <w:p w:rsidR="005C53B5" w:rsidRDefault="005C53B5" w:rsidP="00E90D2A"/>
  <w:p w:rsidR="005C53B5" w:rsidRDefault="005C53B5" w:rsidP="00E90D2A"/>
  <w:p w:rsidR="005C53B5" w:rsidRDefault="005C53B5" w:rsidP="00E90D2A"/>
  <w:p w:rsidR="005C53B5" w:rsidRDefault="005C53B5" w:rsidP="00E90D2A"/>
  <w:p w:rsidR="005C53B5" w:rsidRDefault="005C53B5" w:rsidP="00E90D2A"/>
  <w:p w:rsidR="005C53B5" w:rsidRDefault="005C53B5" w:rsidP="00E90D2A"/>
  <w:p w:rsidR="005C53B5" w:rsidRDefault="005C53B5" w:rsidP="00122CB6"/>
  <w:p w:rsidR="005C53B5" w:rsidRDefault="005C53B5" w:rsidP="00F5454A"/>
  <w:p w:rsidR="005C53B5" w:rsidRDefault="005C53B5" w:rsidP="00603151"/>
  <w:p w:rsidR="005C53B5" w:rsidRDefault="005C53B5" w:rsidP="00603151"/>
  <w:p w:rsidR="005C53B5" w:rsidRDefault="005C53B5" w:rsidP="00603151"/>
  <w:p w:rsidR="005C53B5" w:rsidRDefault="005C53B5" w:rsidP="00603151"/>
  <w:p w:rsidR="005C53B5" w:rsidRDefault="005C53B5" w:rsidP="00603151"/>
  <w:p w:rsidR="005C53B5" w:rsidRDefault="005C53B5" w:rsidP="00603151"/>
  <w:p w:rsidR="005C53B5" w:rsidRDefault="005C53B5" w:rsidP="003C1A05"/>
  <w:p w:rsidR="005C53B5" w:rsidRDefault="005C53B5" w:rsidP="00B93E0F"/>
  <w:p w:rsidR="005C53B5" w:rsidRDefault="005C53B5" w:rsidP="00B93E0F"/>
  <w:p w:rsidR="005C53B5" w:rsidRDefault="005C53B5" w:rsidP="00B93E0F"/>
  <w:p w:rsidR="005C53B5" w:rsidRDefault="005C53B5" w:rsidP="00B93E0F"/>
  <w:p w:rsidR="005C53B5" w:rsidRDefault="005C53B5" w:rsidP="00B93E0F"/>
  <w:p w:rsidR="005C53B5" w:rsidRDefault="005C53B5" w:rsidP="00B93E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B5" w:rsidRDefault="005C53B5" w:rsidP="005C53B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4A9E">
      <w:rPr>
        <w:rStyle w:val="a7"/>
        <w:noProof/>
      </w:rPr>
      <w:t>1</w:t>
    </w:r>
    <w:r>
      <w:rPr>
        <w:rStyle w:val="a7"/>
      </w:rPr>
      <w:fldChar w:fldCharType="end"/>
    </w:r>
  </w:p>
  <w:p w:rsidR="005C53B5" w:rsidRDefault="005C53B5" w:rsidP="00B93E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91" w:rsidRDefault="005B3E91" w:rsidP="00E90D2A">
      <w:r>
        <w:separator/>
      </w:r>
    </w:p>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122CB6"/>
    <w:p w:rsidR="005B3E91" w:rsidRDefault="005B3E91"/>
    <w:p w:rsidR="005B3E91" w:rsidRDefault="005B3E91" w:rsidP="00603151"/>
    <w:p w:rsidR="005B3E91" w:rsidRDefault="005B3E91" w:rsidP="00603151"/>
    <w:p w:rsidR="005B3E91" w:rsidRDefault="005B3E91" w:rsidP="00603151"/>
    <w:p w:rsidR="005B3E91" w:rsidRDefault="005B3E91" w:rsidP="00603151"/>
    <w:p w:rsidR="005B3E91" w:rsidRDefault="005B3E91" w:rsidP="00603151"/>
    <w:p w:rsidR="005B3E91" w:rsidRDefault="005B3E91" w:rsidP="00603151"/>
    <w:p w:rsidR="005B3E91" w:rsidRDefault="005B3E91" w:rsidP="003C1A05"/>
    <w:p w:rsidR="005B3E91" w:rsidRDefault="005B3E91" w:rsidP="00B93E0F"/>
    <w:p w:rsidR="005B3E91" w:rsidRDefault="005B3E91" w:rsidP="00B93E0F"/>
    <w:p w:rsidR="005B3E91" w:rsidRDefault="005B3E91" w:rsidP="00B93E0F"/>
    <w:p w:rsidR="005B3E91" w:rsidRDefault="005B3E91" w:rsidP="00B93E0F"/>
    <w:p w:rsidR="005B3E91" w:rsidRDefault="005B3E91" w:rsidP="00B93E0F"/>
    <w:p w:rsidR="005B3E91" w:rsidRDefault="005B3E91"/>
  </w:footnote>
  <w:footnote w:type="continuationSeparator" w:id="0">
    <w:p w:rsidR="005B3E91" w:rsidRDefault="005B3E91" w:rsidP="00E90D2A">
      <w:r>
        <w:continuationSeparator/>
      </w:r>
    </w:p>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E90D2A"/>
    <w:p w:rsidR="005B3E91" w:rsidRDefault="005B3E91" w:rsidP="00122CB6"/>
    <w:p w:rsidR="005B3E91" w:rsidRDefault="005B3E91"/>
    <w:p w:rsidR="005B3E91" w:rsidRDefault="005B3E91" w:rsidP="00603151"/>
    <w:p w:rsidR="005B3E91" w:rsidRDefault="005B3E91" w:rsidP="00603151"/>
    <w:p w:rsidR="005B3E91" w:rsidRDefault="005B3E91" w:rsidP="00603151"/>
    <w:p w:rsidR="005B3E91" w:rsidRDefault="005B3E91" w:rsidP="00603151"/>
    <w:p w:rsidR="005B3E91" w:rsidRDefault="005B3E91" w:rsidP="00603151"/>
    <w:p w:rsidR="005B3E91" w:rsidRDefault="005B3E91" w:rsidP="00603151"/>
    <w:p w:rsidR="005B3E91" w:rsidRDefault="005B3E91" w:rsidP="003C1A05"/>
    <w:p w:rsidR="005B3E91" w:rsidRDefault="005B3E91" w:rsidP="00B93E0F"/>
    <w:p w:rsidR="005B3E91" w:rsidRDefault="005B3E91" w:rsidP="00B93E0F"/>
    <w:p w:rsidR="005B3E91" w:rsidRDefault="005B3E91" w:rsidP="00B93E0F"/>
    <w:p w:rsidR="005B3E91" w:rsidRDefault="005B3E91" w:rsidP="00B93E0F"/>
    <w:p w:rsidR="005B3E91" w:rsidRDefault="005B3E91" w:rsidP="00B93E0F"/>
    <w:p w:rsidR="005B3E91" w:rsidRDefault="005B3E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B5" w:rsidRDefault="005C53B5" w:rsidP="00E90D2A"/>
  <w:p w:rsidR="005C53B5" w:rsidRDefault="005C53B5" w:rsidP="00E90D2A"/>
  <w:p w:rsidR="005C53B5" w:rsidRDefault="005C53B5" w:rsidP="00E90D2A"/>
  <w:p w:rsidR="005C53B5" w:rsidRDefault="005C53B5" w:rsidP="00E90D2A"/>
  <w:p w:rsidR="005C53B5" w:rsidRDefault="005C53B5" w:rsidP="00E90D2A"/>
  <w:p w:rsidR="005C53B5" w:rsidRDefault="005C53B5" w:rsidP="00E90D2A"/>
  <w:p w:rsidR="005C53B5" w:rsidRDefault="005C53B5" w:rsidP="00E90D2A"/>
  <w:p w:rsidR="005C53B5" w:rsidRDefault="005C53B5" w:rsidP="00122CB6"/>
  <w:p w:rsidR="005C53B5" w:rsidRDefault="005C53B5" w:rsidP="00F5454A"/>
  <w:p w:rsidR="005C53B5" w:rsidRDefault="005C53B5" w:rsidP="00603151"/>
  <w:p w:rsidR="005C53B5" w:rsidRDefault="005C53B5" w:rsidP="00603151"/>
  <w:p w:rsidR="005C53B5" w:rsidRDefault="005C53B5" w:rsidP="00603151"/>
  <w:p w:rsidR="005C53B5" w:rsidRDefault="005C53B5" w:rsidP="00603151"/>
  <w:p w:rsidR="005C53B5" w:rsidRDefault="005C53B5" w:rsidP="00603151"/>
  <w:p w:rsidR="005C53B5" w:rsidRDefault="005C53B5" w:rsidP="00603151"/>
  <w:p w:rsidR="005C53B5" w:rsidRDefault="005C53B5" w:rsidP="003C1A05"/>
  <w:p w:rsidR="005C53B5" w:rsidRDefault="005C53B5" w:rsidP="00B93E0F"/>
  <w:p w:rsidR="005C53B5" w:rsidRDefault="005C53B5" w:rsidP="00B93E0F"/>
  <w:p w:rsidR="005C53B5" w:rsidRDefault="005C53B5" w:rsidP="00B93E0F"/>
  <w:p w:rsidR="005C53B5" w:rsidRDefault="005C53B5" w:rsidP="00B93E0F"/>
  <w:p w:rsidR="005C53B5" w:rsidRDefault="005C53B5" w:rsidP="00B93E0F"/>
  <w:p w:rsidR="005C53B5" w:rsidRDefault="005C53B5" w:rsidP="00B93E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602A3"/>
    <w:multiLevelType w:val="hybridMultilevel"/>
    <w:tmpl w:val="CF044B26"/>
    <w:lvl w:ilvl="0" w:tplc="61E4F390">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A627BD"/>
    <w:multiLevelType w:val="singleLevel"/>
    <w:tmpl w:val="85DA62E0"/>
    <w:lvl w:ilvl="0">
      <w:start w:val="1"/>
      <w:numFmt w:val="decimal"/>
      <w:lvlText w:val="%1."/>
      <w:legacy w:legacy="1" w:legacySpace="0" w:legacyIndent="360"/>
      <w:lvlJc w:val="left"/>
      <w:pPr>
        <w:ind w:left="644" w:hanging="360"/>
      </w:pPr>
    </w:lvl>
  </w:abstractNum>
  <w:abstractNum w:abstractNumId="2">
    <w:nsid w:val="1B9152C8"/>
    <w:multiLevelType w:val="singleLevel"/>
    <w:tmpl w:val="85DA62E0"/>
    <w:lvl w:ilvl="0">
      <w:start w:val="1"/>
      <w:numFmt w:val="decimal"/>
      <w:lvlText w:val="%1."/>
      <w:legacy w:legacy="1" w:legacySpace="0" w:legacyIndent="360"/>
      <w:lvlJc w:val="left"/>
      <w:pPr>
        <w:ind w:left="644" w:hanging="360"/>
      </w:pPr>
    </w:lvl>
  </w:abstractNum>
  <w:abstractNum w:abstractNumId="3">
    <w:nsid w:val="20F05603"/>
    <w:multiLevelType w:val="hybridMultilevel"/>
    <w:tmpl w:val="DAD47FA2"/>
    <w:lvl w:ilvl="0" w:tplc="61E4F390">
      <w:start w:val="1"/>
      <w:numFmt w:val="bullet"/>
      <w:lvlText w:val=""/>
      <w:lvlJc w:val="left"/>
      <w:pPr>
        <w:tabs>
          <w:tab w:val="num" w:pos="597"/>
        </w:tabs>
        <w:ind w:left="597" w:firstLine="0"/>
      </w:pPr>
      <w:rPr>
        <w:rFonts w:ascii="Symbol" w:hAnsi="Symbol" w:hint="default"/>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abstractNum w:abstractNumId="4">
    <w:nsid w:val="29015431"/>
    <w:multiLevelType w:val="hybridMultilevel"/>
    <w:tmpl w:val="45182CEC"/>
    <w:lvl w:ilvl="0" w:tplc="61E4F390">
      <w:start w:val="1"/>
      <w:numFmt w:val="bullet"/>
      <w:lvlText w:val=""/>
      <w:lvlJc w:val="left"/>
      <w:pPr>
        <w:tabs>
          <w:tab w:val="num" w:pos="597"/>
        </w:tabs>
        <w:ind w:left="597" w:firstLine="0"/>
      </w:pPr>
      <w:rPr>
        <w:rFonts w:ascii="Symbol" w:hAnsi="Symbol" w:hint="default"/>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abstractNum w:abstractNumId="5">
    <w:nsid w:val="2E496C30"/>
    <w:multiLevelType w:val="hybridMultilevel"/>
    <w:tmpl w:val="0700D102"/>
    <w:lvl w:ilvl="0" w:tplc="D6BA1A60">
      <w:start w:val="1"/>
      <w:numFmt w:val="bullet"/>
      <w:pStyle w:val="a"/>
      <w:lvlText w:val=""/>
      <w:lvlJc w:val="left"/>
      <w:pPr>
        <w:tabs>
          <w:tab w:val="num" w:pos="660"/>
        </w:tabs>
        <w:ind w:left="6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cs="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cs="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cs="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6">
    <w:nsid w:val="3A3366D7"/>
    <w:multiLevelType w:val="singleLevel"/>
    <w:tmpl w:val="B5EE130E"/>
    <w:lvl w:ilvl="0">
      <w:start w:val="2"/>
      <w:numFmt w:val="decimal"/>
      <w:lvlText w:val="%1."/>
      <w:lvlJc w:val="left"/>
      <w:pPr>
        <w:tabs>
          <w:tab w:val="num" w:pos="927"/>
        </w:tabs>
        <w:ind w:left="927" w:hanging="360"/>
      </w:pPr>
    </w:lvl>
  </w:abstractNum>
  <w:abstractNum w:abstractNumId="7">
    <w:nsid w:val="3E1C6DFA"/>
    <w:multiLevelType w:val="hybridMultilevel"/>
    <w:tmpl w:val="644A09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FC07300"/>
    <w:multiLevelType w:val="hybridMultilevel"/>
    <w:tmpl w:val="4B4E41D2"/>
    <w:lvl w:ilvl="0" w:tplc="FFFFFFFF">
      <w:start w:val="1"/>
      <w:numFmt w:val="upperRoman"/>
      <w:lvlText w:val="%1."/>
      <w:lvlJc w:val="right"/>
      <w:pPr>
        <w:tabs>
          <w:tab w:val="num" w:pos="540"/>
        </w:tabs>
        <w:ind w:left="54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991073A"/>
    <w:multiLevelType w:val="hybridMultilevel"/>
    <w:tmpl w:val="B7FE0C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12F33A5"/>
    <w:multiLevelType w:val="hybridMultilevel"/>
    <w:tmpl w:val="1304DF2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51DE69CA"/>
    <w:multiLevelType w:val="singleLevel"/>
    <w:tmpl w:val="85DA62E0"/>
    <w:lvl w:ilvl="0">
      <w:start w:val="1"/>
      <w:numFmt w:val="decimal"/>
      <w:lvlText w:val="%1."/>
      <w:legacy w:legacy="1" w:legacySpace="0" w:legacyIndent="360"/>
      <w:lvlJc w:val="left"/>
      <w:pPr>
        <w:ind w:left="644" w:hanging="360"/>
      </w:pPr>
    </w:lvl>
  </w:abstractNum>
  <w:abstractNum w:abstractNumId="12">
    <w:nsid w:val="56F37A28"/>
    <w:multiLevelType w:val="hybridMultilevel"/>
    <w:tmpl w:val="65A62468"/>
    <w:lvl w:ilvl="0" w:tplc="61E4F390">
      <w:start w:val="1"/>
      <w:numFmt w:val="bullet"/>
      <w:lvlText w:val=""/>
      <w:lvlJc w:val="left"/>
      <w:pPr>
        <w:tabs>
          <w:tab w:val="num" w:pos="597"/>
        </w:tabs>
        <w:ind w:left="597" w:firstLine="0"/>
      </w:pPr>
      <w:rPr>
        <w:rFonts w:ascii="Symbol" w:hAnsi="Symbol" w:hint="default"/>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abstractNum w:abstractNumId="13">
    <w:nsid w:val="594446CD"/>
    <w:multiLevelType w:val="hybridMultilevel"/>
    <w:tmpl w:val="C0260B2C"/>
    <w:lvl w:ilvl="0" w:tplc="0419000F">
      <w:start w:val="1"/>
      <w:numFmt w:val="decimal"/>
      <w:lvlText w:val="%1."/>
      <w:lvlJc w:val="left"/>
      <w:pPr>
        <w:tabs>
          <w:tab w:val="num" w:pos="927"/>
        </w:tabs>
        <w:ind w:left="927" w:hanging="360"/>
      </w:pPr>
      <w:rPr>
        <w:rFonts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4">
    <w:nsid w:val="608C1835"/>
    <w:multiLevelType w:val="singleLevel"/>
    <w:tmpl w:val="45180D66"/>
    <w:lvl w:ilvl="0">
      <w:start w:val="1"/>
      <w:numFmt w:val="decimal"/>
      <w:lvlText w:val="%1."/>
      <w:lvlJc w:val="left"/>
      <w:pPr>
        <w:tabs>
          <w:tab w:val="num" w:pos="360"/>
        </w:tabs>
        <w:ind w:left="360" w:hanging="360"/>
      </w:pPr>
    </w:lvl>
  </w:abstractNum>
  <w:abstractNum w:abstractNumId="15">
    <w:nsid w:val="6B683826"/>
    <w:multiLevelType w:val="hybridMultilevel"/>
    <w:tmpl w:val="7E96BE9C"/>
    <w:lvl w:ilvl="0" w:tplc="61E4F390">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167437"/>
    <w:multiLevelType w:val="hybridMultilevel"/>
    <w:tmpl w:val="68D8941E"/>
    <w:lvl w:ilvl="0" w:tplc="61E4F390">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7">
    <w:nsid w:val="6F2A744F"/>
    <w:multiLevelType w:val="hybridMultilevel"/>
    <w:tmpl w:val="BBD8E7DE"/>
    <w:lvl w:ilvl="0" w:tplc="61E4F390">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722A23"/>
    <w:multiLevelType w:val="hybridMultilevel"/>
    <w:tmpl w:val="69C425CE"/>
    <w:lvl w:ilvl="0" w:tplc="61E4F390">
      <w:start w:val="1"/>
      <w:numFmt w:val="bullet"/>
      <w:lvlText w:val=""/>
      <w:lvlJc w:val="left"/>
      <w:pPr>
        <w:tabs>
          <w:tab w:val="num" w:pos="284"/>
        </w:tabs>
        <w:ind w:left="284"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8"/>
  </w:num>
  <w:num w:numId="4">
    <w:abstractNumId w:val="15"/>
  </w:num>
  <w:num w:numId="5">
    <w:abstractNumId w:val="17"/>
  </w:num>
  <w:num w:numId="6">
    <w:abstractNumId w:val="12"/>
  </w:num>
  <w:num w:numId="7">
    <w:abstractNumId w:val="0"/>
  </w:num>
  <w:num w:numId="8">
    <w:abstractNumId w:val="3"/>
  </w:num>
  <w:num w:numId="9">
    <w:abstractNumId w:val="4"/>
  </w:num>
  <w:num w:numId="10">
    <w:abstractNumId w:val="8"/>
  </w:num>
  <w:num w:numId="11">
    <w:abstractNumId w:val="11"/>
  </w:num>
  <w:num w:numId="12">
    <w:abstractNumId w:val="2"/>
  </w:num>
  <w:num w:numId="13">
    <w:abstractNumId w:val="1"/>
  </w:num>
  <w:num w:numId="14">
    <w:abstractNumId w:val="14"/>
  </w:num>
  <w:num w:numId="15">
    <w:abstractNumId w:val="6"/>
  </w:num>
  <w:num w:numId="16">
    <w:abstractNumId w:val="7"/>
  </w:num>
  <w:num w:numId="17">
    <w:abstractNumId w:val="16"/>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1A2"/>
    <w:rsid w:val="000A2A85"/>
    <w:rsid w:val="00122CB6"/>
    <w:rsid w:val="00131763"/>
    <w:rsid w:val="00147928"/>
    <w:rsid w:val="00224129"/>
    <w:rsid w:val="002B4E46"/>
    <w:rsid w:val="00342895"/>
    <w:rsid w:val="0036021E"/>
    <w:rsid w:val="003C1A05"/>
    <w:rsid w:val="00481A23"/>
    <w:rsid w:val="004960C5"/>
    <w:rsid w:val="005B3E91"/>
    <w:rsid w:val="005C53B5"/>
    <w:rsid w:val="00603151"/>
    <w:rsid w:val="00691888"/>
    <w:rsid w:val="006F53D9"/>
    <w:rsid w:val="00760A7A"/>
    <w:rsid w:val="00871474"/>
    <w:rsid w:val="008E37E0"/>
    <w:rsid w:val="00A64886"/>
    <w:rsid w:val="00A97D3D"/>
    <w:rsid w:val="00AC726B"/>
    <w:rsid w:val="00AE11A2"/>
    <w:rsid w:val="00B703D6"/>
    <w:rsid w:val="00B763DE"/>
    <w:rsid w:val="00B93E0F"/>
    <w:rsid w:val="00BF14A1"/>
    <w:rsid w:val="00C4657A"/>
    <w:rsid w:val="00C8547F"/>
    <w:rsid w:val="00CC7640"/>
    <w:rsid w:val="00D32594"/>
    <w:rsid w:val="00E34A9E"/>
    <w:rsid w:val="00E828CE"/>
    <w:rsid w:val="00E90D2A"/>
    <w:rsid w:val="00F5454A"/>
    <w:rsid w:val="00F827E3"/>
    <w:rsid w:val="00FE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BDEEB9-CA8D-444B-8FEF-7EA15AC4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Шапка таблицы 12"/>
    <w:autoRedefine/>
    <w:qFormat/>
    <w:rsid w:val="00E90D2A"/>
    <w:pPr>
      <w:spacing w:line="360" w:lineRule="auto"/>
      <w:ind w:firstLine="30"/>
      <w:jc w:val="center"/>
    </w:pPr>
    <w:rPr>
      <w:sz w:val="28"/>
      <w:szCs w:val="28"/>
    </w:rPr>
  </w:style>
  <w:style w:type="paragraph" w:styleId="1">
    <w:name w:val="heading 1"/>
    <w:basedOn w:val="a0"/>
    <w:next w:val="a0"/>
    <w:qFormat/>
    <w:rsid w:val="00A64886"/>
    <w:pPr>
      <w:keepNext/>
      <w:spacing w:before="240" w:after="60"/>
      <w:ind w:firstLine="0"/>
      <w:jc w:val="left"/>
      <w:outlineLvl w:val="0"/>
    </w:pPr>
    <w:rPr>
      <w:rFonts w:ascii="Arial" w:hAnsi="Arial" w:cs="Arial"/>
      <w:b/>
      <w:bCs/>
      <w:kern w:val="32"/>
      <w:sz w:val="32"/>
      <w:szCs w:val="32"/>
    </w:rPr>
  </w:style>
  <w:style w:type="paragraph" w:styleId="2">
    <w:name w:val="heading 2"/>
    <w:basedOn w:val="a0"/>
    <w:next w:val="a0"/>
    <w:qFormat/>
    <w:rsid w:val="00603151"/>
    <w:pPr>
      <w:keepNext/>
      <w:spacing w:before="240" w:after="60"/>
      <w:outlineLvl w:val="1"/>
    </w:pPr>
    <w:rPr>
      <w:rFonts w:ascii="Arial" w:hAnsi="Arial" w:cs="Arial"/>
      <w:b/>
      <w:bCs/>
      <w:i/>
      <w:iCs/>
    </w:rPr>
  </w:style>
  <w:style w:type="paragraph" w:styleId="3">
    <w:name w:val="heading 3"/>
    <w:basedOn w:val="a0"/>
    <w:next w:val="a0"/>
    <w:qFormat/>
    <w:rsid w:val="00603151"/>
    <w:pPr>
      <w:keepNext/>
      <w:spacing w:before="240" w:after="60"/>
      <w:outlineLvl w:val="2"/>
    </w:pPr>
    <w:rPr>
      <w:rFonts w:ascii="Arial" w:hAnsi="Arial" w:cs="Arial"/>
      <w:b/>
      <w:bCs/>
      <w:sz w:val="26"/>
      <w:szCs w:val="26"/>
    </w:rPr>
  </w:style>
  <w:style w:type="paragraph" w:styleId="8">
    <w:name w:val="heading 8"/>
    <w:basedOn w:val="a0"/>
    <w:next w:val="a0"/>
    <w:qFormat/>
    <w:rsid w:val="00603151"/>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AE11A2"/>
    <w:pPr>
      <w:spacing w:after="120"/>
      <w:ind w:left="283"/>
    </w:pPr>
  </w:style>
  <w:style w:type="paragraph" w:customStyle="1" w:styleId="a">
    <w:name w:val="Маркированный"/>
    <w:basedOn w:val="a4"/>
    <w:autoRedefine/>
    <w:rsid w:val="00AE11A2"/>
    <w:pPr>
      <w:numPr>
        <w:numId w:val="1"/>
      </w:numPr>
      <w:autoSpaceDE w:val="0"/>
      <w:autoSpaceDN w:val="0"/>
      <w:spacing w:after="0"/>
    </w:pPr>
    <w:rPr>
      <w:sz w:val="27"/>
    </w:rPr>
  </w:style>
  <w:style w:type="paragraph" w:customStyle="1" w:styleId="12">
    <w:name w:val="Маркированный 12"/>
    <w:basedOn w:val="a"/>
    <w:autoRedefine/>
    <w:rsid w:val="00AE11A2"/>
    <w:pPr>
      <w:tabs>
        <w:tab w:val="left" w:pos="851"/>
      </w:tabs>
    </w:pPr>
    <w:rPr>
      <w:sz w:val="28"/>
    </w:rPr>
  </w:style>
  <w:style w:type="paragraph" w:customStyle="1" w:styleId="a5">
    <w:name w:val="Знак"/>
    <w:basedOn w:val="a0"/>
    <w:rsid w:val="00A64886"/>
    <w:pPr>
      <w:widowControl w:val="0"/>
      <w:adjustRightInd w:val="0"/>
      <w:spacing w:after="160" w:line="240" w:lineRule="exact"/>
      <w:ind w:firstLine="0"/>
      <w:jc w:val="right"/>
    </w:pPr>
    <w:rPr>
      <w:sz w:val="20"/>
      <w:szCs w:val="20"/>
      <w:lang w:val="en-GB" w:eastAsia="en-US"/>
    </w:rPr>
  </w:style>
  <w:style w:type="paragraph" w:styleId="a6">
    <w:name w:val="footer"/>
    <w:basedOn w:val="a0"/>
    <w:rsid w:val="000A2A85"/>
    <w:pPr>
      <w:tabs>
        <w:tab w:val="center" w:pos="4677"/>
        <w:tab w:val="right" w:pos="9355"/>
      </w:tabs>
    </w:pPr>
  </w:style>
  <w:style w:type="character" w:styleId="a7">
    <w:name w:val="page number"/>
    <w:basedOn w:val="a1"/>
    <w:rsid w:val="000A2A85"/>
  </w:style>
  <w:style w:type="paragraph" w:styleId="a8">
    <w:name w:val="header"/>
    <w:basedOn w:val="a0"/>
    <w:rsid w:val="00E90D2A"/>
    <w:pPr>
      <w:tabs>
        <w:tab w:val="center" w:pos="4677"/>
        <w:tab w:val="right" w:pos="9355"/>
      </w:tabs>
    </w:pPr>
  </w:style>
  <w:style w:type="paragraph" w:styleId="20">
    <w:name w:val="Body Text Indent 2"/>
    <w:basedOn w:val="a0"/>
    <w:rsid w:val="00603151"/>
    <w:pPr>
      <w:spacing w:after="120" w:line="480" w:lineRule="auto"/>
      <w:ind w:left="283"/>
    </w:pPr>
  </w:style>
  <w:style w:type="paragraph" w:styleId="a9">
    <w:name w:val="footnote text"/>
    <w:basedOn w:val="a0"/>
    <w:semiHidden/>
    <w:rsid w:val="00603151"/>
    <w:pPr>
      <w:spacing w:line="240" w:lineRule="auto"/>
      <w:ind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598">
      <w:bodyDiv w:val="1"/>
      <w:marLeft w:val="0"/>
      <w:marRight w:val="0"/>
      <w:marTop w:val="0"/>
      <w:marBottom w:val="0"/>
      <w:divBdr>
        <w:top w:val="none" w:sz="0" w:space="0" w:color="auto"/>
        <w:left w:val="none" w:sz="0" w:space="0" w:color="auto"/>
        <w:bottom w:val="none" w:sz="0" w:space="0" w:color="auto"/>
        <w:right w:val="none" w:sz="0" w:space="0" w:color="auto"/>
      </w:divBdr>
    </w:div>
    <w:div w:id="45229344">
      <w:bodyDiv w:val="1"/>
      <w:marLeft w:val="0"/>
      <w:marRight w:val="0"/>
      <w:marTop w:val="0"/>
      <w:marBottom w:val="0"/>
      <w:divBdr>
        <w:top w:val="none" w:sz="0" w:space="0" w:color="auto"/>
        <w:left w:val="none" w:sz="0" w:space="0" w:color="auto"/>
        <w:bottom w:val="none" w:sz="0" w:space="0" w:color="auto"/>
        <w:right w:val="none" w:sz="0" w:space="0" w:color="auto"/>
      </w:divBdr>
    </w:div>
    <w:div w:id="306475045">
      <w:bodyDiv w:val="1"/>
      <w:marLeft w:val="0"/>
      <w:marRight w:val="0"/>
      <w:marTop w:val="0"/>
      <w:marBottom w:val="0"/>
      <w:divBdr>
        <w:top w:val="none" w:sz="0" w:space="0" w:color="auto"/>
        <w:left w:val="none" w:sz="0" w:space="0" w:color="auto"/>
        <w:bottom w:val="none" w:sz="0" w:space="0" w:color="auto"/>
        <w:right w:val="none" w:sz="0" w:space="0" w:color="auto"/>
      </w:divBdr>
    </w:div>
    <w:div w:id="337583708">
      <w:bodyDiv w:val="1"/>
      <w:marLeft w:val="0"/>
      <w:marRight w:val="0"/>
      <w:marTop w:val="0"/>
      <w:marBottom w:val="0"/>
      <w:divBdr>
        <w:top w:val="none" w:sz="0" w:space="0" w:color="auto"/>
        <w:left w:val="none" w:sz="0" w:space="0" w:color="auto"/>
        <w:bottom w:val="none" w:sz="0" w:space="0" w:color="auto"/>
        <w:right w:val="none" w:sz="0" w:space="0" w:color="auto"/>
      </w:divBdr>
      <w:divsChild>
        <w:div w:id="12614379">
          <w:blockQuote w:val="1"/>
          <w:marLeft w:val="720"/>
          <w:marRight w:val="720"/>
          <w:marTop w:val="100"/>
          <w:marBottom w:val="100"/>
          <w:divBdr>
            <w:top w:val="none" w:sz="0" w:space="0" w:color="auto"/>
            <w:left w:val="none" w:sz="0" w:space="0" w:color="auto"/>
            <w:bottom w:val="none" w:sz="0" w:space="0" w:color="auto"/>
            <w:right w:val="none" w:sz="0" w:space="0" w:color="auto"/>
          </w:divBdr>
        </w:div>
        <w:div w:id="928196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13877">
      <w:bodyDiv w:val="1"/>
      <w:marLeft w:val="0"/>
      <w:marRight w:val="0"/>
      <w:marTop w:val="0"/>
      <w:marBottom w:val="0"/>
      <w:divBdr>
        <w:top w:val="none" w:sz="0" w:space="0" w:color="auto"/>
        <w:left w:val="none" w:sz="0" w:space="0" w:color="auto"/>
        <w:bottom w:val="none" w:sz="0" w:space="0" w:color="auto"/>
        <w:right w:val="none" w:sz="0" w:space="0" w:color="auto"/>
      </w:divBdr>
    </w:div>
    <w:div w:id="815613512">
      <w:bodyDiv w:val="1"/>
      <w:marLeft w:val="0"/>
      <w:marRight w:val="0"/>
      <w:marTop w:val="0"/>
      <w:marBottom w:val="0"/>
      <w:divBdr>
        <w:top w:val="none" w:sz="0" w:space="0" w:color="auto"/>
        <w:left w:val="none" w:sz="0" w:space="0" w:color="auto"/>
        <w:bottom w:val="none" w:sz="0" w:space="0" w:color="auto"/>
        <w:right w:val="none" w:sz="0" w:space="0" w:color="auto"/>
      </w:divBdr>
    </w:div>
    <w:div w:id="894438214">
      <w:bodyDiv w:val="1"/>
      <w:marLeft w:val="0"/>
      <w:marRight w:val="0"/>
      <w:marTop w:val="0"/>
      <w:marBottom w:val="0"/>
      <w:divBdr>
        <w:top w:val="none" w:sz="0" w:space="0" w:color="auto"/>
        <w:left w:val="none" w:sz="0" w:space="0" w:color="auto"/>
        <w:bottom w:val="none" w:sz="0" w:space="0" w:color="auto"/>
        <w:right w:val="none" w:sz="0" w:space="0" w:color="auto"/>
      </w:divBdr>
    </w:div>
    <w:div w:id="1043365320">
      <w:bodyDiv w:val="1"/>
      <w:marLeft w:val="0"/>
      <w:marRight w:val="0"/>
      <w:marTop w:val="0"/>
      <w:marBottom w:val="0"/>
      <w:divBdr>
        <w:top w:val="none" w:sz="0" w:space="0" w:color="auto"/>
        <w:left w:val="none" w:sz="0" w:space="0" w:color="auto"/>
        <w:bottom w:val="none" w:sz="0" w:space="0" w:color="auto"/>
        <w:right w:val="none" w:sz="0" w:space="0" w:color="auto"/>
      </w:divBdr>
    </w:div>
    <w:div w:id="1349452431">
      <w:bodyDiv w:val="1"/>
      <w:marLeft w:val="0"/>
      <w:marRight w:val="0"/>
      <w:marTop w:val="0"/>
      <w:marBottom w:val="0"/>
      <w:divBdr>
        <w:top w:val="none" w:sz="0" w:space="0" w:color="auto"/>
        <w:left w:val="none" w:sz="0" w:space="0" w:color="auto"/>
        <w:bottom w:val="none" w:sz="0" w:space="0" w:color="auto"/>
        <w:right w:val="none" w:sz="0" w:space="0" w:color="auto"/>
      </w:divBdr>
    </w:div>
    <w:div w:id="15259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4866</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cp:lastModifiedBy>admin</cp:lastModifiedBy>
  <cp:revision>2</cp:revision>
  <dcterms:created xsi:type="dcterms:W3CDTF">2014-04-04T12:50:00Z</dcterms:created>
  <dcterms:modified xsi:type="dcterms:W3CDTF">2014-04-04T12:50:00Z</dcterms:modified>
</cp:coreProperties>
</file>