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0C" w:rsidRPr="0033318A" w:rsidRDefault="008A340C" w:rsidP="0033318A">
      <w:pPr>
        <w:pStyle w:val="ae"/>
        <w:jc w:val="center"/>
      </w:pPr>
      <w:r w:rsidRPr="0033318A">
        <w:t>Федеральное агентство по образованию</w:t>
      </w:r>
    </w:p>
    <w:p w:rsidR="008A340C" w:rsidRPr="0033318A" w:rsidRDefault="008A340C" w:rsidP="0033318A">
      <w:pPr>
        <w:pStyle w:val="ae"/>
        <w:jc w:val="center"/>
      </w:pPr>
      <w:r w:rsidRPr="0033318A">
        <w:t>Государственное образовательное учреждение высшего профессионального образования</w:t>
      </w:r>
    </w:p>
    <w:p w:rsidR="008A340C" w:rsidRPr="0033318A" w:rsidRDefault="008A340C" w:rsidP="0033318A">
      <w:pPr>
        <w:pStyle w:val="ae"/>
        <w:jc w:val="center"/>
      </w:pPr>
      <w:r w:rsidRPr="0033318A">
        <w:t>«Читинский</w:t>
      </w:r>
      <w:r w:rsidR="0033318A" w:rsidRPr="0033318A">
        <w:t xml:space="preserve"> </w:t>
      </w:r>
      <w:r w:rsidRPr="0033318A">
        <w:t>государственный</w:t>
      </w:r>
      <w:r w:rsidR="0033318A" w:rsidRPr="0033318A">
        <w:t xml:space="preserve"> </w:t>
      </w:r>
      <w:r w:rsidRPr="0033318A">
        <w:t>университет»</w:t>
      </w:r>
      <w:r w:rsidR="0033318A">
        <w:t xml:space="preserve"> </w:t>
      </w:r>
      <w:r w:rsidRPr="0033318A">
        <w:t>(ЧитГУ)</w:t>
      </w:r>
    </w:p>
    <w:p w:rsidR="008A340C" w:rsidRPr="0033318A" w:rsidRDefault="008A340C" w:rsidP="0033318A">
      <w:pPr>
        <w:pStyle w:val="ae"/>
        <w:jc w:val="center"/>
      </w:pPr>
      <w:r w:rsidRPr="0033318A">
        <w:t>Институт переподготовки и повышения квалификации</w:t>
      </w:r>
    </w:p>
    <w:p w:rsidR="008A340C" w:rsidRPr="0033318A" w:rsidRDefault="008A340C" w:rsidP="0033318A">
      <w:pPr>
        <w:pStyle w:val="ae"/>
        <w:jc w:val="center"/>
      </w:pPr>
      <w:r w:rsidRPr="0033318A">
        <w:t>Кафедра экономики</w:t>
      </w: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  <w:r w:rsidRPr="0033318A">
        <w:t>КОНТРОЛЬНАЯ РАБОТА</w:t>
      </w:r>
    </w:p>
    <w:p w:rsidR="008A340C" w:rsidRPr="0033318A" w:rsidRDefault="008A340C" w:rsidP="0033318A">
      <w:pPr>
        <w:pStyle w:val="ae"/>
        <w:jc w:val="center"/>
      </w:pPr>
      <w:r w:rsidRPr="0033318A">
        <w:t>по дисциплине «Теория и практика оценочной деятельности»</w:t>
      </w:r>
    </w:p>
    <w:p w:rsidR="008A340C" w:rsidRPr="0033318A" w:rsidRDefault="008A340C" w:rsidP="0033318A">
      <w:pPr>
        <w:pStyle w:val="ae"/>
        <w:jc w:val="center"/>
      </w:pPr>
      <w:r w:rsidRPr="0033318A">
        <w:t>Вариант 10</w:t>
      </w: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</w:p>
    <w:p w:rsidR="008A340C" w:rsidRPr="0033318A" w:rsidRDefault="008A340C" w:rsidP="0033318A">
      <w:pPr>
        <w:pStyle w:val="ae"/>
        <w:jc w:val="center"/>
      </w:pPr>
      <w:r w:rsidRPr="0033318A">
        <w:t>Чита</w:t>
      </w:r>
      <w:r w:rsidR="0033318A" w:rsidRPr="0033318A">
        <w:t xml:space="preserve"> </w:t>
      </w:r>
      <w:r w:rsidRPr="0033318A">
        <w:t>2010</w:t>
      </w:r>
    </w:p>
    <w:p w:rsidR="008A340C" w:rsidRDefault="008A340C" w:rsidP="0033318A">
      <w:pPr>
        <w:pStyle w:val="ae"/>
      </w:pPr>
      <w:r w:rsidRPr="0033318A">
        <w:br w:type="page"/>
        <w:t>1. Правовые аспекты экономики недвижимости</w:t>
      </w:r>
    </w:p>
    <w:p w:rsidR="0033318A" w:rsidRPr="0033318A" w:rsidRDefault="0033318A" w:rsidP="0033318A">
      <w:pPr>
        <w:pStyle w:val="ae"/>
      </w:pPr>
    </w:p>
    <w:p w:rsidR="008A340C" w:rsidRPr="0033318A" w:rsidRDefault="008A340C" w:rsidP="0033318A">
      <w:pPr>
        <w:pStyle w:val="ae"/>
      </w:pPr>
      <w:r w:rsidRPr="0033318A">
        <w:t>Характерной чертой рыночных отношений в сфере недвижимости являются наличие специальной нормативно-правовой базы, регламентирующей отношения, связанные с недвижимым имуществом, и, что особенно важно, более значительная, чем в других секторах рыночной экономики, роль региональных и муниципальных нормативных актов.</w:t>
      </w:r>
    </w:p>
    <w:p w:rsidR="008A340C" w:rsidRPr="0033318A" w:rsidRDefault="008A340C" w:rsidP="0033318A">
      <w:pPr>
        <w:pStyle w:val="ae"/>
      </w:pPr>
      <w:r w:rsidRPr="0033318A">
        <w:t>Законодательство в сфере недвижимости представляет собой совокупность законов, иных нормативных правовых актов, посредством которых государством устанавливаются, изменяются или отменяются соответствующие правовые нормы.</w:t>
      </w:r>
    </w:p>
    <w:p w:rsidR="008A340C" w:rsidRPr="0033318A" w:rsidRDefault="008A340C" w:rsidP="0033318A">
      <w:pPr>
        <w:pStyle w:val="ae"/>
      </w:pPr>
      <w:r w:rsidRPr="0033318A">
        <w:t>Систему законодательства образуют различные законы, а также иные нормативные правовые акты, регулирующие отношения в сфере недвижимости (прил. 6).</w:t>
      </w:r>
    </w:p>
    <w:p w:rsidR="008A340C" w:rsidRPr="0033318A" w:rsidRDefault="008A340C" w:rsidP="0033318A">
      <w:pPr>
        <w:pStyle w:val="ae"/>
      </w:pPr>
      <w:r w:rsidRPr="0033318A">
        <w:t>Источники права подразделяются на две основные группы: федеральные законы в сфере недвижимости и иные принятые в соответствии с ними нормативные правовые акты; законы и иные нормативные правовые акты субъектов РФ.</w:t>
      </w:r>
    </w:p>
    <w:p w:rsidR="008A340C" w:rsidRPr="0033318A" w:rsidRDefault="008A340C" w:rsidP="0033318A">
      <w:pPr>
        <w:pStyle w:val="ae"/>
      </w:pPr>
      <w:r w:rsidRPr="0033318A">
        <w:t>Конституция РФ является правовой основой развития всего российского законодательства. Она имеет высшую силу и прямое действие. Законы и иные правовые акты, принимаемые в РФ, должны полностью соответствовать положениям Конституции РФ.</w:t>
      </w:r>
    </w:p>
    <w:p w:rsidR="008A340C" w:rsidRPr="0033318A" w:rsidRDefault="008A340C" w:rsidP="0033318A">
      <w:pPr>
        <w:pStyle w:val="ae"/>
      </w:pPr>
      <w:r w:rsidRPr="0033318A">
        <w:t>В Конституции РФ решаются вопросы В Конституции РФ решаются вопросы компетенции РФ и ее субъектов по жилищному и гражданскому законодательству. Так, по Конституции РФ жилищное законодательство является предметом совместного ведения РФ и субъектов РФ.</w:t>
      </w:r>
    </w:p>
    <w:p w:rsidR="008A340C" w:rsidRPr="0033318A" w:rsidRDefault="008A340C" w:rsidP="0033318A">
      <w:pPr>
        <w:pStyle w:val="ae"/>
      </w:pPr>
      <w:r w:rsidRPr="0033318A">
        <w:t>Исходя из этого, жилищные отношения могут регулироваться как актами РФ, так и актами субъектов РФ. Конкретное разграничение полномочий между РФ и ее субъектами в жилищной сфере можно определить путем анализа законодательства, договоров России с субъектами Федерации, конкретных правоотношений.</w:t>
      </w:r>
    </w:p>
    <w:p w:rsidR="008A340C" w:rsidRPr="0033318A" w:rsidRDefault="008A340C" w:rsidP="0033318A">
      <w:pPr>
        <w:pStyle w:val="ae"/>
      </w:pPr>
      <w:r w:rsidRPr="0033318A">
        <w:t>Причем законы и иные нормативные правовые акты субъектов РФ не могут противоречить федеральным законам. В случае противоречия между федеральным законом и иным актом, изданным в РФ, действует Федеральный закон (ч. 5 ст. 76 Конституции РФ).</w:t>
      </w:r>
    </w:p>
    <w:p w:rsidR="008A340C" w:rsidRPr="0033318A" w:rsidRDefault="008A340C" w:rsidP="0033318A">
      <w:pPr>
        <w:pStyle w:val="ae"/>
      </w:pPr>
      <w:r w:rsidRPr="0033318A">
        <w:t>Жилищный кодекс (ЖК), другие федеральные законы регламентируют жилищные отношения, которые согласно ст. 72 Конституции РФ являются предметом совместного ведения РФ и субъектов РФ. Поэтому ЖК и федеральные законы выступают одновременно в качестве правовой базы, на основе которой принимаются законы и иные нормативные правовые акты субъектов РФ. Исходя из конституционных положений, законодательство в РФ в сфере недвижимости развивается как сложная система, в которой в качестве системообразующих законов выступают Конституция РФ, федеральные законы (например, «Об основах федеральной жилищной политики», «О приватизации жилищного фонда в Российской Федерации»), Жилищный кодекс РФ и другие акты.</w:t>
      </w:r>
    </w:p>
    <w:p w:rsidR="008A340C" w:rsidRPr="0033318A" w:rsidRDefault="008A340C" w:rsidP="0033318A">
      <w:pPr>
        <w:pStyle w:val="ae"/>
      </w:pPr>
      <w:r w:rsidRPr="0033318A">
        <w:t>В то же время законодательство в сфере недвижимости невозможно рассматривать как систему только одних законов в узком смысле, в состав указанного законодательства должны включаться и другие нормативные правовые акты, что вытекает из ст. 76 Конституции РФ, согласно которой по предметам совместного ведения издаются не только федеральные законы, но и «принимаемые в соответствии с ними законы и иные нормативные правовые акты субъектов Российской Федерации».</w:t>
      </w:r>
    </w:p>
    <w:p w:rsidR="008A340C" w:rsidRPr="0033318A" w:rsidRDefault="008A340C" w:rsidP="0033318A">
      <w:pPr>
        <w:pStyle w:val="ae"/>
      </w:pPr>
      <w:r w:rsidRPr="0033318A">
        <w:t>В состав жилищного законодательства, кроме законов и других нормативных актов гражданско-правового, финансового характера, входят также законы и другие нормативно-правовые акты, определяющие компетенцию органов исполнительной власти — правительства РФ, министерств и других федеральных органов управления, предприятий, учреждений, организаций в области управления государственным и муниципальным жилищным и другими фондами, организации эксплуатации и ремонта жилищного фонда и др.</w:t>
      </w:r>
    </w:p>
    <w:p w:rsidR="008A340C" w:rsidRPr="0033318A" w:rsidRDefault="008A340C" w:rsidP="0033318A">
      <w:pPr>
        <w:pStyle w:val="ae"/>
      </w:pPr>
      <w:r w:rsidRPr="0033318A">
        <w:t>Жилищный кодекс РФ включает почти все жилищно-правовые нормы, содержащиеся ранее ГК РСФСР (глава «Наем жилого помещения»), а также содержит много новых норм, соответствующих периоду принятия Кодекса и введения его в действие.</w:t>
      </w:r>
    </w:p>
    <w:p w:rsidR="008A340C" w:rsidRPr="0033318A" w:rsidRDefault="008A340C" w:rsidP="0033318A">
      <w:pPr>
        <w:pStyle w:val="ae"/>
      </w:pPr>
      <w:r w:rsidRPr="0033318A">
        <w:t>Жилищный кодекс является наиболее полным и кодифицированным законодательным актом, регулирующим достаточно полно и конкретно соответствующие жилищные отношения в России, в нем собраны воедино правовые нормы, систематизированные по отдельным институтам жилищного законодательства.</w:t>
      </w:r>
    </w:p>
    <w:p w:rsidR="008A340C" w:rsidRPr="0033318A" w:rsidRDefault="008A340C" w:rsidP="0033318A">
      <w:pPr>
        <w:pStyle w:val="ae"/>
      </w:pPr>
      <w:r w:rsidRPr="0033318A">
        <w:t>Однако нормы ЖК регулируют в основном отношения, складывающиеся в связи с пользованием жилыми помещениями. Вопросу регулирования жилищных отношений в частном и других жилищных фондах в Кодексе уделяется недостаточно внимания, в нем не нашли отражения появившиеся разнообразные формы приобретения жилья в собственность. После принятия ЖК был издан целый ряд новых жилищных законов, появились новые понятия, которые не включены в Кодекс (например, понятие «частный жилищный фонд», «приватизация» и др.).</w:t>
      </w:r>
    </w:p>
    <w:p w:rsidR="008A340C" w:rsidRPr="0033318A" w:rsidRDefault="008A340C" w:rsidP="0033318A">
      <w:pPr>
        <w:pStyle w:val="ae"/>
      </w:pPr>
      <w:r w:rsidRPr="0033318A">
        <w:t>Государственная регистрация прав на недвижимое имущество и сделок с ним — юридический акт признания и подтверждения государством возникновения, ограничения, перехода или прекращения прав на недвижимое имущество в соответствии с ГК РФ. Государственная регистрация является единственным доказательством существования зарегистрированного права. Зарегистрированное право может быть оспорено только в судебном порядке.</w:t>
      </w:r>
    </w:p>
    <w:p w:rsidR="0033318A" w:rsidRDefault="0033318A" w:rsidP="0033318A">
      <w:pPr>
        <w:pStyle w:val="ae"/>
      </w:pPr>
    </w:p>
    <w:p w:rsidR="008A340C" w:rsidRPr="0033318A" w:rsidRDefault="008A340C" w:rsidP="0033318A">
      <w:pPr>
        <w:pStyle w:val="ae"/>
      </w:pPr>
      <w:r w:rsidRPr="0033318A">
        <w:t>2. Правовые основы аренды недвижимости</w:t>
      </w:r>
    </w:p>
    <w:p w:rsidR="0033318A" w:rsidRDefault="0033318A" w:rsidP="0033318A">
      <w:pPr>
        <w:pStyle w:val="ae"/>
      </w:pPr>
    </w:p>
    <w:p w:rsidR="008A340C" w:rsidRPr="0033318A" w:rsidRDefault="008A340C" w:rsidP="0033318A">
      <w:pPr>
        <w:pStyle w:val="ae"/>
      </w:pPr>
      <w:r w:rsidRPr="0033318A">
        <w:t>Основным источником гражданско-правового регулирования арендных отношений в сфере недвижимости является ГК РФ (гл. 34 и 35). В § 1 гл. 34 сформулирован комплекс общих норм, действие которых распространяется на все виды аренды. Они носят универсальный характер и полностью регулируют те виды арендных отношений, для которых не предусмотрено специальных правил, а также распространяются на выделенные в самостоятельные виды аренды, но лишь в той части, которая не урегулирована особыми нормами, относящимися к соответствующему виду отношений (финансовой аренде и другим). Следует заметить, что многие нормы (гл. 34ТК РФ) имеют диспозитивный характер, что позволяет сторонам в договоре определять ряд своих отношений иначе, чем в законе, а законодательные положения использовать как запасной вариант - когда иное не предусмотрено в договоре. Императивными являются в основном нормы, предусматривающие защиту прав сторон и третьих лиц, интересы которых могут быть затронуты. Такой подход повышает правовой уровень арендных отношений и не противоречит принципу свободы договора.</w:t>
      </w:r>
    </w:p>
    <w:p w:rsidR="008A340C" w:rsidRPr="0033318A" w:rsidRDefault="008A340C" w:rsidP="0033318A">
      <w:pPr>
        <w:pStyle w:val="ae"/>
      </w:pPr>
      <w:r w:rsidRPr="0033318A">
        <w:t>Ввиду особого статуса отдельных видов недвижимого имущества предусматривается специальный порядок сдачи в аренду земельных участков и других обособленных природных объектов, отношения по поводу которых регулируются ЗК РФ, В К РФ, Законом о недрах и Л К РФ. Аренда жилых, домов и квартир осуществляется с учетом положений ЖК РФ, а передача в аренду государственных и муниципальных предприятий регламентируется законами о приватизации и другими подзаконными актами.</w:t>
      </w:r>
    </w:p>
    <w:p w:rsidR="008A340C" w:rsidRPr="0033318A" w:rsidRDefault="008A340C" w:rsidP="0033318A">
      <w:pPr>
        <w:pStyle w:val="ae"/>
      </w:pPr>
      <w:r w:rsidRPr="0033318A">
        <w:t>С нормы ГК РФ (гл. 34, 35), а также специального законодательства, регулирующие особенности отдельных видов аренды, применяются в сочетании с общими нормами гражданского законодательства о сделках, обязательствах и договорах.</w:t>
      </w:r>
    </w:p>
    <w:p w:rsidR="008A340C" w:rsidRPr="0033318A" w:rsidRDefault="008A340C" w:rsidP="0033318A">
      <w:pPr>
        <w:pStyle w:val="ae"/>
      </w:pPr>
      <w:r w:rsidRPr="0033318A">
        <w:t>Право сдавать в аренду недвижимое имущество принадлежит его собственнику - гражданину, предприятию или организации, а также лицам, уполномоченным на то законом или собственником. Арендодателями недвижимых объектов государственной и муниципальной собственности могут быть предприятия, за которыми имущество закреплено на праве хозяйственного ведения или оперативного управления, только с согласия собственника Министерство государственного имущества и его органы на местах являются арендодателями только объектов государственной и муниципальной собственности, не находящихся в хозяйственном ведении предприятий.</w:t>
      </w:r>
    </w:p>
    <w:p w:rsidR="008A340C" w:rsidRPr="0033318A" w:rsidRDefault="008A340C" w:rsidP="0033318A">
      <w:pPr>
        <w:pStyle w:val="ae"/>
      </w:pPr>
      <w:r w:rsidRPr="0033318A">
        <w:t>Государственные образовательные учреждения могут сдавать в аренду закрепленные за ними объекты недвижимости, включая и земельные участки, с согласия ученого совета с использованием полученных от аренды средств на развитие учебного процесса.</w:t>
      </w:r>
    </w:p>
    <w:p w:rsidR="008A340C" w:rsidRPr="0033318A" w:rsidRDefault="008A340C" w:rsidP="0033318A">
      <w:pPr>
        <w:pStyle w:val="ae"/>
      </w:pPr>
      <w:r w:rsidRPr="0033318A">
        <w:t>Состав арендодателей природных объектов определяется специальным законодательством. Земельные участки в аренду могут передавать:</w:t>
      </w:r>
    </w:p>
    <w:p w:rsidR="008A340C" w:rsidRPr="0033318A" w:rsidRDefault="008A340C" w:rsidP="0033318A">
      <w:pPr>
        <w:pStyle w:val="ae"/>
      </w:pPr>
      <w:r w:rsidRPr="0033318A">
        <w:t>собственники отдельных участков, в том числе граждане (ст. 260 ГКРФ);</w:t>
      </w:r>
    </w:p>
    <w:p w:rsidR="008A340C" w:rsidRPr="0033318A" w:rsidRDefault="008A340C" w:rsidP="0033318A">
      <w:pPr>
        <w:pStyle w:val="ae"/>
      </w:pPr>
      <w:r w:rsidRPr="0033318A">
        <w:t>Лица,</w:t>
      </w:r>
      <w:r w:rsidR="0033318A" w:rsidRPr="0033318A">
        <w:t xml:space="preserve"> </w:t>
      </w:r>
      <w:r w:rsidRPr="0033318A">
        <w:t>которым</w:t>
      </w:r>
      <w:r w:rsidR="0033318A" w:rsidRPr="0033318A">
        <w:t xml:space="preserve"> </w:t>
      </w:r>
      <w:r w:rsidRPr="0033318A">
        <w:t>земельные участки выделены в постоянное пользование - с согласия собственника (ст. 270 ГК РФ);</w:t>
      </w:r>
    </w:p>
    <w:p w:rsidR="0033318A" w:rsidRPr="0033318A" w:rsidRDefault="008A340C" w:rsidP="0033318A">
      <w:pPr>
        <w:pStyle w:val="ae"/>
      </w:pPr>
      <w:r w:rsidRPr="0033318A">
        <w:t>уполномоченные государством органы (служба земельного кадастра, земельные комитеты) — при сдаче в аренду земель государственной собственности, не переданных организациям в постоянное пользование.</w:t>
      </w:r>
    </w:p>
    <w:p w:rsidR="008A340C" w:rsidRPr="0033318A" w:rsidRDefault="008A340C" w:rsidP="0033318A">
      <w:pPr>
        <w:pStyle w:val="ae"/>
      </w:pPr>
      <w:r w:rsidRPr="0033318A">
        <w:t>Арендодателями природных объектов выступают:</w:t>
      </w:r>
    </w:p>
    <w:p w:rsidR="008A340C" w:rsidRPr="0033318A" w:rsidRDefault="008A340C" w:rsidP="0033318A">
      <w:pPr>
        <w:pStyle w:val="ae"/>
      </w:pPr>
      <w:r w:rsidRPr="0033318A">
        <w:t>участков недр — уполномоченные государственные органы;</w:t>
      </w:r>
      <w:r w:rsidR="0033318A" w:rsidRPr="0033318A">
        <w:t xml:space="preserve"> </w:t>
      </w:r>
      <w:r w:rsidRPr="0033318A">
        <w:t>участков лесного фонда — уполномоченные государственные органы субъектов РФ;</w:t>
      </w:r>
    </w:p>
    <w:p w:rsidR="0033318A" w:rsidRPr="0033318A" w:rsidRDefault="008A340C" w:rsidP="0033318A">
      <w:pPr>
        <w:pStyle w:val="ae"/>
      </w:pPr>
      <w:r w:rsidRPr="0033318A">
        <w:t>водных объектов — органы исполнительной власти субъектов РФ.</w:t>
      </w:r>
    </w:p>
    <w:p w:rsidR="008A340C" w:rsidRPr="0033318A" w:rsidRDefault="008A340C" w:rsidP="0033318A">
      <w:pPr>
        <w:pStyle w:val="ae"/>
      </w:pPr>
      <w:r w:rsidRPr="0033318A">
        <w:t>Арендаторами недвижимого имущества в России может быть любое дееспособное физическое или правоспособное юридическое лицо, имеющее в необходимых случаях лицензию (разрешение).</w:t>
      </w:r>
    </w:p>
    <w:p w:rsidR="008A340C" w:rsidRPr="0033318A" w:rsidRDefault="008A340C" w:rsidP="0033318A">
      <w:pPr>
        <w:pStyle w:val="ae"/>
      </w:pPr>
      <w:r w:rsidRPr="0033318A">
        <w:t>В мировой практике принято, что арендаторами земель сельскохозяйственного назначения могут быть граждане, у которых есть:</w:t>
      </w:r>
    </w:p>
    <w:p w:rsidR="0033318A" w:rsidRPr="0033318A" w:rsidRDefault="008A340C" w:rsidP="0033318A">
      <w:pPr>
        <w:pStyle w:val="ae"/>
      </w:pPr>
      <w:r w:rsidRPr="0033318A">
        <w:t>опыт работы на ферме не менее трех - пяти лет;</w:t>
      </w:r>
    </w:p>
    <w:p w:rsidR="008A340C" w:rsidRPr="0033318A" w:rsidRDefault="008A340C" w:rsidP="0033318A">
      <w:pPr>
        <w:pStyle w:val="ae"/>
      </w:pPr>
      <w:r w:rsidRPr="0033318A">
        <w:t>необходимый начальный капитал в размере не менее 2-3-летней арендной платы;</w:t>
      </w:r>
    </w:p>
    <w:p w:rsidR="008A340C" w:rsidRPr="0033318A" w:rsidRDefault="008A340C" w:rsidP="0033318A">
      <w:pPr>
        <w:pStyle w:val="ae"/>
      </w:pPr>
      <w:r w:rsidRPr="0033318A">
        <w:t>специальное образование - колледж, университет;</w:t>
      </w:r>
    </w:p>
    <w:p w:rsidR="008A340C" w:rsidRPr="0033318A" w:rsidRDefault="008A340C" w:rsidP="0033318A">
      <w:pPr>
        <w:pStyle w:val="ae"/>
      </w:pPr>
      <w:r w:rsidRPr="0033318A">
        <w:t>возраст до 40 лет, чтобы была возможность не только умело хозяйствовать,</w:t>
      </w:r>
      <w:r w:rsidR="0033318A" w:rsidRPr="0033318A">
        <w:t xml:space="preserve"> </w:t>
      </w:r>
      <w:r w:rsidRPr="0033318A">
        <w:t>но и лично физически работать;</w:t>
      </w:r>
    </w:p>
    <w:p w:rsidR="0033318A" w:rsidRPr="0033318A" w:rsidRDefault="008A340C" w:rsidP="0033318A">
      <w:pPr>
        <w:pStyle w:val="ae"/>
      </w:pPr>
      <w:r w:rsidRPr="0033318A">
        <w:t>намерение проживать непосредственно на ферме или вблизи от нее.</w:t>
      </w:r>
    </w:p>
    <w:p w:rsidR="0033318A" w:rsidRDefault="0033318A" w:rsidP="0033318A">
      <w:pPr>
        <w:pStyle w:val="ae"/>
      </w:pPr>
    </w:p>
    <w:p w:rsidR="008A340C" w:rsidRDefault="0033318A" w:rsidP="0033318A">
      <w:pPr>
        <w:pStyle w:val="ae"/>
      </w:pPr>
      <w:r>
        <w:t xml:space="preserve">3. </w:t>
      </w:r>
      <w:r w:rsidR="008A340C" w:rsidRPr="0033318A">
        <w:t>Принципы оценки недвижимости</w:t>
      </w:r>
    </w:p>
    <w:p w:rsidR="0033318A" w:rsidRPr="0033318A" w:rsidRDefault="0033318A" w:rsidP="0033318A">
      <w:pPr>
        <w:pStyle w:val="ae"/>
      </w:pPr>
    </w:p>
    <w:p w:rsidR="008A340C" w:rsidRPr="0033318A" w:rsidRDefault="008A340C" w:rsidP="0033318A">
      <w:pPr>
        <w:pStyle w:val="ae"/>
      </w:pPr>
      <w:r w:rsidRPr="0033318A">
        <w:t>В основу оценки недвижимости заложен ряд принципов, представляющих собой трактовку общеэкономических законов с позиции участников рынка недвижимости и призванных обобщить факторы, влияющие на стоимость. Приведенные ниже принципы считаются важнейшими и при правильном применении приводят к достоверным заключениям о стоимости.</w:t>
      </w:r>
    </w:p>
    <w:p w:rsidR="008A340C" w:rsidRPr="0033318A" w:rsidRDefault="008A340C" w:rsidP="0033318A">
      <w:pPr>
        <w:pStyle w:val="ae"/>
      </w:pPr>
      <w:r w:rsidRPr="0033318A">
        <w:t>Наилучшее использование, или принцип полезности</w:t>
      </w:r>
    </w:p>
    <w:p w:rsidR="008A340C" w:rsidRPr="0033318A" w:rsidRDefault="008A340C" w:rsidP="0033318A">
      <w:pPr>
        <w:pStyle w:val="ae"/>
      </w:pPr>
      <w:r w:rsidRPr="0033318A">
        <w:t>Наилучшее использование представляет собой оптимальное сочетание характеристик оцениваемого имущества и сложившихся на текущий момент рыночных условий.</w:t>
      </w:r>
    </w:p>
    <w:p w:rsidR="0033318A" w:rsidRPr="0033318A" w:rsidRDefault="008A340C" w:rsidP="0033318A">
      <w:pPr>
        <w:pStyle w:val="ae"/>
      </w:pPr>
      <w:r w:rsidRPr="0033318A">
        <w:t>Принцип наилучшего использования основывается на следующей предпосылке; верхняя граница цены, которую готов заплатить покупатель, определяется его относительно наиболее выгодного использования приобретаемого имущества. Таким образом, как незастроенные, так и застроенные земельные участки имеют тенденцию эксплуатироваться в соответствии со своим наилучшим использованием. Однако указанное в отчете наилучшее использование может не совпадать с текущим использованием оцениваемого имущества.</w:t>
      </w:r>
    </w:p>
    <w:p w:rsidR="008A340C" w:rsidRPr="0033318A" w:rsidRDefault="008A340C" w:rsidP="0033318A">
      <w:pPr>
        <w:pStyle w:val="ae"/>
      </w:pPr>
      <w:r w:rsidRPr="0033318A">
        <w:t>При определении наилучшего использования принимается во внимание:</w:t>
      </w:r>
    </w:p>
    <w:p w:rsidR="008A340C" w:rsidRPr="0033318A" w:rsidRDefault="008A340C" w:rsidP="0033318A">
      <w:pPr>
        <w:pStyle w:val="ae"/>
      </w:pPr>
      <w:r w:rsidRPr="0033318A">
        <w:t>Рыночные условия (прежде всего, преобладающие способы землепользования в окрестностях оцениваемого имущества);</w:t>
      </w:r>
    </w:p>
    <w:p w:rsidR="008A340C" w:rsidRPr="0033318A" w:rsidRDefault="008A340C" w:rsidP="0033318A">
      <w:pPr>
        <w:pStyle w:val="ae"/>
      </w:pPr>
      <w:r w:rsidRPr="0033318A">
        <w:t>Существующие нормы зонирования;</w:t>
      </w:r>
    </w:p>
    <w:p w:rsidR="008A340C" w:rsidRPr="0033318A" w:rsidRDefault="008A340C" w:rsidP="0033318A">
      <w:pPr>
        <w:pStyle w:val="ae"/>
      </w:pPr>
      <w:r w:rsidRPr="0033318A">
        <w:t>Ожидаемые изменения на рынке недвижимости;</w:t>
      </w:r>
    </w:p>
    <w:p w:rsidR="008A340C" w:rsidRPr="0033318A" w:rsidRDefault="008A340C" w:rsidP="0033318A">
      <w:pPr>
        <w:pStyle w:val="ae"/>
      </w:pPr>
      <w:r w:rsidRPr="0033318A">
        <w:t>Текущий способ использования имущества.</w:t>
      </w:r>
    </w:p>
    <w:p w:rsidR="008A340C" w:rsidRPr="0033318A" w:rsidRDefault="008A340C" w:rsidP="0033318A">
      <w:pPr>
        <w:pStyle w:val="ae"/>
      </w:pPr>
      <w:r w:rsidRPr="0033318A">
        <w:t>Наилучшее использование – это вероятное и юридически разрешенное</w:t>
      </w:r>
      <w:r w:rsidR="0033318A" w:rsidRPr="0033318A">
        <w:t xml:space="preserve"> </w:t>
      </w:r>
      <w:r w:rsidRPr="0033318A">
        <w:t>использование участка земли (свободного или с улучшениями), которое является физически возможным, экономически обоснованным и приводящим к его наивысшей стоимости.</w:t>
      </w:r>
    </w:p>
    <w:p w:rsidR="008A340C" w:rsidRPr="0033318A" w:rsidRDefault="008A340C" w:rsidP="0033318A">
      <w:pPr>
        <w:pStyle w:val="ae"/>
      </w:pPr>
      <w:r w:rsidRPr="0033318A">
        <w:t>В отчете об оценке наилучшим может</w:t>
      </w:r>
      <w:r w:rsidR="0033318A" w:rsidRPr="0033318A">
        <w:t xml:space="preserve"> </w:t>
      </w:r>
      <w:r w:rsidRPr="0033318A">
        <w:t>быть признано как одно конкретное использование, так и последовательная смена различных способов использования.</w:t>
      </w:r>
    </w:p>
    <w:p w:rsidR="008A340C" w:rsidRPr="0033318A" w:rsidRDefault="008A340C" w:rsidP="0033318A">
      <w:pPr>
        <w:pStyle w:val="ae"/>
      </w:pPr>
      <w:r w:rsidRPr="0033318A">
        <w:t>Диапазон способов использования земельного участка может</w:t>
      </w:r>
      <w:r w:rsidR="0033318A" w:rsidRPr="0033318A">
        <w:t xml:space="preserve"> </w:t>
      </w:r>
      <w:r w:rsidRPr="0033318A">
        <w:t>быть ограничен имеющимися на нем улучшениями: во-первых, для участка, свободного и готового для застройки в соответствии с наилучшим использованием, во-вторых, для участка с уже имеющимися улучшениями.</w:t>
      </w:r>
    </w:p>
    <w:p w:rsidR="008A340C" w:rsidRPr="0033318A" w:rsidRDefault="008A340C" w:rsidP="0033318A">
      <w:pPr>
        <w:pStyle w:val="ae"/>
      </w:pPr>
      <w:r w:rsidRPr="0033318A">
        <w:t>Если текущее использование не является наилучшим, то оно может продолжаться до тех, пор пока стоимость земли при наилучшем использовании не превысит стоимости недвижимого имущества (земли и улучшений) при текущем использовании за вычетом затрат по сносу имеющихся улучшений. Например, складские помещения, расположенные в промышленной зоне, скорее всего, будут отвечать наилучшему использованию участка земли, на котором они находятся. Однако если подобные объекты находятся в деловом квартале центральной части, в полнее возможно, что в соответствии с принципом наилучшего использования имеющиеся улучшения могут быть снесены, а участок отдан под строительство офисного здания или торгового центра.</w:t>
      </w:r>
    </w:p>
    <w:p w:rsidR="0033318A" w:rsidRPr="0033318A" w:rsidRDefault="008A340C" w:rsidP="0033318A">
      <w:pPr>
        <w:pStyle w:val="ae"/>
      </w:pPr>
      <w:r w:rsidRPr="0033318A">
        <w:t>наилучшее использование может изменяться с</w:t>
      </w:r>
      <w:r w:rsidR="0033318A" w:rsidRPr="0033318A">
        <w:t xml:space="preserve"> </w:t>
      </w:r>
      <w:r w:rsidRPr="0033318A">
        <w:t>течением времени. В качестве примера рассмотрим земельный участок с находящимся на нем жилым домом. Допустим автострада, строительство которой было недавно закончено, пролегла в непосредственной близости от участка. В изменившихся условиях наилучшим пользованием участка может стать строительство мотеля, заправочной станции, автосервиса или ресторана быстрого приготовления.</w:t>
      </w:r>
    </w:p>
    <w:p w:rsidR="008A340C" w:rsidRPr="0033318A" w:rsidRDefault="008A340C" w:rsidP="0033318A">
      <w:pPr>
        <w:pStyle w:val="ae"/>
      </w:pPr>
    </w:p>
    <w:p w:rsidR="008A340C" w:rsidRDefault="0033318A" w:rsidP="0033318A">
      <w:pPr>
        <w:pStyle w:val="ae"/>
      </w:pPr>
      <w:r>
        <w:br w:type="page"/>
      </w:r>
      <w:r w:rsidR="008A340C" w:rsidRPr="0033318A">
        <w:t>Список использованных источников</w:t>
      </w:r>
    </w:p>
    <w:p w:rsidR="0033318A" w:rsidRPr="0033318A" w:rsidRDefault="0033318A" w:rsidP="0033318A">
      <w:pPr>
        <w:pStyle w:val="ae"/>
      </w:pPr>
    </w:p>
    <w:p w:rsidR="008A340C" w:rsidRPr="0033318A" w:rsidRDefault="008A340C" w:rsidP="0033318A">
      <w:pPr>
        <w:pStyle w:val="ae"/>
        <w:numPr>
          <w:ilvl w:val="0"/>
          <w:numId w:val="11"/>
        </w:numPr>
        <w:ind w:left="0" w:firstLine="0"/>
        <w:jc w:val="left"/>
      </w:pPr>
      <w:r w:rsidRPr="0033318A">
        <w:t>Грязнова А.Г. Федотова М.А., Ленская С.А. Оценка бизнеса.- М.: Финансы и статистика, 2005. – 735 с.</w:t>
      </w:r>
    </w:p>
    <w:p w:rsidR="008A340C" w:rsidRPr="0033318A" w:rsidRDefault="008A340C" w:rsidP="0033318A">
      <w:pPr>
        <w:pStyle w:val="ae"/>
        <w:numPr>
          <w:ilvl w:val="0"/>
          <w:numId w:val="11"/>
        </w:numPr>
        <w:ind w:left="0" w:firstLine="0"/>
        <w:jc w:val="left"/>
      </w:pPr>
      <w:r w:rsidRPr="0033318A">
        <w:t>Щербаков В.А., Щербакова Н.А. Оценка стоимости предприятия (бизнеса) - М.:ОМЕГА-Л, 2007.-285с.</w:t>
      </w:r>
    </w:p>
    <w:p w:rsidR="008A340C" w:rsidRPr="0033318A" w:rsidRDefault="008A340C" w:rsidP="0033318A">
      <w:pPr>
        <w:pStyle w:val="ae"/>
        <w:numPr>
          <w:ilvl w:val="0"/>
          <w:numId w:val="11"/>
        </w:numPr>
        <w:ind w:left="0" w:firstLine="0"/>
        <w:jc w:val="left"/>
      </w:pPr>
      <w:r w:rsidRPr="0033318A">
        <w:t>Филиппов Л.А. Оценка бизнеса: - М.:КНОРУС, 2007.-750с.</w:t>
      </w:r>
    </w:p>
    <w:p w:rsidR="008A340C" w:rsidRPr="0033318A" w:rsidRDefault="008A340C" w:rsidP="0033318A">
      <w:pPr>
        <w:pStyle w:val="ae"/>
        <w:numPr>
          <w:ilvl w:val="0"/>
          <w:numId w:val="11"/>
        </w:numPr>
        <w:ind w:left="0" w:firstLine="0"/>
        <w:jc w:val="left"/>
      </w:pPr>
      <w:r w:rsidRPr="0033318A">
        <w:t>Попков В.П., Евстафьева Е.В. Оценка бизнеса: Учеб. пособие – СПб.: Питер, 2007.-240с.</w:t>
      </w:r>
    </w:p>
    <w:p w:rsidR="008A340C" w:rsidRPr="0033318A" w:rsidRDefault="008A340C" w:rsidP="0033318A">
      <w:pPr>
        <w:pStyle w:val="ae"/>
        <w:numPr>
          <w:ilvl w:val="0"/>
          <w:numId w:val="11"/>
        </w:numPr>
        <w:ind w:left="0" w:firstLine="0"/>
        <w:jc w:val="left"/>
      </w:pPr>
      <w:r w:rsidRPr="0033318A">
        <w:t>Организация и методы оценки предприятия (бизнеса):Учебник/Под ред. В.И.Кошкина- М.: ИКФ «ЭКМОС»,2004.-944С.</w:t>
      </w:r>
    </w:p>
    <w:p w:rsidR="008A340C" w:rsidRPr="0033318A" w:rsidRDefault="008A340C" w:rsidP="0033318A">
      <w:pPr>
        <w:pStyle w:val="ae"/>
        <w:numPr>
          <w:ilvl w:val="0"/>
          <w:numId w:val="11"/>
        </w:numPr>
        <w:ind w:left="0" w:firstLine="0"/>
        <w:jc w:val="left"/>
      </w:pPr>
      <w:r w:rsidRPr="0033318A">
        <w:t>Есипов В.Е., Маховикова Г.А., Терехова В.В.</w:t>
      </w:r>
      <w:r w:rsidR="0033318A" w:rsidRPr="0033318A">
        <w:t xml:space="preserve"> </w:t>
      </w:r>
      <w:r w:rsidRPr="0033318A">
        <w:t>Оценка бизнеса. – СПб.: Питер, 2007. – 416 с.</w:t>
      </w:r>
    </w:p>
    <w:p w:rsidR="008A340C" w:rsidRPr="0033318A" w:rsidRDefault="008A340C" w:rsidP="0033318A">
      <w:pPr>
        <w:pStyle w:val="ae"/>
        <w:numPr>
          <w:ilvl w:val="0"/>
          <w:numId w:val="11"/>
        </w:numPr>
        <w:ind w:left="0" w:firstLine="0"/>
        <w:jc w:val="left"/>
      </w:pPr>
      <w:r w:rsidRPr="0033318A">
        <w:t>Черняк В.З. Оценка бизнеса. – М.: Финансы и статистика.2004. – 176 с.</w:t>
      </w:r>
    </w:p>
    <w:p w:rsidR="008A340C" w:rsidRPr="0033318A" w:rsidRDefault="008A340C" w:rsidP="0033318A">
      <w:pPr>
        <w:pStyle w:val="ae"/>
        <w:numPr>
          <w:ilvl w:val="0"/>
          <w:numId w:val="11"/>
        </w:numPr>
        <w:ind w:left="0" w:firstLine="0"/>
        <w:jc w:val="left"/>
      </w:pPr>
      <w:r w:rsidRPr="0033318A">
        <w:t>Козырь Ю.В. Стоимость компании: оценка и управленческие решения.-М.: Альфа-пресс, 2004.-325с.</w:t>
      </w:r>
    </w:p>
    <w:p w:rsidR="008A340C" w:rsidRPr="0033318A" w:rsidRDefault="008A340C" w:rsidP="0033318A">
      <w:pPr>
        <w:pStyle w:val="ae"/>
        <w:ind w:firstLine="0"/>
        <w:jc w:val="left"/>
      </w:pPr>
      <w:bookmarkStart w:id="0" w:name="_GoBack"/>
      <w:bookmarkEnd w:id="0"/>
    </w:p>
    <w:sectPr w:rsidR="008A340C" w:rsidRPr="0033318A" w:rsidSect="0033318A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19" w:rsidRDefault="00A53F19">
      <w:r>
        <w:separator/>
      </w:r>
    </w:p>
  </w:endnote>
  <w:endnote w:type="continuationSeparator" w:id="0">
    <w:p w:rsidR="00A53F19" w:rsidRDefault="00A5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0C" w:rsidRDefault="008A340C">
    <w:pPr>
      <w:pStyle w:val="a5"/>
      <w:framePr w:wrap="around" w:vAnchor="text" w:hAnchor="margin" w:xAlign="center" w:y="1"/>
      <w:rPr>
        <w:rStyle w:val="a7"/>
      </w:rPr>
    </w:pPr>
  </w:p>
  <w:p w:rsidR="008A340C" w:rsidRDefault="008A34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0C" w:rsidRDefault="00315AC8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A340C" w:rsidRDefault="008A34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19" w:rsidRDefault="00A53F19">
      <w:r>
        <w:separator/>
      </w:r>
    </w:p>
  </w:footnote>
  <w:footnote w:type="continuationSeparator" w:id="0">
    <w:p w:rsidR="00A53F19" w:rsidRDefault="00A5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7604"/>
    <w:multiLevelType w:val="hybridMultilevel"/>
    <w:tmpl w:val="35904FDE"/>
    <w:lvl w:ilvl="0" w:tplc="7D1297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9C50C5E"/>
    <w:multiLevelType w:val="hybridMultilevel"/>
    <w:tmpl w:val="266A0A96"/>
    <w:lvl w:ilvl="0" w:tplc="0419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2">
    <w:nsid w:val="123813E6"/>
    <w:multiLevelType w:val="hybridMultilevel"/>
    <w:tmpl w:val="10D634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55227B3"/>
    <w:multiLevelType w:val="hybridMultilevel"/>
    <w:tmpl w:val="3DEE27E4"/>
    <w:lvl w:ilvl="0" w:tplc="B2C6E6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2A44C8"/>
    <w:multiLevelType w:val="hybridMultilevel"/>
    <w:tmpl w:val="861A3926"/>
    <w:lvl w:ilvl="0" w:tplc="E670E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2B45EA"/>
    <w:multiLevelType w:val="hybridMultilevel"/>
    <w:tmpl w:val="6430E2F2"/>
    <w:lvl w:ilvl="0" w:tplc="1B2CA8C0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0EC0483"/>
    <w:multiLevelType w:val="hybridMultilevel"/>
    <w:tmpl w:val="74345D9E"/>
    <w:lvl w:ilvl="0" w:tplc="0376F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9E39EC"/>
    <w:multiLevelType w:val="hybridMultilevel"/>
    <w:tmpl w:val="9B708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1934C6"/>
    <w:multiLevelType w:val="hybridMultilevel"/>
    <w:tmpl w:val="89585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81706B"/>
    <w:multiLevelType w:val="hybridMultilevel"/>
    <w:tmpl w:val="C5BC72EE"/>
    <w:lvl w:ilvl="0" w:tplc="8E083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086F5D"/>
    <w:multiLevelType w:val="hybridMultilevel"/>
    <w:tmpl w:val="3C588AEC"/>
    <w:lvl w:ilvl="0" w:tplc="0419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740"/>
    <w:rsid w:val="002865B2"/>
    <w:rsid w:val="00315AC8"/>
    <w:rsid w:val="0033318A"/>
    <w:rsid w:val="003F36B2"/>
    <w:rsid w:val="007A0135"/>
    <w:rsid w:val="008A340C"/>
    <w:rsid w:val="008D2B97"/>
    <w:rsid w:val="00966740"/>
    <w:rsid w:val="00A53F19"/>
    <w:rsid w:val="00CF545A"/>
    <w:rsid w:val="00EF17FA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CE391D-4590-4F09-B38E-8B74DE4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color w:val="00000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1134"/>
      </w:tabs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ind w:firstLine="709"/>
      <w:jc w:val="center"/>
    </w:pPr>
    <w:rPr>
      <w:b/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firstLine="851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a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ad">
    <w:name w:val="Обычный + По центру"/>
    <w:aliases w:val="Слева:  -0,32 см"/>
    <w:basedOn w:val="a"/>
    <w:pPr>
      <w:ind w:left="-180"/>
      <w:jc w:val="center"/>
    </w:pPr>
    <w:rPr>
      <w:sz w:val="20"/>
      <w:szCs w:val="20"/>
    </w:rPr>
  </w:style>
  <w:style w:type="paragraph" w:customStyle="1" w:styleId="ae">
    <w:name w:val="Аа"/>
    <w:basedOn w:val="a"/>
    <w:qFormat/>
    <w:rsid w:val="0033318A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f">
    <w:name w:val="Бб"/>
    <w:basedOn w:val="a"/>
    <w:qFormat/>
    <w:rsid w:val="0033318A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vshp</Company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secretar</dc:creator>
  <cp:keywords/>
  <dc:description/>
  <cp:lastModifiedBy>admin</cp:lastModifiedBy>
  <cp:revision>2</cp:revision>
  <cp:lastPrinted>2009-03-20T09:45:00Z</cp:lastPrinted>
  <dcterms:created xsi:type="dcterms:W3CDTF">2014-03-06T04:42:00Z</dcterms:created>
  <dcterms:modified xsi:type="dcterms:W3CDTF">2014-03-06T04:42:00Z</dcterms:modified>
</cp:coreProperties>
</file>