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6D" w:rsidRPr="000A4BE5" w:rsidRDefault="003F766D" w:rsidP="000A4BE5">
      <w:pPr>
        <w:spacing w:line="360" w:lineRule="auto"/>
        <w:ind w:firstLine="709"/>
        <w:jc w:val="center"/>
        <w:rPr>
          <w:sz w:val="28"/>
          <w:szCs w:val="28"/>
        </w:rPr>
      </w:pPr>
      <w:r w:rsidRPr="000A4BE5">
        <w:rPr>
          <w:sz w:val="28"/>
          <w:szCs w:val="28"/>
        </w:rPr>
        <w:t>Министерство образования и науки Российской Федерации</w:t>
      </w:r>
    </w:p>
    <w:p w:rsidR="003F766D" w:rsidRPr="000A4BE5" w:rsidRDefault="003F766D" w:rsidP="000A4BE5">
      <w:pPr>
        <w:spacing w:line="360" w:lineRule="auto"/>
        <w:ind w:firstLine="709"/>
        <w:jc w:val="center"/>
        <w:rPr>
          <w:sz w:val="28"/>
          <w:szCs w:val="28"/>
        </w:rPr>
      </w:pPr>
      <w:r w:rsidRPr="000A4BE5">
        <w:rPr>
          <w:sz w:val="28"/>
          <w:szCs w:val="28"/>
        </w:rPr>
        <w:t>Федеральное агентство по образованию</w:t>
      </w:r>
    </w:p>
    <w:p w:rsidR="003F766D" w:rsidRPr="000A4BE5" w:rsidRDefault="003F766D" w:rsidP="000A4BE5">
      <w:pPr>
        <w:spacing w:line="360" w:lineRule="auto"/>
        <w:ind w:firstLine="709"/>
        <w:jc w:val="center"/>
        <w:rPr>
          <w:sz w:val="28"/>
          <w:szCs w:val="28"/>
        </w:rPr>
      </w:pPr>
      <w:r w:rsidRPr="000A4BE5">
        <w:rPr>
          <w:sz w:val="28"/>
          <w:szCs w:val="28"/>
        </w:rPr>
        <w:t>Государственное образовательное учреждение</w:t>
      </w:r>
    </w:p>
    <w:p w:rsidR="003F766D" w:rsidRPr="000A4BE5" w:rsidRDefault="003F766D" w:rsidP="000A4BE5">
      <w:pPr>
        <w:spacing w:line="360" w:lineRule="auto"/>
        <w:ind w:firstLine="709"/>
        <w:jc w:val="center"/>
        <w:rPr>
          <w:sz w:val="28"/>
          <w:szCs w:val="28"/>
        </w:rPr>
      </w:pPr>
      <w:r w:rsidRPr="000A4BE5">
        <w:rPr>
          <w:sz w:val="28"/>
          <w:szCs w:val="28"/>
        </w:rPr>
        <w:t>высшего профессионального образования</w:t>
      </w:r>
    </w:p>
    <w:p w:rsidR="003F766D" w:rsidRPr="000A4BE5" w:rsidRDefault="003F766D" w:rsidP="000A4BE5">
      <w:pPr>
        <w:spacing w:line="360" w:lineRule="auto"/>
        <w:ind w:firstLine="709"/>
        <w:jc w:val="center"/>
        <w:rPr>
          <w:sz w:val="28"/>
          <w:szCs w:val="28"/>
        </w:rPr>
      </w:pPr>
      <w:r w:rsidRPr="000A4BE5">
        <w:rPr>
          <w:sz w:val="28"/>
          <w:szCs w:val="28"/>
        </w:rPr>
        <w:t>«Хабаровская государственная академия экономики и права»</w:t>
      </w:r>
    </w:p>
    <w:p w:rsidR="003F766D" w:rsidRPr="000A4BE5" w:rsidRDefault="003F766D" w:rsidP="000A4BE5">
      <w:pPr>
        <w:spacing w:line="360" w:lineRule="auto"/>
        <w:ind w:firstLine="709"/>
        <w:jc w:val="center"/>
        <w:rPr>
          <w:sz w:val="28"/>
          <w:szCs w:val="28"/>
        </w:rPr>
      </w:pPr>
      <w:r w:rsidRPr="000A4BE5">
        <w:rPr>
          <w:sz w:val="28"/>
          <w:szCs w:val="28"/>
        </w:rPr>
        <w:t>Кафедра финансов</w:t>
      </w:r>
    </w:p>
    <w:p w:rsidR="003F766D" w:rsidRPr="000A4BE5" w:rsidRDefault="003F766D" w:rsidP="000A4BE5">
      <w:pPr>
        <w:spacing w:line="360" w:lineRule="auto"/>
        <w:ind w:firstLine="709"/>
        <w:jc w:val="center"/>
        <w:rPr>
          <w:sz w:val="28"/>
          <w:szCs w:val="28"/>
        </w:rPr>
      </w:pPr>
    </w:p>
    <w:p w:rsidR="003F766D" w:rsidRPr="000A4BE5" w:rsidRDefault="003F766D" w:rsidP="000A4BE5">
      <w:pPr>
        <w:spacing w:line="360" w:lineRule="auto"/>
        <w:ind w:firstLine="709"/>
        <w:jc w:val="center"/>
        <w:rPr>
          <w:sz w:val="28"/>
          <w:szCs w:val="28"/>
        </w:rPr>
      </w:pPr>
    </w:p>
    <w:p w:rsidR="003F766D" w:rsidRPr="000A4BE5" w:rsidRDefault="003F766D" w:rsidP="000A4BE5">
      <w:pPr>
        <w:spacing w:line="360" w:lineRule="auto"/>
        <w:ind w:firstLine="709"/>
        <w:jc w:val="center"/>
        <w:rPr>
          <w:sz w:val="28"/>
          <w:szCs w:val="28"/>
        </w:rPr>
      </w:pPr>
    </w:p>
    <w:p w:rsidR="003F766D" w:rsidRPr="000A4BE5" w:rsidRDefault="003F766D" w:rsidP="000A4BE5">
      <w:pPr>
        <w:spacing w:line="360" w:lineRule="auto"/>
        <w:ind w:firstLine="709"/>
        <w:jc w:val="center"/>
        <w:rPr>
          <w:sz w:val="28"/>
          <w:szCs w:val="28"/>
        </w:rPr>
      </w:pPr>
    </w:p>
    <w:p w:rsidR="003F766D" w:rsidRPr="000A4BE5" w:rsidRDefault="003F766D" w:rsidP="000A4BE5">
      <w:pPr>
        <w:spacing w:line="360" w:lineRule="auto"/>
        <w:ind w:firstLine="709"/>
        <w:jc w:val="center"/>
        <w:rPr>
          <w:sz w:val="28"/>
          <w:szCs w:val="28"/>
        </w:rPr>
      </w:pPr>
      <w:r w:rsidRPr="000A4BE5">
        <w:rPr>
          <w:sz w:val="28"/>
          <w:szCs w:val="28"/>
        </w:rPr>
        <w:t>Контрольная работа по дисциплине:</w:t>
      </w:r>
    </w:p>
    <w:p w:rsidR="003F766D" w:rsidRPr="000A4BE5" w:rsidRDefault="003F766D" w:rsidP="000A4BE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4BE5">
        <w:rPr>
          <w:b/>
          <w:sz w:val="28"/>
          <w:szCs w:val="28"/>
        </w:rPr>
        <w:t>ГОСУДАРСТВЕННЫЙ И МУНИЦИПАЛЬНЫЙ ДОЛГ</w:t>
      </w:r>
    </w:p>
    <w:p w:rsidR="003F766D" w:rsidRPr="000A4BE5" w:rsidRDefault="003A43F4" w:rsidP="000A4BE5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В</w:t>
      </w:r>
      <w:r w:rsidR="003F766D" w:rsidRPr="000A4BE5">
        <w:rPr>
          <w:sz w:val="28"/>
          <w:szCs w:val="28"/>
        </w:rPr>
        <w:t>ариант</w:t>
      </w:r>
      <w:r>
        <w:rPr>
          <w:sz w:val="28"/>
          <w:szCs w:val="28"/>
        </w:rPr>
        <w:t xml:space="preserve"> №</w:t>
      </w:r>
      <w:r w:rsidR="003F766D" w:rsidRPr="000A4BE5">
        <w:rPr>
          <w:sz w:val="28"/>
          <w:szCs w:val="28"/>
        </w:rPr>
        <w:t xml:space="preserve"> 10 Зарубежный опыт государственных и</w:t>
      </w:r>
      <w:r>
        <w:rPr>
          <w:sz w:val="28"/>
          <w:szCs w:val="28"/>
        </w:rPr>
        <w:t xml:space="preserve"> </w:t>
      </w:r>
      <w:r w:rsidR="003F766D" w:rsidRPr="000A4BE5">
        <w:rPr>
          <w:sz w:val="28"/>
          <w:szCs w:val="28"/>
        </w:rPr>
        <w:t>муниципальных заимствований</w:t>
      </w:r>
    </w:p>
    <w:p w:rsidR="003F766D" w:rsidRPr="000A4BE5" w:rsidRDefault="003F766D" w:rsidP="000A4BE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F766D" w:rsidRPr="000A4BE5" w:rsidRDefault="003F766D" w:rsidP="000A4BE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F766D" w:rsidRPr="000A4BE5" w:rsidRDefault="003F766D" w:rsidP="000A4BE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F766D" w:rsidRPr="000A4BE5" w:rsidRDefault="003F766D" w:rsidP="000A4BE5">
      <w:pPr>
        <w:spacing w:line="360" w:lineRule="auto"/>
        <w:ind w:firstLine="709"/>
        <w:jc w:val="right"/>
        <w:rPr>
          <w:sz w:val="28"/>
          <w:szCs w:val="28"/>
        </w:rPr>
      </w:pPr>
      <w:r w:rsidRPr="000A4BE5">
        <w:rPr>
          <w:sz w:val="28"/>
          <w:szCs w:val="28"/>
        </w:rPr>
        <w:t>Выполнила: студентка 6ФКс ГМФ</w:t>
      </w:r>
    </w:p>
    <w:p w:rsidR="003F766D" w:rsidRPr="000A4BE5" w:rsidRDefault="003F766D" w:rsidP="000A4BE5">
      <w:pPr>
        <w:spacing w:line="360" w:lineRule="auto"/>
        <w:ind w:firstLine="709"/>
        <w:jc w:val="right"/>
        <w:rPr>
          <w:sz w:val="28"/>
          <w:szCs w:val="28"/>
        </w:rPr>
      </w:pPr>
      <w:r w:rsidRPr="000A4BE5">
        <w:rPr>
          <w:sz w:val="28"/>
          <w:szCs w:val="28"/>
        </w:rPr>
        <w:t>Яковлева Юлия Игоревна</w:t>
      </w:r>
    </w:p>
    <w:p w:rsidR="003F766D" w:rsidRPr="000A4BE5" w:rsidRDefault="003F766D" w:rsidP="000A4BE5">
      <w:pPr>
        <w:spacing w:line="360" w:lineRule="auto"/>
        <w:ind w:firstLine="709"/>
        <w:jc w:val="right"/>
        <w:rPr>
          <w:sz w:val="28"/>
          <w:szCs w:val="28"/>
        </w:rPr>
      </w:pPr>
      <w:r w:rsidRPr="000A4BE5">
        <w:rPr>
          <w:sz w:val="28"/>
          <w:szCs w:val="28"/>
        </w:rPr>
        <w:t>№ зачетной книжки 0720430</w:t>
      </w:r>
    </w:p>
    <w:p w:rsidR="003F766D" w:rsidRPr="000A4BE5" w:rsidRDefault="003F766D" w:rsidP="000A4BE5">
      <w:pPr>
        <w:spacing w:line="360" w:lineRule="auto"/>
        <w:ind w:firstLine="709"/>
        <w:jc w:val="right"/>
        <w:rPr>
          <w:sz w:val="28"/>
          <w:szCs w:val="28"/>
        </w:rPr>
      </w:pPr>
      <w:r w:rsidRPr="000A4BE5">
        <w:rPr>
          <w:sz w:val="28"/>
          <w:szCs w:val="28"/>
        </w:rPr>
        <w:t>Проверил: Солдаткин С. Н.</w:t>
      </w:r>
    </w:p>
    <w:p w:rsidR="003F766D" w:rsidRPr="000A4BE5" w:rsidRDefault="003F766D" w:rsidP="000A4BE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F766D" w:rsidRPr="000A4BE5" w:rsidRDefault="003F766D" w:rsidP="000A4BE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F766D" w:rsidRPr="000A4BE5" w:rsidRDefault="003F766D" w:rsidP="000A4BE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F766D" w:rsidRPr="000A4BE5" w:rsidRDefault="003F766D" w:rsidP="000A4BE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F766D" w:rsidRPr="000A4BE5" w:rsidRDefault="003F766D" w:rsidP="000A4BE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F766D" w:rsidRPr="000A4BE5" w:rsidRDefault="003F766D" w:rsidP="000A4BE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F766D" w:rsidRPr="000A4BE5" w:rsidRDefault="003F766D" w:rsidP="000A4BE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F766D" w:rsidRPr="000A4BE5" w:rsidRDefault="003F766D" w:rsidP="000A4BE5">
      <w:pPr>
        <w:spacing w:line="360" w:lineRule="auto"/>
        <w:ind w:firstLine="709"/>
        <w:jc w:val="center"/>
        <w:rPr>
          <w:sz w:val="28"/>
          <w:szCs w:val="28"/>
        </w:rPr>
      </w:pPr>
      <w:r w:rsidRPr="000A4BE5">
        <w:rPr>
          <w:sz w:val="28"/>
          <w:szCs w:val="28"/>
        </w:rPr>
        <w:t>Южно-Сахалинск</w:t>
      </w:r>
    </w:p>
    <w:p w:rsidR="003F766D" w:rsidRPr="000A4BE5" w:rsidRDefault="003F766D" w:rsidP="000A4BE5">
      <w:pPr>
        <w:spacing w:line="360" w:lineRule="auto"/>
        <w:ind w:firstLine="709"/>
        <w:jc w:val="center"/>
        <w:rPr>
          <w:sz w:val="28"/>
          <w:szCs w:val="28"/>
        </w:rPr>
      </w:pPr>
      <w:r w:rsidRPr="000A4BE5">
        <w:rPr>
          <w:sz w:val="28"/>
          <w:szCs w:val="28"/>
        </w:rPr>
        <w:t>2009</w:t>
      </w:r>
    </w:p>
    <w:p w:rsidR="003F766D" w:rsidRPr="000A4BE5" w:rsidRDefault="000A4BE5" w:rsidP="000A4BE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F766D" w:rsidRPr="000A4BE5">
        <w:rPr>
          <w:b/>
          <w:sz w:val="28"/>
          <w:szCs w:val="28"/>
        </w:rPr>
        <w:t>Содержание</w:t>
      </w:r>
    </w:p>
    <w:p w:rsidR="000A4BE5" w:rsidRDefault="000A4BE5" w:rsidP="000A4BE5">
      <w:pPr>
        <w:spacing w:line="360" w:lineRule="auto"/>
        <w:ind w:firstLine="709"/>
        <w:jc w:val="both"/>
        <w:rPr>
          <w:sz w:val="28"/>
          <w:szCs w:val="28"/>
        </w:rPr>
      </w:pPr>
    </w:p>
    <w:p w:rsidR="003F766D" w:rsidRPr="000A4BE5" w:rsidRDefault="003F766D" w:rsidP="000A4BE5">
      <w:pPr>
        <w:spacing w:line="360" w:lineRule="auto"/>
        <w:rPr>
          <w:sz w:val="28"/>
          <w:szCs w:val="28"/>
        </w:rPr>
      </w:pPr>
      <w:r w:rsidRPr="000A4BE5">
        <w:rPr>
          <w:sz w:val="28"/>
          <w:szCs w:val="28"/>
        </w:rPr>
        <w:t>В</w:t>
      </w:r>
      <w:r w:rsidR="000A4BE5">
        <w:rPr>
          <w:sz w:val="28"/>
          <w:szCs w:val="28"/>
        </w:rPr>
        <w:t>в</w:t>
      </w:r>
      <w:r w:rsidRPr="000A4BE5">
        <w:rPr>
          <w:sz w:val="28"/>
          <w:szCs w:val="28"/>
        </w:rPr>
        <w:t>едение</w:t>
      </w:r>
    </w:p>
    <w:p w:rsidR="003F766D" w:rsidRPr="000A4BE5" w:rsidRDefault="003F766D" w:rsidP="000A4BE5">
      <w:pPr>
        <w:spacing w:line="360" w:lineRule="auto"/>
        <w:rPr>
          <w:sz w:val="28"/>
          <w:szCs w:val="28"/>
        </w:rPr>
      </w:pPr>
      <w:r w:rsidRPr="000A4BE5">
        <w:rPr>
          <w:sz w:val="28"/>
          <w:szCs w:val="28"/>
        </w:rPr>
        <w:t>1.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Общая характеристика государственных и муниципальных заимствований в зарубежных странах.</w:t>
      </w:r>
    </w:p>
    <w:p w:rsidR="003F766D" w:rsidRPr="000A4BE5" w:rsidRDefault="003F766D" w:rsidP="000A4BE5">
      <w:pPr>
        <w:spacing w:line="360" w:lineRule="auto"/>
        <w:rPr>
          <w:sz w:val="28"/>
          <w:szCs w:val="28"/>
        </w:rPr>
      </w:pPr>
      <w:r w:rsidRPr="000A4BE5">
        <w:rPr>
          <w:sz w:val="28"/>
          <w:szCs w:val="28"/>
        </w:rPr>
        <w:t>2. Особенности заемной деятельности и обслуживания государственного и муниципального долга (на примере ряда зарубежных стран).</w:t>
      </w:r>
    </w:p>
    <w:p w:rsidR="003F766D" w:rsidRPr="000A4BE5" w:rsidRDefault="003F766D" w:rsidP="000A4BE5">
      <w:pPr>
        <w:spacing w:line="360" w:lineRule="auto"/>
        <w:rPr>
          <w:sz w:val="28"/>
          <w:szCs w:val="28"/>
        </w:rPr>
      </w:pPr>
      <w:r w:rsidRPr="000A4BE5">
        <w:rPr>
          <w:sz w:val="28"/>
          <w:szCs w:val="28"/>
        </w:rPr>
        <w:t>3.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Цели и задачи деятельности специальных органов по управлению государственным и муниципальным долгом в зарубежных странах.</w:t>
      </w:r>
    </w:p>
    <w:p w:rsidR="003F766D" w:rsidRPr="000A4BE5" w:rsidRDefault="003F766D" w:rsidP="000A4BE5">
      <w:pPr>
        <w:spacing w:line="360" w:lineRule="auto"/>
        <w:rPr>
          <w:sz w:val="28"/>
          <w:szCs w:val="28"/>
        </w:rPr>
      </w:pPr>
      <w:r w:rsidRPr="000A4BE5">
        <w:rPr>
          <w:sz w:val="28"/>
          <w:szCs w:val="28"/>
        </w:rPr>
        <w:t>Заключение</w:t>
      </w:r>
    </w:p>
    <w:p w:rsidR="003F766D" w:rsidRPr="000A4BE5" w:rsidRDefault="003F766D" w:rsidP="000A4BE5">
      <w:pPr>
        <w:spacing w:line="360" w:lineRule="auto"/>
        <w:rPr>
          <w:sz w:val="28"/>
          <w:szCs w:val="28"/>
        </w:rPr>
      </w:pPr>
      <w:r w:rsidRPr="000A4BE5">
        <w:rPr>
          <w:sz w:val="28"/>
          <w:szCs w:val="28"/>
        </w:rPr>
        <w:t>Список использованной литературы.</w:t>
      </w:r>
    </w:p>
    <w:p w:rsidR="003F766D" w:rsidRDefault="000A4BE5" w:rsidP="000A4BE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Введение</w:t>
      </w:r>
    </w:p>
    <w:p w:rsidR="000A4BE5" w:rsidRPr="000A4BE5" w:rsidRDefault="000A4BE5" w:rsidP="000A4BE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Долговые обязательства Российской Федерации могут существовать в виде обязательств по: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1) кредитам, привлеченным от имени Российской Федерации как заемщика от кредитных организаций, иностранных государств, в том числе по целевым иностранным кредитам (заимствованиям) международных финансовых организаций, иных субъектов международного права, иностранных юридических лиц;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2) государственным ценным бумагам, выпущенным от имени Российской Федерации;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3) бюджетным кредитам, привлеченным в федеральный бюджет из других бюджетов бюджетной системы Российской Федерации;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4) государственным гарантиям Российской Федерации;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5) иным долговым обязательствам, ранее отнесенным в соответствии с законодательством Российской Федерации на государственный долг Российской Федерации.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Долговые обязательства Российской Федерации могут быть краткосрочными (менее одного года), среднесрочными (от одного года до пяти лет) и долгосрочными (от пяти до 30 лет включительно).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В объем государственного внутреннего долга Р.Ф. включаются: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1) номинальная сумма долга по государственным ценным бумагам Российской Федерации, обязательства по которым выражены в валюте Российской Федерации;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2) объем основного долга по кредитам, которые получены Российской Федерацией и обязательства по которым выражены в валюте Российской Федерации;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3) объем основного долга по бюджетным кредитам, полученным Российской Федерацией;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4) объем обязательств по государственным гарантиям, выраженным в валюте Российской Федерации;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5) объем иных (за исключением указанных) долговых обязательств Российской Федерации, оплата которых в валюте Российской Федерации предусмотрена федеральными законами до введения в действие настоящего Кодекса.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В объем государственного внешнего долга Р.Ф. включаются: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1) номинальная сумма долга по государственным ценным бумагам Российской Федерации, обязательства по которым выражены в иностранной валюте;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2) объем основного долга по кредитам, которые получены Российской Федерацией и обязательства по которым выражены в иностранной валюте, в том числе по целевым иностранным кредитам (заимствованиям), привлеченным под государственные гарантии Российской Федерации;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3) объем обязательств по государственным гарантиям Российской Федерации, выраженным в иностранной валюте.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К государственному долгу Р.Ф. относятся долговые обязательства Р.Ф. перед физическими и юридическими лицами Р.Ф. субъектами Р.Ф, муниципальными образованиями, иностранными государствами, международными финансовыми организациями, иными субъектами международного права, иностранными физическими и юридическими лицами, возникшие в результате государственных заимствований Р.Ф, а также долговые обязательства по государственным гарантиям, предоставленным Р.Ф, и долговые обязательства, возникшие в результате принятия законодательных актов Р.Ф. об отнесении на государственный долг долговых обязательств третьих лиц, возникших до введения в действие настоящего Кодекса. (в ред. Ф.З.от 26.04.2007 N 63-ФЗ)</w:t>
      </w:r>
    </w:p>
    <w:p w:rsidR="003F766D" w:rsidRDefault="000A4BE5" w:rsidP="000A4BE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766D" w:rsidRPr="000A4BE5">
        <w:rPr>
          <w:b/>
          <w:sz w:val="28"/>
          <w:szCs w:val="28"/>
        </w:rPr>
        <w:t>1. Общая характеристика государственных и муниципальных заимствований в зарубежных странах</w:t>
      </w:r>
    </w:p>
    <w:p w:rsidR="000A4BE5" w:rsidRPr="000A4BE5" w:rsidRDefault="000A4BE5" w:rsidP="000A4BE5">
      <w:pPr>
        <w:spacing w:line="360" w:lineRule="auto"/>
        <w:ind w:firstLine="709"/>
        <w:jc w:val="both"/>
        <w:rPr>
          <w:sz w:val="28"/>
          <w:szCs w:val="28"/>
        </w:rPr>
      </w:pP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По ранее полученным знаниям можно сказать, что ведущие индустриальные страны, входящие в «большую семерку» (</w:t>
      </w:r>
      <w:r w:rsidRPr="000A4BE5">
        <w:rPr>
          <w:sz w:val="28"/>
          <w:szCs w:val="28"/>
          <w:lang w:val="en-US"/>
        </w:rPr>
        <w:t>G</w:t>
      </w:r>
      <w:r w:rsidRPr="000A4BE5">
        <w:rPr>
          <w:sz w:val="28"/>
          <w:szCs w:val="28"/>
        </w:rPr>
        <w:t>-7), являются крупнейшими кредиторами мировой экономики.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Венская конвенция о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правопреемстве государств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в отношении государственной собственности, государственных архивов и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государственных долгов.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Для целей статей настоящей части "государственный долг" означает любое финансовое обязательство государства - предшественника в отношении другого государства, международной организации или любого иного субъекта международного права, возникшее в соответствии с международным правом.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Последствия Перехода государственных долгов влечет за собой прекращение обязательств государства - предшественника и возникновение обязательств государства - преемника в отношении государственных долгов, которые переходят к государству - преемнику с учетом положений статей настоящей части.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Тенденция резкого возрастания объемов внешнего долга и соответственно необходимых платежи по нему начала выявляться довольно давно с начала 80-х годов. С 2008 года после наступления финансового кризиса в мире, тенденция возрастания объемов внешнего долга увеличилась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у большинства стран мира. Это стало проблемой не только для самих стран - должников, но и для всей мирровой экономики. Основными причинами явились финансовая политики США, значительный рост дефицитов текущих платежных балансов стран, особенно импортирующих нефть, а также увеличение структурных несоответствий и диспропорций в экономике.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Вместе с тем наиболее развитые страны имеют достаточно большой размер собственного государственного долга.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 xml:space="preserve">Важным обстоятельством наращивания государственного долга в странах </w:t>
      </w:r>
      <w:r w:rsidRPr="000A4BE5">
        <w:rPr>
          <w:sz w:val="28"/>
          <w:szCs w:val="28"/>
          <w:lang w:val="en-US"/>
        </w:rPr>
        <w:t>G</w:t>
      </w:r>
      <w:r w:rsidRPr="000A4BE5">
        <w:rPr>
          <w:sz w:val="28"/>
          <w:szCs w:val="28"/>
        </w:rPr>
        <w:t>-7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является его полна секьюритизация, т.е. в структуре долговых обязательств отсутствуют займы, полученные от других кредиторов, в том числе международных финансовых организаций (что характерно для развитых стран). Фактически долг этих стран представляет собой портфель выпущенных и обслуживаемых в зависимости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от конкретных целей и с учетом складывающихся экономических условий.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В Латинской Америке самыми крупными должниками являются Бразилия, Аргентина и Мексика: на их долю приходится более 70% внешнего долга региона. Почти половина общего объема внешнего долга всех латиноамериканских стран приходится на Бразилию.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Большой внешний долг имеют арабские страны – импортеры нефти: Египет, Иордания, Ливан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и некоторые другие. Египет, до недавнего времени расходовал на обслуживание долга более половину доходов от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экспорта. В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азиатском регионе крупнейшими должниками являются Филиппины, Таиланд, Индонезия, Южная Корея, Китай и Индия.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Напряженная долговая ситуация сохраняется на африканском континенте, в основном в тропической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его части, экономика которой поддерживается в основном заемными, льготными и безвозвратными ресурсами со стороны международных финансовых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организаций и государств кредиторов. Внешний долг региона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нарастал опережающими по сравнению с другими развивающимися странами темпами.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По методологии МВФ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и всемирного банка развивающиеся страны делятся на ряд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групп – согласно Инициативе по облегчению долгового бремени наименее развитых стран.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К группе «тяжело обремененные страны с низким уровнем дохода» отнесены 36 государств, в том числе Афганистан, Боливия, Вьетнам, Гайана, Гондурас, Никарагуа, Эфиопия. Группу «тяжело обремененные страны со средним уровнем дохода» составляют 17 государств, включая Алжир, Болгария, Ирак, Куба, Польша. «Умерено обремененные страны с низким уровнем дохода» - Албания, Египет, Индия, Лаос, Пакистан и еще 10 государств. В группу «умерено обремененные страны со средним уровнем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дохода» входят Россия, Венгрия, Греция, Индонезия и Чили. «Менее обремененные страны с низким уровнем дохода» - Азербайджан, Армения, Грузия, Киргизия, Китай, Таджикистан,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и Шри-Ланка (всего 11).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Наиболее многочисленная группа (55 стран) – «менее обремененные страны со средним уровнем дохода»: Белоруссия, Иран, Казахстан, КНДР, Латвия, Чехия, Эстония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и ЮАР.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</w:p>
    <w:p w:rsidR="003F766D" w:rsidRPr="000A4BE5" w:rsidRDefault="003F766D" w:rsidP="000A4BE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4BE5">
        <w:rPr>
          <w:b/>
          <w:sz w:val="28"/>
          <w:szCs w:val="28"/>
        </w:rPr>
        <w:t>2. Особенности заемной деятельности и обслуживания государственного и муниципального долга (на примере ряда зарубежных стран</w:t>
      </w:r>
      <w:r w:rsidR="000A4BE5">
        <w:rPr>
          <w:b/>
          <w:sz w:val="28"/>
          <w:szCs w:val="28"/>
        </w:rPr>
        <w:t>)</w:t>
      </w:r>
    </w:p>
    <w:p w:rsidR="000A4BE5" w:rsidRDefault="000A4BE5" w:rsidP="000A4BE5">
      <w:pPr>
        <w:spacing w:line="360" w:lineRule="auto"/>
        <w:ind w:firstLine="709"/>
        <w:jc w:val="both"/>
        <w:rPr>
          <w:sz w:val="28"/>
          <w:szCs w:val="28"/>
        </w:rPr>
      </w:pP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Огромные расходы, которые несет американская экономика, включая суммы на обслуживание государственного долга, заставляют Министерство финансов США привлекать большие средства с финансовых рынков. Финансирование экономики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США за счет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привлечения заемных средств является, с одной стороны, наиболее оперативным и дешевым способом нахождения необходимых бюджетных средств, с другой, - позволяет избежать повышения налогов и инфляционной эмиссии наличных денег.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Государственный сектор США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состоит из трех составных частей – федеральное правительство, правительство штатов и местные органы власти. Через данные институты производятся внутренние взаимодействия, прежде всего путем выпуска государственных ценных бумаг (ГЦБ). Как известно, фондовый рынок США является наиболее развитым в мире. Вложение в ГЦБ является одним из наиболее безопасных методов защиты капитала и получения стабильного дохода от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инвестиций. Своевременная выплата основной суммы долга и процентов гарантируется правительством США или одним из его агентов, которые ни разу не отказывались от выполнения своих обязательств.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Основным эмитентом долговых обязательств в США выступает Казначейство, выпускающее как рыночные, так и нерыночные ценные бумаги. К рыночным можно отнести на три категории ценных бумаг: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Казначейские векселя;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Казначейские ноты;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Казначейские боты.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Эти бумаги существуют в электронной форме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в виде записей на счетах, что существенно сокращает затраты на изготовление бланков и учет, позволяет избежать фальсификации и максимально упростить обращение облигаций н6а рынке. Казначейство США эмитируют бумаги, привлекательные для самого широкого круга инвесторов: корпораций, коммерческих банков, страховых компаний, фондов денежных рынков, физических лиц. На долю частных корпоративных инвесторов приходится около 74% бумаг, на долю государственных учреждений, траст-фондов и Федеральных резервных банков – около 26%.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В США эмитируются и несколько видов нерыночных ценных бумаг: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Сберегательные облигации;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Облигации, оформляющие внешний долг;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Облигации, по которым ведутся правительственные счета;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Ценные бумаги для размещения в штатах и местных органов власти.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 xml:space="preserve">В США к выпуску облигаций широко прибегают специализированные финансово – кредитные учреждения, находящиеся в структуре федерального правительства или получающие у него финансовую поддержку (гарантии), </w:t>
      </w:r>
      <w:r w:rsidRPr="000A4BE5">
        <w:rPr>
          <w:i/>
          <w:sz w:val="28"/>
          <w:szCs w:val="28"/>
        </w:rPr>
        <w:t>например: Система фермерского кредита (объединяет банки кооперативов,</w:t>
      </w:r>
      <w:r w:rsidRPr="000A4BE5">
        <w:rPr>
          <w:sz w:val="28"/>
          <w:szCs w:val="28"/>
        </w:rPr>
        <w:t xml:space="preserve"> банки фермерского кредита, Федеральную корпорацию по финансированию банков фермерского кредита, корпорацию по страхованию системы фермерского кредита, коронацию по финансовой поддержке фермерского кредита), </w:t>
      </w:r>
      <w:r w:rsidRPr="000A4BE5">
        <w:rPr>
          <w:i/>
          <w:sz w:val="28"/>
          <w:szCs w:val="28"/>
        </w:rPr>
        <w:t>Федеральная система банков жилищного кредитования, Федеральная корпорация по ипотеке, экспертно – импортный банк США</w:t>
      </w:r>
      <w:r w:rsidRPr="000A4BE5">
        <w:rPr>
          <w:sz w:val="28"/>
          <w:szCs w:val="28"/>
        </w:rPr>
        <w:t xml:space="preserve"> и др. указанные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финансовые институты выпускают облигации для финансирования своей деятельности на различные сроки и с различной степенью гарантии со стороны правительства.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 xml:space="preserve">В США весь долг правительства часто называют валовым. </w:t>
      </w:r>
      <w:r w:rsidRPr="000A4BE5">
        <w:rPr>
          <w:i/>
          <w:sz w:val="28"/>
          <w:szCs w:val="28"/>
        </w:rPr>
        <w:t>Валовой долг</w:t>
      </w:r>
      <w:r w:rsidR="004C691B">
        <w:rPr>
          <w:i/>
          <w:sz w:val="28"/>
          <w:szCs w:val="28"/>
        </w:rPr>
        <w:t xml:space="preserve"> </w:t>
      </w:r>
      <w:r w:rsidRPr="000A4BE5">
        <w:rPr>
          <w:sz w:val="28"/>
          <w:szCs w:val="28"/>
        </w:rPr>
        <w:t>представляет собой сумму долга перед публикой (публичный долг) и ГЦБ на счетах правительственных организации (внебюджетных фондов, штатов, местных администраций и т.п). публичный долг состоит из ГЦБ, находящихся в собственности центрального банка и неправительственных инвесторов. Он показывает, какую часть общественного богатства правительство абсорбировало, чтобы финансировать свои обязательства.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Поскольку публичный долг возникает в ходе операций правительства на финансовом рынке, он считается</w:t>
      </w:r>
      <w:r w:rsidR="004C691B">
        <w:rPr>
          <w:sz w:val="28"/>
          <w:szCs w:val="28"/>
        </w:rPr>
        <w:t xml:space="preserve"> </w:t>
      </w:r>
      <w:r w:rsidRPr="000A4BE5">
        <w:rPr>
          <w:i/>
          <w:sz w:val="28"/>
          <w:szCs w:val="28"/>
        </w:rPr>
        <w:t>рыночным долгом</w:t>
      </w:r>
      <w:r w:rsidRPr="000A4BE5">
        <w:rPr>
          <w:sz w:val="28"/>
          <w:szCs w:val="28"/>
        </w:rPr>
        <w:t xml:space="preserve"> и состоит в основном из торгуемых и неторгуемые ГЦБ. </w:t>
      </w:r>
      <w:r w:rsidRPr="000A4BE5">
        <w:rPr>
          <w:sz w:val="28"/>
          <w:szCs w:val="28"/>
          <w:u w:val="single"/>
        </w:rPr>
        <w:t xml:space="preserve">Торгуемые ГЦБ </w:t>
      </w:r>
      <w:r w:rsidRPr="000A4BE5">
        <w:rPr>
          <w:sz w:val="28"/>
          <w:szCs w:val="28"/>
        </w:rPr>
        <w:t>можно перепродать после продажи их правительством, поэтому что они переводимы с одного лица на другое. Сберегательные облигации и другие неторгуемые ГЦБ включаются в рыночный долг, т.к. предназначены для розничных инвесторов и размещаются через рыночных и финансовых посредников. Рыночный долг дает примерное представление о конкуренции между государством и другими секторами на рынке капиталов. Эта конкуренция влияет на рыночные процентные ставки и частное накопление. Кроме того, проценты по долгу перед публикой есть вычет из дохода налогоплательщиков.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Нередко правительство США занимает у самого себя (внутри правительственный долг). Долг выполняет учетную, бухгалтерскую функцию и не означает, что правительство имеет обязательства по финансированию программ внебюджетных фондов, являющихся внутренними кредиторами правительства. Долг «учитывает» их суммарный профицит и причитающиеся на него проценты Общий государственный секьюритизированный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 xml:space="preserve">долг США с учетом ценных бумаг, выпущенных Казначейством и принадлежащих государственным фондам, составляет 7,379 трлн. Долл., что превышает суммарный государственный долг стран США имеет тенденцию к росту. За последние 10 лет он увеличился на 57%. Конгресс США периодически (но не ежегодно) вынужден принимать решение о повышении максимального уровня государственного долга. Говоря о методах управления государственных долгом в США, стоит особо отметить погашение долга, начатое в </w:t>
      </w:r>
      <w:smartTag w:uri="urn:schemas-microsoft-com:office:smarttags" w:element="metricconverter">
        <w:smartTagPr>
          <w:attr w:name="ProductID" w:val="1999 г"/>
        </w:smartTagPr>
        <w:r w:rsidRPr="000A4BE5">
          <w:rPr>
            <w:sz w:val="28"/>
            <w:szCs w:val="28"/>
          </w:rPr>
          <w:t>1999 г</w:t>
        </w:r>
      </w:smartTag>
      <w:r w:rsidRPr="000A4BE5">
        <w:rPr>
          <w:sz w:val="28"/>
          <w:szCs w:val="28"/>
        </w:rPr>
        <w:t xml:space="preserve">. Путем выкупа долговых обязательств. Историческое решение погасить 30 млрд. долл. Долга приняла администрация президента Клинтона. Последний раз подобную экономическую акцию осуществил президент США Эндрю Джексоном в </w:t>
      </w:r>
      <w:smartTag w:uri="urn:schemas-microsoft-com:office:smarttags" w:element="metricconverter">
        <w:smartTagPr>
          <w:attr w:name="ProductID" w:val="1935 г"/>
        </w:smartTagPr>
        <w:r w:rsidRPr="000A4BE5">
          <w:rPr>
            <w:sz w:val="28"/>
            <w:szCs w:val="28"/>
          </w:rPr>
          <w:t>1935 г</w:t>
        </w:r>
      </w:smartTag>
      <w:r w:rsidRPr="000A4BE5">
        <w:rPr>
          <w:sz w:val="28"/>
          <w:szCs w:val="28"/>
        </w:rPr>
        <w:t>.</w:t>
      </w:r>
    </w:p>
    <w:p w:rsidR="000A4BE5" w:rsidRDefault="000A4BE5" w:rsidP="000A4BE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F766D" w:rsidRPr="000A4BE5" w:rsidRDefault="003F766D" w:rsidP="000A4BE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4BE5">
        <w:rPr>
          <w:b/>
          <w:sz w:val="28"/>
          <w:szCs w:val="28"/>
        </w:rPr>
        <w:t>3. Цели и задачи деятельности специальных органов по управлению государственным и муниципаль</w:t>
      </w:r>
      <w:r w:rsidR="000A4BE5">
        <w:rPr>
          <w:b/>
          <w:sz w:val="28"/>
          <w:szCs w:val="28"/>
        </w:rPr>
        <w:t>ным долгом в зарубежных странах</w:t>
      </w:r>
    </w:p>
    <w:p w:rsidR="000A4BE5" w:rsidRDefault="000A4BE5" w:rsidP="000A4BE5">
      <w:pPr>
        <w:spacing w:line="360" w:lineRule="auto"/>
        <w:ind w:firstLine="709"/>
        <w:jc w:val="both"/>
        <w:rPr>
          <w:sz w:val="28"/>
          <w:szCs w:val="28"/>
        </w:rPr>
      </w:pP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Важнейшим вопросом эффективного управления государственным долгом является его институциональное оформление, т.е. определение органа, занимающегося таким управлением, придание ему соответствующих функций. Сегодня в развитых странах существует несколько подходов к выбору такого органа.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 xml:space="preserve">Наиболее </w:t>
      </w:r>
      <w:r w:rsidRPr="000A4BE5">
        <w:rPr>
          <w:i/>
          <w:sz w:val="28"/>
          <w:szCs w:val="28"/>
        </w:rPr>
        <w:t xml:space="preserve">традиционный подход </w:t>
      </w:r>
      <w:r w:rsidRPr="000A4BE5">
        <w:rPr>
          <w:sz w:val="28"/>
          <w:szCs w:val="28"/>
        </w:rPr>
        <w:t>предполагает сохранение функций управления долгом исключительно за Министерством финансов. В ряде стран при казначействе существует офис управление долгом (</w:t>
      </w:r>
      <w:r w:rsidRPr="000A4BE5">
        <w:rPr>
          <w:sz w:val="28"/>
          <w:szCs w:val="28"/>
          <w:lang w:val="en-US"/>
        </w:rPr>
        <w:t>Debt</w:t>
      </w:r>
      <w:r w:rsidRPr="000A4BE5">
        <w:rPr>
          <w:sz w:val="28"/>
          <w:szCs w:val="28"/>
        </w:rPr>
        <w:t xml:space="preserve"> </w:t>
      </w:r>
      <w:r w:rsidRPr="000A4BE5">
        <w:rPr>
          <w:sz w:val="28"/>
          <w:szCs w:val="28"/>
          <w:lang w:val="en-US"/>
        </w:rPr>
        <w:t>Management</w:t>
      </w:r>
      <w:r w:rsidRPr="000A4BE5">
        <w:rPr>
          <w:sz w:val="28"/>
          <w:szCs w:val="28"/>
        </w:rPr>
        <w:t xml:space="preserve"> </w:t>
      </w:r>
      <w:r w:rsidRPr="000A4BE5">
        <w:rPr>
          <w:sz w:val="28"/>
          <w:szCs w:val="28"/>
          <w:lang w:val="en-US"/>
        </w:rPr>
        <w:t>office</w:t>
      </w:r>
      <w:r w:rsidRPr="000A4BE5">
        <w:rPr>
          <w:sz w:val="28"/>
          <w:szCs w:val="28"/>
        </w:rPr>
        <w:t xml:space="preserve"> – </w:t>
      </w:r>
      <w:r w:rsidRPr="000A4BE5">
        <w:rPr>
          <w:sz w:val="28"/>
          <w:szCs w:val="28"/>
          <w:lang w:val="en-US"/>
        </w:rPr>
        <w:t>DMO</w:t>
      </w:r>
      <w:r w:rsidRPr="000A4BE5">
        <w:rPr>
          <w:sz w:val="28"/>
          <w:szCs w:val="28"/>
        </w:rPr>
        <w:t>) – юридическое лицо, бюджетная организация с отдельным чертами коммерческой структуры. Такая модель управления подходит для США. Функция управления долгом здесь возложены на департамент Федерального казначейства. Во Франции за этот процесс отвечает соответствующее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подразделение Министерства экономики и финансов. К данной группе стран относят Германию и Канаду.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i/>
          <w:sz w:val="28"/>
          <w:szCs w:val="28"/>
        </w:rPr>
        <w:t xml:space="preserve">Второй подход </w:t>
      </w:r>
      <w:r w:rsidRPr="000A4BE5">
        <w:rPr>
          <w:sz w:val="28"/>
          <w:szCs w:val="28"/>
        </w:rPr>
        <w:t>предусматривает распределение функций по управлению долгом между Министерством финансов и Центральным банком. До недавнего времени подобную организацию работы с долгом использована Италия, где Центральны банк выступал основным связующим звеном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между Минфином и рынком, а позиция ЦБ по тем или иным вопросам долговой политики играла важную роль при выпуске ГЦБ. Минфином Италии имел прямой доступ к доходам от сеньоража. Так, например, в начале 1990-х Минфин Италии мог свободно финансировать до 14% госрасходов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 xml:space="preserve">с помощью прямых займов у ЦБ. До </w:t>
      </w:r>
      <w:smartTag w:uri="urn:schemas-microsoft-com:office:smarttags" w:element="metricconverter">
        <w:smartTagPr>
          <w:attr w:name="ProductID" w:val="1990 г"/>
        </w:smartTagPr>
        <w:r w:rsidRPr="000A4BE5">
          <w:rPr>
            <w:sz w:val="28"/>
            <w:szCs w:val="28"/>
          </w:rPr>
          <w:t>1990 г</w:t>
        </w:r>
      </w:smartTag>
      <w:r w:rsidRPr="000A4BE5">
        <w:rPr>
          <w:sz w:val="28"/>
          <w:szCs w:val="28"/>
        </w:rPr>
        <w:t>. Аналогичный подход существовал в Ирландии (было учреждено независимое долговое государство): национальный долг в целом управлялся соответствующим департаментом Министерства финансов, а выпуск краткосрочных долговых обязательств контролировался Центральным банком. Несмотря на имеющиеся различия, оба подхода к организации управления долгом имеют сходство – их реализация строится на основе традиционных институтов государственного управления. К данной группе стран можно отнести Великобританию.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 xml:space="preserve">Существует еще </w:t>
      </w:r>
      <w:r w:rsidRPr="000A4BE5">
        <w:rPr>
          <w:i/>
          <w:sz w:val="28"/>
          <w:szCs w:val="28"/>
        </w:rPr>
        <w:t xml:space="preserve">альтернативный подход: </w:t>
      </w:r>
      <w:r w:rsidRPr="000A4BE5">
        <w:rPr>
          <w:sz w:val="28"/>
          <w:szCs w:val="28"/>
        </w:rPr>
        <w:t>он предусматривает делегирование полномочий по заимствованию относительно независимым органам – агентства по управлению государственным долгом. Подобные структуры были созданы – Швеции, Ирландии, Новой Зеландии и ряде других стран. Такие долговые агентства подотчетны министру финансов осуществляющему общий мониторинг деятельности агентства и устанавливающему стратегические рамки долгового управления. Руководство текущей деятельностью осуществляет глава агентства. В большинстве случаев в помощь министру финансов создается наблюдательный совет, куда входят авторитетные представители деловых и научных кругов. Это позволяет сделать деятельность агентства более прозрачной. Основная причина создания независимой службы по управлению долгом является наличие потенциального конфликта между задачами бюджетного финансирования, целями монетарной политики и собственно управления госдолгом.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Рассмотрим цели, задачи и особенности деятельности подразделений по управлению долгом на примере ряда стран. В Германии Администрация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федерального долга (АФД) – это «автономная высшая федеральная власть в области, за которую отвечает Министерство финансов». В обязанности АФД входят: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- независимая проверка, соблюдения требования закона о пределе заимствований;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- регистрация займов; - ведение реестра федерального долга;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- обслуживание долга.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При этом Правительство Германии утверждает цели управления долгом, стратегию достижения этих целей и важнейшие ориентиры для исполнений.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В Великобритании управлением долгами перед населением страны занимается Агентство по управлению национальным долгом, которое проводит переговоры и аукционы по размещению государственных долговых ценных бумаг. Агентство подотчетного Министерству финансов. А долгом страны внешнему миру занимается Центральны банк. Важнейшей функцией Банка является контроль объема долга правительства.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В Швеции официальная политика заимствований строится на предположении, что шведское правительство выступает н финансовом рынке в качестве агента, не влияющего на стоимость займов. Это предложение вполне оправдано, т.к. открытая экономика Швеции является сравнительно небольшим участником мирового рынка капитала – спрос на шведские долговые обязательства стабилен.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В Новой Зеландии Агентство по управлению долгом (</w:t>
      </w:r>
      <w:r w:rsidRPr="000A4BE5">
        <w:rPr>
          <w:sz w:val="28"/>
          <w:szCs w:val="28"/>
          <w:lang w:val="en-US"/>
        </w:rPr>
        <w:t>NZDMO</w:t>
      </w:r>
      <w:r w:rsidRPr="000A4BE5">
        <w:rPr>
          <w:sz w:val="28"/>
          <w:szCs w:val="28"/>
        </w:rPr>
        <w:t>) не имеет четкой законодательно определенной ответственности. Агентство отвечает за управление долговым портфелем страны в соответствии с правительственными (общественным) предпочтениями относительно рисков. Существующие соглашения между цен6тральным банком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и Агентством в большинстве своем регулируют отношения, известные в экономической литературе как «отношения агента и принципа». В Новой Зеландии такие взаимоотношения возникают при оказании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 xml:space="preserve">Центральным банком услуг по размещению ценных бумаг Агентством. ЦБ может выступать как брокер, регистратор, платежный агент, выполняя технические операции по поручению </w:t>
      </w:r>
      <w:r w:rsidRPr="000A4BE5">
        <w:rPr>
          <w:sz w:val="28"/>
          <w:szCs w:val="28"/>
          <w:lang w:val="en-US"/>
        </w:rPr>
        <w:t>NZDMO</w:t>
      </w:r>
      <w:r w:rsidRPr="000A4BE5">
        <w:rPr>
          <w:sz w:val="28"/>
          <w:szCs w:val="28"/>
        </w:rPr>
        <w:t>. Важным условием такого сотрудничества является то, что любые действия Центробанка по поручению Агентства должны проводиться безотносительно соображений монетарной политики. Соответственно вся ответственность за решения, принятые в отношении государственных обязательств и советы по структуре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программы заимствований, анонсируемой Минфином вместе с законом о бюджете, целиком ложатся на Агентство.</w:t>
      </w:r>
    </w:p>
    <w:p w:rsidR="003F766D" w:rsidRPr="000A4BE5" w:rsidRDefault="000A4BE5" w:rsidP="000A4BE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F766D" w:rsidRPr="000A4BE5">
        <w:rPr>
          <w:b/>
          <w:sz w:val="28"/>
          <w:szCs w:val="28"/>
        </w:rPr>
        <w:t>Заключение</w:t>
      </w:r>
    </w:p>
    <w:p w:rsidR="000A4BE5" w:rsidRDefault="000A4BE5" w:rsidP="000A4BE5">
      <w:pPr>
        <w:spacing w:line="360" w:lineRule="auto"/>
        <w:ind w:firstLine="709"/>
        <w:jc w:val="both"/>
        <w:rPr>
          <w:sz w:val="28"/>
          <w:szCs w:val="28"/>
        </w:rPr>
      </w:pP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Отношение правительства зарубежных стран к значимости государственного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долга, выбору целей управление долгом, определению допустимой степени риска, методов управления условными обязательствами и путей обеспечения надежного управления государственным долгом нельзя назвать однозначным. Правительство обычно привлекают заемные ресурсы исходя из потребностей очередного финансового года. Вместе с тем механизм долгового финансирования может использоваться и по схеме программного финансирования с длительным, до нескольких поколений, долговым циклом, а также по схеме резервного кредита. Для этого, помимо соответствующих общеэкономических и финансовых условии, необходима также установка центральных финансовых органов на реализацию указанных возможностей.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 xml:space="preserve">Что касается соотношения между внутренним и внешним долгом, то отдельные станы, придерживаются различным подходов. Так, в новой Зеландии в соответствии с принятой в </w:t>
      </w:r>
      <w:smartTag w:uri="urn:schemas-microsoft-com:office:smarttags" w:element="metricconverter">
        <w:smartTagPr>
          <w:attr w:name="ProductID" w:val="1994 г"/>
        </w:smartTagPr>
        <w:r w:rsidRPr="000A4BE5">
          <w:rPr>
            <w:sz w:val="28"/>
            <w:szCs w:val="28"/>
          </w:rPr>
          <w:t>1994 г</w:t>
        </w:r>
      </w:smartTag>
      <w:r w:rsidRPr="000A4BE5">
        <w:rPr>
          <w:sz w:val="28"/>
          <w:szCs w:val="28"/>
        </w:rPr>
        <w:t>. Программой внешний долг был практически полностью погашен к 2005г. Тем самым,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отказавшись от внешних заимствований, правительство стало крупнейшим заемщиком на внутреннем финансовом рынке. В результате повысилась ликвидность государственных облигаций, все выпуски которых выступали которых выступали как базовые, снизились затраты по обслуживанию долга. В ряде стран, например, в Бразилии, правительства наоборот стремятся переместить государственные заимствования с внутреннего на международный финансовый рынок. Во–первых, внешние заимствования могут оказаться более выгодными из-за разницы в уровнях процентных ставок внутри и вне страны, во – вторых в результате ухода государства с внутреннего рынка заимствований на национальном рынке оно не конкурирует с заемщиками из негосударственного сектора, что способствует увеличению внутренних капиталовложений. В данном случае при всех изменениях в финансовый политике и экономических реформах учитывается необходимость снижения государственных заимствований внутри страны. В результате внутренние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корпорации получают возможность размещать на внутреннем финансовом рынке свои облигации на более выгодных условиях.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sz w:val="28"/>
          <w:szCs w:val="28"/>
        </w:rPr>
      </w:pPr>
      <w:r w:rsidRPr="000A4BE5">
        <w:rPr>
          <w:sz w:val="28"/>
          <w:szCs w:val="28"/>
        </w:rPr>
        <w:t>Основной целью в координации и управлением долгом является – обеспечить удовлетворение потребностей органов государственного управления в финансировании и выполнение их обязательств по платежам при минимально возможных затратах в средне – и долгосрочной перспективе и с разумной степенью риска. Управление долгом должно распространяться на основные финансовые обязательств по платежам при минимально возможных затратах в средне – и долгосрочной перспективе и с разумно степенью риска. Управление долгом должно распространяться на финансовые обязательства, находящиеся под контролем центрального правительства.</w:t>
      </w:r>
    </w:p>
    <w:p w:rsidR="003F766D" w:rsidRPr="000A4BE5" w:rsidRDefault="000A4BE5" w:rsidP="000A4BE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F766D" w:rsidRPr="000A4BE5">
        <w:rPr>
          <w:b/>
          <w:sz w:val="28"/>
          <w:szCs w:val="28"/>
        </w:rPr>
        <w:t>С</w:t>
      </w:r>
      <w:r w:rsidRPr="000A4BE5">
        <w:rPr>
          <w:b/>
          <w:sz w:val="28"/>
          <w:szCs w:val="28"/>
        </w:rPr>
        <w:t>писок использованной литературы</w:t>
      </w:r>
    </w:p>
    <w:p w:rsidR="003F766D" w:rsidRPr="000A4BE5" w:rsidRDefault="003F766D" w:rsidP="000A4BE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F766D" w:rsidRPr="000A4BE5" w:rsidRDefault="003F766D" w:rsidP="000A4BE5">
      <w:pPr>
        <w:spacing w:line="360" w:lineRule="auto"/>
        <w:rPr>
          <w:sz w:val="28"/>
          <w:szCs w:val="28"/>
        </w:rPr>
      </w:pPr>
      <w:r w:rsidRPr="000A4BE5">
        <w:rPr>
          <w:sz w:val="28"/>
          <w:szCs w:val="28"/>
        </w:rPr>
        <w:t>1. Бюджетный Кодекс РФ от 31.07.1998 № 145 – ФЗ (ред. от 09.04.2009г), с изм. от 22.06.2009г.</w:t>
      </w:r>
    </w:p>
    <w:p w:rsidR="003F766D" w:rsidRPr="000A4BE5" w:rsidRDefault="003F766D" w:rsidP="000A4BE5">
      <w:pPr>
        <w:spacing w:line="360" w:lineRule="auto"/>
        <w:rPr>
          <w:sz w:val="28"/>
          <w:szCs w:val="28"/>
        </w:rPr>
      </w:pPr>
      <w:r w:rsidRPr="000A4BE5">
        <w:rPr>
          <w:sz w:val="28"/>
          <w:szCs w:val="28"/>
        </w:rPr>
        <w:t>2. Бюджетный Кодекс РФ</w:t>
      </w:r>
      <w:r w:rsidR="004C691B">
        <w:rPr>
          <w:sz w:val="28"/>
          <w:szCs w:val="28"/>
        </w:rPr>
        <w:t xml:space="preserve"> </w:t>
      </w:r>
      <w:r w:rsidRPr="000A4BE5">
        <w:rPr>
          <w:sz w:val="28"/>
          <w:szCs w:val="28"/>
        </w:rPr>
        <w:t>в ред. Ф.З.от 26.04.2007 N 63-ФЗ</w:t>
      </w:r>
    </w:p>
    <w:p w:rsidR="003F766D" w:rsidRPr="000A4BE5" w:rsidRDefault="003F766D" w:rsidP="000A4BE5">
      <w:pPr>
        <w:spacing w:line="360" w:lineRule="auto"/>
        <w:rPr>
          <w:sz w:val="28"/>
          <w:szCs w:val="28"/>
        </w:rPr>
      </w:pPr>
      <w:r w:rsidRPr="000A4BE5">
        <w:rPr>
          <w:sz w:val="28"/>
          <w:szCs w:val="28"/>
        </w:rPr>
        <w:t>3. государственный и муниципальный долг: теория, методология, практика: учеб. пособие составитель/ С.Н. Солдаткин/ Хаб: РИЦ ХГАЭП, 2008 – 232 стр.</w:t>
      </w:r>
    </w:p>
    <w:p w:rsidR="003F766D" w:rsidRPr="000A4BE5" w:rsidRDefault="003F766D" w:rsidP="000A4BE5">
      <w:pPr>
        <w:spacing w:line="360" w:lineRule="auto"/>
        <w:rPr>
          <w:sz w:val="28"/>
          <w:szCs w:val="28"/>
        </w:rPr>
      </w:pPr>
      <w:r w:rsidRPr="000A4BE5">
        <w:rPr>
          <w:sz w:val="28"/>
          <w:szCs w:val="28"/>
        </w:rPr>
        <w:t>4. Григорьев В. Н. Кредитование суверенных заемщиков. Лондонский клуб кредиторов // Банковские услуги. – 2006. – № 9.</w:t>
      </w:r>
    </w:p>
    <w:p w:rsidR="003F766D" w:rsidRPr="000A4BE5" w:rsidRDefault="003F766D" w:rsidP="000A4BE5">
      <w:pPr>
        <w:spacing w:line="360" w:lineRule="auto"/>
        <w:rPr>
          <w:sz w:val="28"/>
          <w:szCs w:val="28"/>
        </w:rPr>
      </w:pPr>
      <w:r w:rsidRPr="000A4BE5">
        <w:rPr>
          <w:sz w:val="28"/>
          <w:szCs w:val="28"/>
        </w:rPr>
        <w:t>5. Фисенко А. И. Бюджет и бюджетная система США : учеб. пособ. для вузов. – Владивосток : Изд-во Дальневост. ун-та, 2006.</w:t>
      </w:r>
      <w:bookmarkStart w:id="0" w:name="_GoBack"/>
      <w:bookmarkEnd w:id="0"/>
    </w:p>
    <w:sectPr w:rsidR="003F766D" w:rsidRPr="000A4BE5" w:rsidSect="000A4B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280" w:rsidRDefault="00CC7280" w:rsidP="00842D2A">
      <w:r>
        <w:separator/>
      </w:r>
    </w:p>
  </w:endnote>
  <w:endnote w:type="continuationSeparator" w:id="0">
    <w:p w:rsidR="00CC7280" w:rsidRDefault="00CC7280" w:rsidP="0084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280" w:rsidRDefault="00CC7280" w:rsidP="00842D2A">
      <w:r>
        <w:separator/>
      </w:r>
    </w:p>
  </w:footnote>
  <w:footnote w:type="continuationSeparator" w:id="0">
    <w:p w:rsidR="00CC7280" w:rsidRDefault="00CC7280" w:rsidP="00842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964B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99C0E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42C7D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FF64E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DACA3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14C3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269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DE92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46F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D1C1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E5489B"/>
    <w:multiLevelType w:val="hybridMultilevel"/>
    <w:tmpl w:val="45A40FFC"/>
    <w:lvl w:ilvl="0" w:tplc="08667E38">
      <w:start w:val="1"/>
      <w:numFmt w:val="decimal"/>
      <w:lvlText w:val="%1."/>
      <w:lvlJc w:val="left"/>
      <w:pPr>
        <w:tabs>
          <w:tab w:val="num" w:pos="283"/>
        </w:tabs>
        <w:ind w:left="680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9319E4"/>
    <w:multiLevelType w:val="hybridMultilevel"/>
    <w:tmpl w:val="F336E93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8B188C"/>
    <w:multiLevelType w:val="hybridMultilevel"/>
    <w:tmpl w:val="E69CB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1B765A"/>
    <w:multiLevelType w:val="hybridMultilevel"/>
    <w:tmpl w:val="2668C8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BA3376"/>
    <w:multiLevelType w:val="hybridMultilevel"/>
    <w:tmpl w:val="042A235C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F83235"/>
    <w:multiLevelType w:val="hybridMultilevel"/>
    <w:tmpl w:val="A8185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9523AC"/>
    <w:multiLevelType w:val="hybridMultilevel"/>
    <w:tmpl w:val="4AECA59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BC2B09"/>
    <w:multiLevelType w:val="hybridMultilevel"/>
    <w:tmpl w:val="11DEB22E"/>
    <w:lvl w:ilvl="0" w:tplc="AAEA74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11"/>
  </w:num>
  <w:num w:numId="5">
    <w:abstractNumId w:val="16"/>
  </w:num>
  <w:num w:numId="6">
    <w:abstractNumId w:val="12"/>
  </w:num>
  <w:num w:numId="7">
    <w:abstractNumId w:val="15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D2A"/>
    <w:rsid w:val="00004E9E"/>
    <w:rsid w:val="00023C89"/>
    <w:rsid w:val="0003596B"/>
    <w:rsid w:val="000545DB"/>
    <w:rsid w:val="00067A6C"/>
    <w:rsid w:val="0007250E"/>
    <w:rsid w:val="000A4BE5"/>
    <w:rsid w:val="000E4152"/>
    <w:rsid w:val="000F0777"/>
    <w:rsid w:val="000F328C"/>
    <w:rsid w:val="00101C01"/>
    <w:rsid w:val="0011527F"/>
    <w:rsid w:val="00115510"/>
    <w:rsid w:val="001526D0"/>
    <w:rsid w:val="001B703A"/>
    <w:rsid w:val="00244995"/>
    <w:rsid w:val="00283DB4"/>
    <w:rsid w:val="00292DA3"/>
    <w:rsid w:val="002A00C2"/>
    <w:rsid w:val="002D3901"/>
    <w:rsid w:val="002D6BB6"/>
    <w:rsid w:val="00365889"/>
    <w:rsid w:val="00372ABE"/>
    <w:rsid w:val="003A43F4"/>
    <w:rsid w:val="003C73EE"/>
    <w:rsid w:val="003F766D"/>
    <w:rsid w:val="004577AE"/>
    <w:rsid w:val="004733B3"/>
    <w:rsid w:val="0048504D"/>
    <w:rsid w:val="004C691B"/>
    <w:rsid w:val="00527153"/>
    <w:rsid w:val="005832F4"/>
    <w:rsid w:val="00596D55"/>
    <w:rsid w:val="00622114"/>
    <w:rsid w:val="00634566"/>
    <w:rsid w:val="00672E90"/>
    <w:rsid w:val="006810CD"/>
    <w:rsid w:val="006C57CD"/>
    <w:rsid w:val="007207B1"/>
    <w:rsid w:val="0072198B"/>
    <w:rsid w:val="00724EE8"/>
    <w:rsid w:val="0076709A"/>
    <w:rsid w:val="0079685C"/>
    <w:rsid w:val="00826F8D"/>
    <w:rsid w:val="00842D2A"/>
    <w:rsid w:val="008740F9"/>
    <w:rsid w:val="008A46CF"/>
    <w:rsid w:val="008F7CCB"/>
    <w:rsid w:val="0092543B"/>
    <w:rsid w:val="009702BD"/>
    <w:rsid w:val="009D01EF"/>
    <w:rsid w:val="00A35E34"/>
    <w:rsid w:val="00A6655E"/>
    <w:rsid w:val="00AA3763"/>
    <w:rsid w:val="00AB4DF5"/>
    <w:rsid w:val="00AD09DA"/>
    <w:rsid w:val="00B22CF3"/>
    <w:rsid w:val="00B44333"/>
    <w:rsid w:val="00B558E7"/>
    <w:rsid w:val="00B6050E"/>
    <w:rsid w:val="00B64961"/>
    <w:rsid w:val="00B76AB6"/>
    <w:rsid w:val="00B94FFD"/>
    <w:rsid w:val="00BB176B"/>
    <w:rsid w:val="00BC22C8"/>
    <w:rsid w:val="00BC6A7C"/>
    <w:rsid w:val="00BD590F"/>
    <w:rsid w:val="00BD6EEB"/>
    <w:rsid w:val="00C618CC"/>
    <w:rsid w:val="00C85540"/>
    <w:rsid w:val="00C93DBA"/>
    <w:rsid w:val="00CB4466"/>
    <w:rsid w:val="00CC7280"/>
    <w:rsid w:val="00CF0508"/>
    <w:rsid w:val="00D04005"/>
    <w:rsid w:val="00DB6237"/>
    <w:rsid w:val="00E25AA7"/>
    <w:rsid w:val="00EB2E3A"/>
    <w:rsid w:val="00EF72AB"/>
    <w:rsid w:val="00F43340"/>
    <w:rsid w:val="00F630A7"/>
    <w:rsid w:val="00F669A8"/>
    <w:rsid w:val="00FB77D7"/>
    <w:rsid w:val="00FD3B42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E14DA6-C58B-4813-8BFD-FAA18B97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D2A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42D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42D2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42D2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"/>
    <w:basedOn w:val="a"/>
    <w:link w:val="a4"/>
    <w:uiPriority w:val="99"/>
    <w:rsid w:val="00842D2A"/>
    <w:pPr>
      <w:jc w:val="center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42D2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uiPriority w:val="99"/>
    <w:rsid w:val="00842D2A"/>
    <w:pPr>
      <w:spacing w:after="120"/>
      <w:ind w:left="283"/>
    </w:pPr>
  </w:style>
  <w:style w:type="character" w:customStyle="1" w:styleId="a4">
    <w:name w:val="Основной текст Знак"/>
    <w:link w:val="a3"/>
    <w:uiPriority w:val="99"/>
    <w:locked/>
    <w:rsid w:val="00842D2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uiPriority w:val="99"/>
    <w:semiHidden/>
    <w:rsid w:val="00842D2A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842D2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rsid w:val="00842D2A"/>
    <w:pPr>
      <w:tabs>
        <w:tab w:val="center" w:pos="4677"/>
        <w:tab w:val="right" w:pos="9355"/>
      </w:tabs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842D2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842D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42D2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Document Map"/>
    <w:basedOn w:val="a"/>
    <w:link w:val="ac"/>
    <w:uiPriority w:val="99"/>
    <w:semiHidden/>
    <w:rsid w:val="00A35E34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semiHidden/>
    <w:locked/>
    <w:rsid w:val="00842D2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List Paragraph"/>
    <w:basedOn w:val="a"/>
    <w:uiPriority w:val="99"/>
    <w:qFormat/>
    <w:rsid w:val="0011527F"/>
    <w:pPr>
      <w:ind w:left="720"/>
      <w:contextualSpacing/>
    </w:pPr>
  </w:style>
  <w:style w:type="character" w:customStyle="1" w:styleId="ac">
    <w:name w:val="Схема документа Знак"/>
    <w:link w:val="ab"/>
    <w:uiPriority w:val="99"/>
    <w:semiHidden/>
    <w:locked/>
    <w:rsid w:val="00A35E34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3308</Words>
  <Characters>18859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WIN7XP</Company>
  <LinksUpToDate>false</LinksUpToDate>
  <CharactersWithSpaces>22123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WIN7XP</dc:creator>
  <cp:keywords/>
  <dc:description/>
  <cp:lastModifiedBy>admin</cp:lastModifiedBy>
  <cp:revision>2</cp:revision>
  <dcterms:created xsi:type="dcterms:W3CDTF">2014-03-12T13:13:00Z</dcterms:created>
  <dcterms:modified xsi:type="dcterms:W3CDTF">2014-03-12T13:13:00Z</dcterms:modified>
</cp:coreProperties>
</file>