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0C1" w:rsidRDefault="00CB30C1">
      <w:pPr>
        <w:pStyle w:val="a4"/>
        <w:ind w:firstLine="720"/>
        <w:jc w:val="both"/>
      </w:pPr>
      <w:r>
        <w:t>АНАЛИЗ СОВРЕМЕННОЙ КРЕДИТНОЙ СИСТЕМЫ РОССИИ И ПЕРСПЕКТИВЫ ЕЕ РАЗВИТИЯ</w:t>
      </w:r>
    </w:p>
    <w:p w:rsidR="00CB30C1" w:rsidRDefault="00CB30C1">
      <w:pPr>
        <w:widowControl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0C1" w:rsidRDefault="00CB30C1">
      <w:pPr>
        <w:widowControl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0C1" w:rsidRDefault="00CB30C1">
      <w:pPr>
        <w:widowControl/>
        <w:numPr>
          <w:ilvl w:val="0"/>
          <w:numId w:val="1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характеристики состояния кредитной системы России на современном этапе развития.</w:t>
      </w:r>
    </w:p>
    <w:p w:rsidR="00CB30C1" w:rsidRDefault="00CB30C1">
      <w:pPr>
        <w:widowControl/>
        <w:spacing w:line="24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Развитие современной кредитной системы России на  современном этапе характеризуется относительной стабильностью. К  2000 г. российская кредитная система практически полностью оправилась от основных последствий кризиса 1998 г.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Таблица 1 характеризует динамику количества и структуры кредитных организаций России за истекший год. Таблица наглядно показывает, что основное место в структуре современной кредитной системы занимают банки. Небанковские кредитные организации представлены крайне малочисленной группой; кроме того, как видно из данных таблицы, в большинстве своем они занимаются банковскими операциями. Во многом это объясняется отсутствием достаточного правового обеспечения  деятельности небанковских кредитных организаций на сегодняшний день в России.</w:t>
      </w:r>
      <w:r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  <w:footnoteReference w:id="1"/>
      </w:r>
    </w:p>
    <w:p w:rsidR="00CB30C1" w:rsidRDefault="00CB30C1">
      <w:pPr>
        <w:spacing w:line="360" w:lineRule="auto"/>
        <w:ind w:firstLine="72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Таблица 1</w:t>
      </w:r>
    </w:p>
    <w:p w:rsidR="00CB30C1" w:rsidRDefault="00CB30C1">
      <w:pPr>
        <w:spacing w:before="44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и структура кредитных организаций 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0"/>
        <w:gridCol w:w="2363"/>
        <w:gridCol w:w="2364"/>
      </w:tblGrid>
      <w:tr w:rsidR="00CB30C1">
        <w:trPr>
          <w:cantSplit/>
          <w:trHeight w:hRule="exact" w:val="388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1.12.1999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г.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1.12.2000 г.</w:t>
            </w:r>
          </w:p>
        </w:tc>
      </w:tr>
      <w:tr w:rsidR="00CB30C1">
        <w:trPr>
          <w:cantSplit/>
          <w:trHeight w:val="831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Зарегистрировано кредитных организации Банком России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всего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2387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2 144</w:t>
            </w:r>
          </w:p>
        </w:tc>
      </w:tr>
      <w:tr w:rsidR="00CB30C1">
        <w:trPr>
          <w:cantSplit/>
          <w:trHeight w:val="363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том числе: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0C1">
        <w:trPr>
          <w:cantSplit/>
          <w:trHeight w:val="499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банков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2353</w:t>
            </w: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2 104</w:t>
            </w: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0C1">
        <w:trPr>
          <w:cantSplit/>
          <w:trHeight w:val="507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небанковских кредитных организаций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34</w:t>
            </w: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40</w:t>
            </w:r>
          </w:p>
        </w:tc>
      </w:tr>
      <w:tr w:rsidR="00CB30C1">
        <w:trPr>
          <w:cantSplit/>
          <w:trHeight w:val="1058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1.1.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Зарегистрировано кредитных организации со 100%-ным иностранным участием в капитале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22</w:t>
            </w:r>
          </w:p>
        </w:tc>
      </w:tr>
      <w:tr w:rsidR="00CB30C1">
        <w:trPr>
          <w:cantSplit/>
          <w:trHeight w:val="1059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1 2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Кредитные организации, зарегистрированные Банком России, но еще не оплатившие уставный капитал и не получившие лицензию (в рамках законодательно установленного срока)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4</w:t>
            </w:r>
          </w:p>
        </w:tc>
      </w:tr>
      <w:tr w:rsidR="00CB30C1">
        <w:trPr>
          <w:cantSplit/>
          <w:trHeight w:val="289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том числе: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0C1">
        <w:trPr>
          <w:cantSplit/>
          <w:trHeight w:val="407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банки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</w:t>
            </w:r>
          </w:p>
        </w:tc>
      </w:tr>
      <w:tr w:rsidR="00CB30C1">
        <w:trPr>
          <w:cantSplit/>
          <w:trHeight w:val="568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небанковские кредитные организации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0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3</w:t>
            </w:r>
          </w:p>
        </w:tc>
      </w:tr>
      <w:tr w:rsidR="00CB30C1">
        <w:trPr>
          <w:cantSplit/>
          <w:trHeight w:val="1058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 xml:space="preserve">2.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Небанковские кредитные организации, зарегистрированные другими органами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2</w:t>
            </w:r>
          </w:p>
        </w:tc>
      </w:tr>
      <w:tr w:rsidR="00CB30C1">
        <w:trPr>
          <w:cantSplit/>
          <w:trHeight w:val="1058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Кредитные организации, имеющие право на осуществление банковских операций,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 xml:space="preserve"> 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всего</w:t>
            </w: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1 363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1 316</w:t>
            </w:r>
          </w:p>
        </w:tc>
      </w:tr>
      <w:tr w:rsidR="00CB30C1">
        <w:trPr>
          <w:cantSplit/>
          <w:trHeight w:val="315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том числе: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0C1">
        <w:trPr>
          <w:cantSplit/>
          <w:trHeight w:val="323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банки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1 329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1 279</w:t>
            </w:r>
          </w:p>
        </w:tc>
      </w:tr>
      <w:tr w:rsidR="00CB30C1">
        <w:trPr>
          <w:cantSplit/>
          <w:trHeight w:val="519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небанковские кредитные организации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34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37</w:t>
            </w:r>
          </w:p>
        </w:tc>
      </w:tr>
      <w:tr w:rsidR="00CB30C1">
        <w:trPr>
          <w:cantSplit/>
          <w:trHeight w:val="1058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3 1.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Кредитные организации, имеющие лицензии (разрешения), предоставляющие право на: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B30C1">
        <w:trPr>
          <w:cantSplit/>
          <w:trHeight w:val="332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привлечение вкладов населения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1 274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1 242</w:t>
            </w:r>
          </w:p>
        </w:tc>
      </w:tr>
      <w:tr w:rsidR="00CB30C1">
        <w:trPr>
          <w:cantSplit/>
          <w:trHeight w:val="1058"/>
        </w:trPr>
        <w:tc>
          <w:tcPr>
            <w:tcW w:w="39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—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осуществление операций в иностранной валюте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671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2"/>
                <w:szCs w:val="22"/>
              </w:rPr>
              <w:t>756</w:t>
            </w:r>
          </w:p>
        </w:tc>
      </w:tr>
    </w:tbl>
    <w:p w:rsidR="00CB30C1" w:rsidRDefault="00CB30C1">
      <w:pPr>
        <w:spacing w:line="240" w:lineRule="auto"/>
        <w:ind w:firstLine="720"/>
        <w:jc w:val="both"/>
        <w:rPr>
          <w:sz w:val="22"/>
          <w:szCs w:val="22"/>
        </w:rPr>
      </w:pPr>
    </w:p>
    <w:p w:rsidR="00CB30C1" w:rsidRDefault="00CB30C1">
      <w:pPr>
        <w:spacing w:line="240" w:lineRule="auto"/>
        <w:ind w:firstLine="720"/>
        <w:jc w:val="both"/>
        <w:rPr>
          <w:sz w:val="22"/>
          <w:szCs w:val="22"/>
        </w:rPr>
      </w:pP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 истекшем году существенно уменьши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лись масштабы сокращения количества дей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ствующих кредитных организаций по сравне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нию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1999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годом. Если число действующих кредитных организаций за январь—сентябрь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уменьшилось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1349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1322,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на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27,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то за соответствующий период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1999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да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91.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Количество действующих филиа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лов банков сократилось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1.10.2000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3923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3869,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1,4%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(за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ответствующий период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1999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12%)</w:t>
      </w:r>
      <w:r>
        <w:rPr>
          <w:rStyle w:val="a7"/>
          <w:rFonts w:ascii="Times New Roman" w:hAnsi="Times New Roman" w:cs="Times New Roman"/>
          <w:b w:val="0"/>
          <w:bCs w:val="0"/>
          <w:noProof/>
          <w:sz w:val="28"/>
          <w:szCs w:val="28"/>
        </w:rPr>
        <w:footnoteReference w:id="3"/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.</w:t>
      </w:r>
    </w:p>
    <w:p w:rsidR="00CB30C1" w:rsidRDefault="00CB30C1">
      <w:pPr>
        <w:spacing w:line="240" w:lineRule="auto"/>
        <w:ind w:firstLine="720"/>
        <w:jc w:val="both"/>
        <w:rPr>
          <w:sz w:val="22"/>
          <w:szCs w:val="22"/>
        </w:rPr>
      </w:pPr>
    </w:p>
    <w:p w:rsidR="00CB30C1" w:rsidRDefault="00CB30C1">
      <w:pPr>
        <w:spacing w:line="240" w:lineRule="auto"/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Таблица 2</w:t>
      </w:r>
    </w:p>
    <w:p w:rsidR="00CB30C1" w:rsidRDefault="00CB30C1">
      <w:pPr>
        <w:spacing w:line="240" w:lineRule="auto"/>
        <w:ind w:firstLine="720"/>
        <w:jc w:val="both"/>
        <w:rPr>
          <w:sz w:val="22"/>
          <w:szCs w:val="22"/>
        </w:rPr>
      </w:pPr>
    </w:p>
    <w:p w:rsidR="00CB30C1" w:rsidRDefault="00CB30C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Группировка действующих кредитных организаций по величине зарегистрированного уставного капитала</w:t>
      </w:r>
      <w:r>
        <w:rPr>
          <w:rStyle w:val="a7"/>
          <w:rFonts w:ascii="Times New Roman" w:hAnsi="Times New Roman" w:cs="Times New Roman"/>
          <w:sz w:val="24"/>
          <w:szCs w:val="24"/>
        </w:rPr>
        <w:footnoteReference w:id="4"/>
      </w:r>
    </w:p>
    <w:tbl>
      <w:tblPr>
        <w:tblW w:w="0" w:type="auto"/>
        <w:tblInd w:w="-85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762"/>
        <w:gridCol w:w="872"/>
        <w:gridCol w:w="8"/>
        <w:gridCol w:w="626"/>
        <w:gridCol w:w="142"/>
        <w:gridCol w:w="800"/>
        <w:gridCol w:w="642"/>
        <w:gridCol w:w="960"/>
        <w:gridCol w:w="32"/>
        <w:gridCol w:w="992"/>
        <w:gridCol w:w="1008"/>
        <w:gridCol w:w="84"/>
        <w:gridCol w:w="42"/>
        <w:gridCol w:w="1092"/>
        <w:gridCol w:w="1134"/>
        <w:gridCol w:w="1134"/>
        <w:gridCol w:w="18"/>
        <w:gridCol w:w="975"/>
        <w:gridCol w:w="17"/>
        <w:gridCol w:w="1258"/>
        <w:gridCol w:w="1134"/>
      </w:tblGrid>
      <w:tr w:rsidR="00CB30C1">
        <w:trPr>
          <w:cantSplit/>
          <w:trHeight w:hRule="exact" w:val="576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</w:p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До 3 млн. руб</w:t>
            </w: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1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 З до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10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млн. руб.</w:t>
            </w:r>
          </w:p>
        </w:tc>
        <w:tc>
          <w:tcPr>
            <w:tcW w:w="1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</w:t>
            </w:r>
          </w:p>
        </w:tc>
        <w:tc>
          <w:tcPr>
            <w:tcW w:w="144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10 – 30 млн.руб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30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до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60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млн. руб.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60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до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150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млн. руб.</w:t>
            </w:r>
          </w:p>
        </w:tc>
        <w:tc>
          <w:tcPr>
            <w:tcW w:w="22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150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до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300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млн. руб.</w:t>
            </w:r>
          </w:p>
        </w:tc>
        <w:tc>
          <w:tcPr>
            <w:tcW w:w="22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 300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млн. руб. </w:t>
            </w:r>
          </w:p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 выше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Всего</w:t>
            </w:r>
          </w:p>
        </w:tc>
      </w:tr>
      <w:tr w:rsidR="00CB30C1">
        <w:trPr>
          <w:cantSplit/>
          <w:trHeight w:hRule="exact" w:val="698"/>
        </w:trPr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Количество</w:t>
            </w:r>
          </w:p>
        </w:tc>
        <w:tc>
          <w:tcPr>
            <w:tcW w:w="7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Уд. вес,</w:t>
            </w:r>
          </w:p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Количество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Уд. вес,</w:t>
            </w:r>
          </w:p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1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Количество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Уд. вес,</w:t>
            </w:r>
          </w:p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Количество</w:t>
            </w:r>
          </w:p>
        </w:tc>
        <w:tc>
          <w:tcPr>
            <w:tcW w:w="1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Уд. вес,</w:t>
            </w:r>
          </w:p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Количество</w:t>
            </w:r>
          </w:p>
        </w:tc>
        <w:tc>
          <w:tcPr>
            <w:tcW w:w="12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Уд. вес,</w:t>
            </w:r>
          </w:p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Количество</w:t>
            </w:r>
          </w:p>
        </w:tc>
        <w:tc>
          <w:tcPr>
            <w:tcW w:w="11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Уд. вес,</w:t>
            </w:r>
          </w:p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Количество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Уд. вес,</w:t>
            </w:r>
          </w:p>
          <w:p w:rsidR="00CB30C1" w:rsidRDefault="00CB30C1">
            <w:pPr>
              <w:spacing w:line="240" w:lineRule="auto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коли</w:t>
            </w:r>
            <w:r>
              <w:rPr>
                <w:rFonts w:ascii="Times New Roman" w:hAnsi="Times New Roman" w:cs="Times New Roman"/>
                <w:b w:val="0"/>
                <w:bCs w:val="0"/>
              </w:rPr>
              <w:softHyphen/>
              <w:t>чество</w:t>
            </w:r>
          </w:p>
        </w:tc>
      </w:tr>
      <w:tr w:rsidR="00CB30C1">
        <w:trPr>
          <w:trHeight w:hRule="exact" w:val="200"/>
        </w:trPr>
        <w:tc>
          <w:tcPr>
            <w:tcW w:w="158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1999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352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23,8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464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31,4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349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23.6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12,8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1,4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1 476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335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22,7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460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31,2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349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13,4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5.3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1,6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1 474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315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21,6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457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31,4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346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13,9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1.6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1 456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297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20.7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447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31,2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339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23.7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14,7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1,9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32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1 433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285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20,1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442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31,1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334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215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15,1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81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36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2.5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1 421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275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442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31,4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323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23.0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15.8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78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2,1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37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1 407 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1 07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271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19,3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433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30,9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320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22,8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16,4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1.9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38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1 401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265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19,1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419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30,1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316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17,2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80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2.2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1 390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257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18,5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416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29,9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314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22.6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17.6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2,4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 xml:space="preserve">1 389 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250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18,1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403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29,1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315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18,2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89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1 385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1.11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245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17,8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389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28.3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312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22.7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257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18,7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91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2,3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49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1 375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240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17.6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375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27.5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317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23,3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18,3</w:t>
            </w:r>
          </w:p>
        </w:tc>
        <w:tc>
          <w:tcPr>
            <w:tcW w:w="10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2.8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50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3,7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1 363</w:t>
            </w:r>
          </w:p>
        </w:tc>
      </w:tr>
      <w:tr w:rsidR="00CB30C1">
        <w:trPr>
          <w:trHeight w:hRule="exact" w:val="200"/>
        </w:trPr>
        <w:tc>
          <w:tcPr>
            <w:tcW w:w="15859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2000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год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230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17.0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365</w:t>
            </w:r>
          </w:p>
        </w:tc>
        <w:tc>
          <w:tcPr>
            <w:tcW w:w="6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27.1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313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18,8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93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3,2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52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1 349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219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16,3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354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26,3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317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255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92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6.8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3.8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56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1 344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211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15,8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343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25,6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319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94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3,7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1 338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206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15,5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333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25,0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316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23,7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104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3.8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1 333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1,05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203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15,3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331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24,9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313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258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19,4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106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8.0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4.1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64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1 330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1.06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196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14,7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328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24,6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314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8,2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3,9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72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1 331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1 07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193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14,5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321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24.1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314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115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4.0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75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1 331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1 08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193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14,5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315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23,7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312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259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19,5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119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4.1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78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5,9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1 330</w:t>
            </w:r>
          </w:p>
        </w:tc>
      </w:tr>
      <w:tr w:rsidR="00CB30C1">
        <w:trPr>
          <w:trHeight w:hRule="exact" w:val="18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1 09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183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13,8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308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23.5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316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23,8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19,6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119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4,5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79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1 325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1 10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179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13,5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304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23,0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316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19,7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119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81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6.1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1 322</w:t>
            </w:r>
          </w:p>
        </w:tc>
      </w:tr>
      <w:tr w:rsidR="00CB30C1">
        <w:trPr>
          <w:trHeight w:hRule="exact" w:val="200"/>
        </w:trPr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1.11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178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13,5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297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22,5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311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23.6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121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9.2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4,8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86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6,5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 32С</w:t>
            </w:r>
          </w:p>
        </w:tc>
      </w:tr>
      <w:tr w:rsidR="00CB30C1">
        <w:trPr>
          <w:trHeight w:hRule="exact" w:val="22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176</w:t>
            </w:r>
          </w:p>
        </w:tc>
        <w:tc>
          <w:tcPr>
            <w:tcW w:w="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13,4</w:t>
            </w:r>
          </w:p>
        </w:tc>
        <w:tc>
          <w:tcPr>
            <w:tcW w:w="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287</w:t>
            </w:r>
          </w:p>
        </w:tc>
        <w:tc>
          <w:tcPr>
            <w:tcW w:w="6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21,8</w:t>
            </w:r>
          </w:p>
        </w:tc>
        <w:tc>
          <w:tcPr>
            <w:tcW w:w="94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315</w:t>
            </w:r>
          </w:p>
        </w:tc>
        <w:tc>
          <w:tcPr>
            <w:tcW w:w="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23,9</w:t>
            </w: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262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hanging="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19,9</w:t>
            </w:r>
          </w:p>
        </w:tc>
        <w:tc>
          <w:tcPr>
            <w:tcW w:w="113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126</w:t>
            </w:r>
          </w:p>
        </w:tc>
        <w:tc>
          <w:tcPr>
            <w:tcW w:w="10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9,6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4,6</w:t>
            </w: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89</w:t>
            </w:r>
          </w:p>
        </w:tc>
        <w:tc>
          <w:tcPr>
            <w:tcW w:w="12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6.8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</w:rPr>
              <w:t>1 316</w:t>
            </w:r>
          </w:p>
        </w:tc>
      </w:tr>
    </w:tbl>
    <w:p w:rsidR="00CB30C1" w:rsidRDefault="00CB30C1">
      <w:pPr>
        <w:ind w:firstLine="720"/>
        <w:jc w:val="both"/>
        <w:rPr>
          <w:rFonts w:ascii="Times New Roman" w:hAnsi="Times New Roman" w:cs="Times New Roman"/>
        </w:rPr>
        <w:sectPr w:rsidR="00CB30C1">
          <w:pgSz w:w="16840" w:h="11907" w:orient="landscape"/>
          <w:pgMar w:top="1797" w:right="1440" w:bottom="1797" w:left="1440" w:header="709" w:footer="709" w:gutter="0"/>
          <w:cols w:space="709"/>
        </w:sectPr>
      </w:pPr>
    </w:p>
    <w:p w:rsidR="00CB30C1" w:rsidRDefault="00CB30C1">
      <w:pPr>
        <w:spacing w:line="240" w:lineRule="auto"/>
        <w:ind w:firstLine="720"/>
        <w:jc w:val="both"/>
        <w:rPr>
          <w:sz w:val="22"/>
          <w:szCs w:val="22"/>
        </w:rPr>
        <w:sectPr w:rsidR="00CB30C1">
          <w:type w:val="continuous"/>
          <w:pgSz w:w="16840" w:h="11907" w:orient="landscape"/>
          <w:pgMar w:top="1797" w:right="1440" w:bottom="1797" w:left="1440" w:header="709" w:footer="709" w:gutter="0"/>
          <w:cols w:space="709"/>
        </w:sectPr>
      </w:pP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 показывает состояние  банковской системы согласно такой характеристики,  как размер зарегистрированного уставного капитала. Из таблицы видно, что в течение первых трех кварталов </w:t>
      </w:r>
      <w:r>
        <w:rPr>
          <w:noProof/>
          <w:sz w:val="28"/>
          <w:szCs w:val="28"/>
        </w:rPr>
        <w:t>2000</w:t>
      </w:r>
      <w:r>
        <w:rPr>
          <w:sz w:val="28"/>
          <w:szCs w:val="28"/>
        </w:rPr>
        <w:t xml:space="preserve"> года сохранилась наметившаяся в </w:t>
      </w:r>
      <w:r>
        <w:rPr>
          <w:noProof/>
          <w:sz w:val="28"/>
          <w:szCs w:val="28"/>
        </w:rPr>
        <w:t>1999</w:t>
      </w:r>
      <w:r>
        <w:rPr>
          <w:sz w:val="28"/>
          <w:szCs w:val="28"/>
        </w:rPr>
        <w:t xml:space="preserve"> году тенденция к росту совокупного ка</w:t>
      </w:r>
      <w:r>
        <w:rPr>
          <w:sz w:val="28"/>
          <w:szCs w:val="28"/>
        </w:rPr>
        <w:softHyphen/>
        <w:t>питала банковской системы. За данный пери</w:t>
      </w:r>
      <w:r>
        <w:rPr>
          <w:sz w:val="28"/>
          <w:szCs w:val="28"/>
        </w:rPr>
        <w:softHyphen/>
        <w:t>од совокупный капитал банковской системы вырос на</w:t>
      </w:r>
      <w:r>
        <w:rPr>
          <w:noProof/>
          <w:sz w:val="28"/>
          <w:szCs w:val="28"/>
        </w:rPr>
        <w:t xml:space="preserve"> 74,9</w:t>
      </w:r>
      <w:r>
        <w:rPr>
          <w:sz w:val="28"/>
          <w:szCs w:val="28"/>
        </w:rPr>
        <w:t xml:space="preserve"> млрд. рублей, или на</w:t>
      </w:r>
      <w:r>
        <w:rPr>
          <w:noProof/>
          <w:sz w:val="28"/>
          <w:szCs w:val="28"/>
        </w:rPr>
        <w:t xml:space="preserve"> 44,5%.</w:t>
      </w:r>
      <w:r>
        <w:rPr>
          <w:sz w:val="28"/>
          <w:szCs w:val="28"/>
        </w:rPr>
        <w:t xml:space="preserve"> Уве</w:t>
      </w:r>
      <w:r>
        <w:rPr>
          <w:sz w:val="28"/>
          <w:szCs w:val="28"/>
        </w:rPr>
        <w:softHyphen/>
        <w:t>личение капитала в рассматриваемом перио</w:t>
      </w:r>
      <w:r>
        <w:rPr>
          <w:sz w:val="28"/>
          <w:szCs w:val="28"/>
        </w:rPr>
        <w:softHyphen/>
        <w:t>де наблюдалось у</w:t>
      </w:r>
      <w:r>
        <w:rPr>
          <w:noProof/>
          <w:sz w:val="28"/>
          <w:szCs w:val="28"/>
        </w:rPr>
        <w:t xml:space="preserve"> 81%</w:t>
      </w:r>
      <w:r>
        <w:rPr>
          <w:sz w:val="28"/>
          <w:szCs w:val="28"/>
        </w:rPr>
        <w:t xml:space="preserve"> действующих кредит</w:t>
      </w:r>
      <w:r>
        <w:rPr>
          <w:sz w:val="28"/>
          <w:szCs w:val="28"/>
        </w:rPr>
        <w:softHyphen/>
        <w:t>ных организаций. Основными источниками роста капитала у данной группы банков явилось увеличение размера уставного капитала; объема прибыли и сформированных из нее фондов, а также субординированных кредитов. В целом по банковской системе (по бан</w:t>
      </w:r>
      <w:r>
        <w:rPr>
          <w:sz w:val="28"/>
          <w:szCs w:val="28"/>
        </w:rPr>
        <w:softHyphen/>
        <w:t xml:space="preserve">кам с положительным капиталом) показатель достаточности капитала по состоянию на </w:t>
      </w:r>
      <w:r>
        <w:rPr>
          <w:noProof/>
          <w:sz w:val="28"/>
          <w:szCs w:val="28"/>
        </w:rPr>
        <w:t>1.10.2000</w:t>
      </w:r>
      <w:r>
        <w:rPr>
          <w:sz w:val="28"/>
          <w:szCs w:val="28"/>
        </w:rPr>
        <w:t xml:space="preserve"> составил</w:t>
      </w:r>
      <w:r>
        <w:rPr>
          <w:noProof/>
          <w:sz w:val="28"/>
          <w:szCs w:val="28"/>
        </w:rPr>
        <w:t xml:space="preserve"> 22,6%</w:t>
      </w:r>
      <w:r>
        <w:rPr>
          <w:rStyle w:val="a7"/>
          <w:noProof/>
          <w:sz w:val="28"/>
          <w:szCs w:val="28"/>
        </w:rPr>
        <w:footnoteReference w:id="5"/>
      </w:r>
      <w:r>
        <w:rPr>
          <w:noProof/>
          <w:sz w:val="28"/>
          <w:szCs w:val="28"/>
        </w:rPr>
        <w:t xml:space="preserve">. </w:t>
      </w:r>
      <w:r>
        <w:rPr>
          <w:sz w:val="28"/>
          <w:szCs w:val="28"/>
        </w:rPr>
        <w:t xml:space="preserve">Однако на сегодняшний день планку в 250 млн. долл. по капиталу, позволяющую войти в число 30 крупнейших банков Восточной Европы, преодолели только пять банков (Сбербанк, ВТБ, Альфа-банк, Межпромбанк и Газпромбанк). 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Основное количество кредитных учреждений сосредоточено в Москве и Московской области, а также в Санкт-Петербурге. Регионы в значительно меньшей степени насыщены кредитными учреждениями, в основном там преобладают филиалы кредитных учреждений, головная контора которых находится в Москве.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и большая часть (на уровне</w:t>
      </w:r>
      <w:r>
        <w:rPr>
          <w:noProof/>
          <w:sz w:val="28"/>
          <w:szCs w:val="28"/>
        </w:rPr>
        <w:t xml:space="preserve"> 80%)</w:t>
      </w:r>
      <w:r>
        <w:rPr>
          <w:sz w:val="28"/>
          <w:szCs w:val="28"/>
        </w:rPr>
        <w:t xml:space="preserve"> финансовых ресурсов сосредоточена в столичных кредитных организациях, ресурсная база многочисленной группы региональных бан</w:t>
      </w:r>
      <w:r>
        <w:rPr>
          <w:sz w:val="28"/>
          <w:szCs w:val="28"/>
        </w:rPr>
        <w:softHyphen/>
        <w:t xml:space="preserve">ков резко сужена, количество банков в регионах быстрыми темпами сокращается. Подобная ситуация представляет не только опасность концентрации рисков, но и показывает рассогласованность территориальной структуры кредитной системы и реального сектора российской экономики – вне зоны концентрации кредитных учреждений оказывается значительная часть промышленных и транспортных центров. Нарушается один из основных принципов эффективного функционирования кредитной системы - соответствие финансового потенциала уровню развития экономики региона. 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потенциал многих регионов значительно больше объема финансового капи</w:t>
      </w:r>
      <w:r>
        <w:rPr>
          <w:sz w:val="28"/>
          <w:szCs w:val="28"/>
        </w:rPr>
        <w:softHyphen/>
        <w:t>тала, циркулирующего в регионе. По различным оценкам, банки регионов с развитым промыш</w:t>
      </w:r>
      <w:r>
        <w:rPr>
          <w:sz w:val="28"/>
          <w:szCs w:val="28"/>
        </w:rPr>
        <w:softHyphen/>
        <w:t>ленным потенциалом (Тюменская, Самарская, Свердловская, Челябинская области. Краснояр</w:t>
      </w:r>
      <w:r>
        <w:rPr>
          <w:sz w:val="28"/>
          <w:szCs w:val="28"/>
        </w:rPr>
        <w:softHyphen/>
        <w:t>ский край и др.) обслуживают нс более</w:t>
      </w:r>
      <w:r>
        <w:rPr>
          <w:noProof/>
          <w:sz w:val="28"/>
          <w:szCs w:val="28"/>
        </w:rPr>
        <w:t xml:space="preserve"> 30 - 40%</w:t>
      </w:r>
      <w:r>
        <w:rPr>
          <w:sz w:val="28"/>
          <w:szCs w:val="28"/>
        </w:rPr>
        <w:t xml:space="preserve"> финансовых потоков предприятий региона.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Москве и Санкт-Петербурге находятся и большинство из 30 крупнейших российских банков, о чем свидетельствует таблица 3. 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первые десять месяцев 2000 г. доля этих 30 крупнейших банков (без Сбербанка и ВТБ) в активах банковской системы не претерпела существенных изменений по сравнению с соответствующим периодом 1999 г. - снизилась с 36,8% до 35,5%;  в кредитах реальному сектору – с 41,6% до 39,6%, в депозитах физических лиц – с 10,4% до 7,9%. Несмотря на некоторое снижение, это очень высокие доли.</w:t>
      </w:r>
    </w:p>
    <w:p w:rsidR="00CB30C1" w:rsidRDefault="00CB30C1">
      <w:pPr>
        <w:pStyle w:val="3"/>
        <w:spacing w:before="12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CB30C1" w:rsidRDefault="00CB30C1">
      <w:pPr>
        <w:pStyle w:val="FR1"/>
        <w:spacing w:before="80" w:after="20" w:line="240" w:lineRule="auto"/>
        <w:ind w:left="0" w:righ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Крупнейшие банки  РФ</w:t>
      </w:r>
      <w:r>
        <w:rPr>
          <w:rStyle w:val="a7"/>
          <w:rFonts w:ascii="Times New Roman" w:hAnsi="Times New Roman" w:cs="Times New Roman"/>
          <w:sz w:val="28"/>
          <w:szCs w:val="28"/>
        </w:rPr>
        <w:footnoteReference w:id="6"/>
      </w:r>
    </w:p>
    <w:tbl>
      <w:tblPr>
        <w:tblW w:w="0" w:type="auto"/>
        <w:tblInd w:w="-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6237"/>
        <w:gridCol w:w="2832"/>
      </w:tblGrid>
      <w:tr w:rsidR="00CB30C1">
        <w:trPr>
          <w:trHeight w:hRule="exact" w:val="56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банка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Субъект Российской Федерации</w:t>
            </w:r>
          </w:p>
        </w:tc>
      </w:tr>
      <w:tr w:rsidR="00CB30C1">
        <w:trPr>
          <w:trHeight w:hRule="exact"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АБН АМРО БАНК А.О.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АВТОБАНК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АЛЬФА-БАНК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БАНК МОСКВЫ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БАШКРЕДИТБАНК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Республика Башкортостан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БНП</w:t>
            </w: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ДРЕЗДНЕР 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Санкт-Петербург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ВЕСТДОИЧЕ ЛАНДЕСБАНК ВОСТОК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г, Москва</w:t>
            </w:r>
          </w:p>
        </w:tc>
      </w:tr>
      <w:tr w:rsidR="00CB30C1">
        <w:trPr>
          <w:trHeight w:hRule="exact"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ВНЕШТОРГБАНК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ВОЗРОЖДЕНИЕ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ГАЗПРОМБАНК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ГЛОБЭКС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г,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ГУТА-БАНК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ДОВЕРИТЕЛЬНЫЙ И ИНВЕСТИЦИОННЫЙ 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ЕВРОФИНАНС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ИМПЕРИАЛ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ИМПЭКСБАНК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КРЕДИ ЛИОНЭ РУСБАНК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Санкт-Петербург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МДМ-БАНК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МЕЖДУНАРОДНЫЙ МОСКОВСКИЙ 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МЕЖДУНАРОДНЫЙ ПРОМЫШЛЕННЫЙ 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г,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МЕНАТЕП САНКТ-ПЕТЕРБУРГ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Санкт-Петербург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ПЕТРОКОММЕРЦ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ПРОМЫШЛЕННО-СТРОИТЕЛЬНЫЙ 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Санкт-Петербург</w:t>
            </w:r>
          </w:p>
        </w:tc>
      </w:tr>
      <w:tr w:rsidR="00CB30C1">
        <w:trPr>
          <w:trHeight w:hRule="exact"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РАЙФФАЙЗЕНБАНК АВСТРИЯ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РОССИЙСКИЙ КРЕДИТ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СБЕРБАНК РОССИИ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СИТИБАНК Т/О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28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29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СОБИНБАНК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 Москва</w:t>
            </w:r>
          </w:p>
        </w:tc>
      </w:tr>
      <w:tr w:rsidR="00CB30C1">
        <w:trPr>
          <w:trHeight w:hRule="exact" w:val="3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93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</w:rPr>
              <w:t>30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СУРГУТНЕФТЕГАЗБАНК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/>
              <w:ind w:firstLine="72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Тюменская область</w:t>
            </w:r>
          </w:p>
        </w:tc>
      </w:tr>
    </w:tbl>
    <w:p w:rsidR="00CB30C1" w:rsidRDefault="00CB30C1">
      <w:pPr>
        <w:ind w:firstLine="720"/>
        <w:jc w:val="both"/>
      </w:pP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Роль иностранных банков</w:t>
      </w:r>
      <w:r>
        <w:rPr>
          <w:rStyle w:val="a7"/>
          <w:sz w:val="28"/>
          <w:szCs w:val="28"/>
        </w:rPr>
        <w:footnoteReference w:id="7"/>
      </w:r>
      <w:r>
        <w:rPr>
          <w:sz w:val="28"/>
          <w:szCs w:val="28"/>
        </w:rPr>
        <w:t xml:space="preserve"> в российской кредитной системе пока не претерпела существенных изменений.  Их зависимость от материнских структур несколько понизилась (доля МБК, полученных от нерезидентов, в пассивах банков со 100%-ным участием иностранного капитала на середину 2000 г. составляла около 30% против 70% до кризиса). </w:t>
      </w:r>
    </w:p>
    <w:p w:rsidR="00CB30C1" w:rsidRDefault="00CB30C1">
      <w:pPr>
        <w:pStyle w:val="3"/>
        <w:spacing w:before="120"/>
        <w:ind w:firstLine="720"/>
        <w:jc w:val="both"/>
        <w:rPr>
          <w:b/>
          <w:bCs/>
          <w:sz w:val="28"/>
          <w:szCs w:val="28"/>
        </w:rPr>
      </w:pPr>
    </w:p>
    <w:p w:rsidR="00CB30C1" w:rsidRDefault="00CB30C1">
      <w:pPr>
        <w:pStyle w:val="3"/>
        <w:spacing w:before="12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Основные тенденции в деятельности российских кредитных учреждений</w:t>
      </w:r>
    </w:p>
    <w:p w:rsidR="00CB30C1" w:rsidRDefault="00CB30C1">
      <w:pPr>
        <w:spacing w:line="240" w:lineRule="auto"/>
        <w:ind w:firstLine="720"/>
        <w:jc w:val="both"/>
        <w:rPr>
          <w:sz w:val="22"/>
          <w:szCs w:val="22"/>
        </w:rPr>
      </w:pP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тенденции в деятельности российских кредитных учреждений наглядно видны из данных таблиц 4 и 5. Проанализируем данные этих таблиц.</w:t>
      </w:r>
    </w:p>
    <w:p w:rsidR="00CB30C1" w:rsidRDefault="00CB30C1">
      <w:pPr>
        <w:widowControl/>
        <w:spacing w:line="240" w:lineRule="auto"/>
        <w:ind w:firstLine="720"/>
        <w:jc w:val="both"/>
        <w:rPr>
          <w:rFonts w:ascii="Courier" w:hAnsi="Courier" w:cs="Courier"/>
          <w:b w:val="0"/>
          <w:bCs w:val="0"/>
          <w:sz w:val="24"/>
          <w:szCs w:val="24"/>
        </w:rPr>
      </w:pP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 первые три квартала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сово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купные активы банковской системы (в текущих ценах) увеличились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37,2%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составили на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1.10.2000 2176,1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млрд. рублей. Продолжающееся сниже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ние темпов инфляции и девальвации нацио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нальной валюты в течение рассматриваемого периода обусловили сокращение доли валют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ных активов в совокупных активах банковской системы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48,9%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43,3%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1.10.2000.</w:t>
      </w:r>
      <w:r>
        <w:rPr>
          <w:rStyle w:val="a7"/>
          <w:rFonts w:ascii="Times New Roman" w:hAnsi="Times New Roman" w:cs="Times New Roman"/>
          <w:b w:val="0"/>
          <w:bCs w:val="0"/>
          <w:noProof/>
          <w:sz w:val="28"/>
          <w:szCs w:val="28"/>
        </w:rPr>
        <w:footnoteReference w:id="8"/>
      </w:r>
    </w:p>
    <w:p w:rsidR="00CB30C1" w:rsidRDefault="00CB30C1">
      <w:pPr>
        <w:pStyle w:val="3"/>
        <w:spacing w:before="12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CB30C1" w:rsidRDefault="00CB30C1">
      <w:pPr>
        <w:pStyle w:val="3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активов действующих кредитных организаций, сгруппированных по направлениям вложений</w:t>
      </w:r>
      <w:r>
        <w:rPr>
          <w:rStyle w:val="a7"/>
          <w:b/>
          <w:bCs/>
          <w:sz w:val="28"/>
          <w:szCs w:val="28"/>
        </w:rPr>
        <w:footnoteReference w:id="9"/>
      </w:r>
    </w:p>
    <w:p w:rsidR="00CB30C1" w:rsidRDefault="00CB30C1">
      <w:pPr>
        <w:pStyle w:val="3"/>
        <w:ind w:firstLine="72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3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417"/>
        <w:gridCol w:w="993"/>
        <w:gridCol w:w="1701"/>
        <w:gridCol w:w="992"/>
      </w:tblGrid>
      <w:tr w:rsidR="00CB30C1">
        <w:trPr>
          <w:trHeight w:hRule="exact" w:val="220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Активы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1.01.2000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ind w:hanging="851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1.10.2000</w:t>
            </w:r>
          </w:p>
        </w:tc>
      </w:tr>
      <w:tr w:rsidR="00CB30C1">
        <w:trPr>
          <w:trHeight w:hRule="exact" w:val="533"/>
        </w:trPr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Млрд.</w:t>
            </w:r>
          </w:p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 xml:space="preserve"> руб.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Млрд.</w:t>
            </w:r>
          </w:p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 xml:space="preserve">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%</w:t>
            </w:r>
          </w:p>
        </w:tc>
      </w:tr>
      <w:tr w:rsidR="00CB30C1">
        <w:trPr>
          <w:trHeight w:hRule="exact" w:val="2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Всего активов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1586,4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2176.1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CB30C1">
        <w:trPr>
          <w:trHeight w:hRule="exact" w:val="22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 т.ч.: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30C1">
        <w:trPr>
          <w:cantSplit/>
          <w:trHeight w:hRule="exact" w:val="66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Денежные средства, драгоценные </w:t>
            </w:r>
          </w:p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металлы и камни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40.2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1.8</w:t>
            </w:r>
          </w:p>
        </w:tc>
      </w:tr>
      <w:tr w:rsidR="00CB30C1">
        <w:trPr>
          <w:cantSplit/>
          <w:trHeight w:hRule="exact" w:val="54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Счета в Центральном банке </w:t>
            </w:r>
          </w:p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Российской Федерации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137,0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2777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12.8</w:t>
            </w:r>
          </w:p>
        </w:tc>
      </w:tr>
      <w:tr w:rsidR="00CB30C1">
        <w:trPr>
          <w:cantSplit/>
          <w:trHeight w:hRule="exact" w:val="502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Корреспондентские счета в банках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158,3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10.0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200.1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9.2</w:t>
            </w:r>
          </w:p>
        </w:tc>
      </w:tr>
      <w:tr w:rsidR="00CB30C1">
        <w:trPr>
          <w:cantSplit/>
          <w:trHeight w:hRule="exact" w:val="58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Ценные бумаги, приобретенные банками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318,9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20.1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430,9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19.8</w:t>
            </w:r>
          </w:p>
        </w:tc>
      </w:tr>
      <w:tr w:rsidR="00CB30C1">
        <w:trPr>
          <w:cantSplit/>
          <w:trHeight w:hRule="exact" w:val="69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Кредиты (с учетом просроченной </w:t>
            </w:r>
          </w:p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задолженности)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627,2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39.5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837.3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38.5</w:t>
            </w:r>
          </w:p>
        </w:tc>
      </w:tr>
      <w:tr w:rsidR="00CB30C1">
        <w:trPr>
          <w:cantSplit/>
          <w:trHeight w:hRule="exact" w:val="220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Прочие размещенные средства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93,8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131.3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6.0</w:t>
            </w:r>
          </w:p>
        </w:tc>
      </w:tr>
      <w:tr w:rsidR="00CB30C1">
        <w:trPr>
          <w:cantSplit/>
          <w:trHeight w:hRule="exact" w:val="106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Основные средства, хозяйственные </w:t>
            </w:r>
          </w:p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затраты и нематериальные активы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59,7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67.4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3.1</w:t>
            </w:r>
          </w:p>
        </w:tc>
      </w:tr>
      <w:tr w:rsidR="00CB30C1">
        <w:trPr>
          <w:cantSplit/>
          <w:trHeight w:hRule="exact"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Прочие активы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146,6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191.1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line="240" w:lineRule="auto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8.8</w:t>
            </w:r>
          </w:p>
        </w:tc>
      </w:tr>
    </w:tbl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Однако, несмотря на улучшение относительных показателей, отечественная кредитная система остается весьма маломощной по сравнению с кредитными системами многих зарубежных стран. Так, например, на начало 2000 г. активы российской банковской системы составляли 34,9% ВВП (в январе 1998 г. - 30,3%), в то время как в Польше этот показатель был равен 48,8%, в Венгрии – 55,1%, а в Чехии – 108,7%. В развитых европейских экономиках отношение активов банков к ВВП также в несколько раз (а то и на порядок) больше, чем в России</w:t>
      </w:r>
      <w:r>
        <w:rPr>
          <w:rStyle w:val="a7"/>
          <w:sz w:val="28"/>
          <w:szCs w:val="28"/>
        </w:rPr>
        <w:footnoteReference w:id="10"/>
      </w:r>
      <w:r>
        <w:rPr>
          <w:sz w:val="28"/>
          <w:szCs w:val="28"/>
        </w:rPr>
        <w:t>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 таблицы 4 мы видим, что в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году спрос на кредиты со стороны реального сек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тора экономики увеличился. Объем кредитов реальному сектору экономики за первые три квартала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увеличился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39,8%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Улучшение финансового состояния про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мышленности в целом способствовало сниже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нию удельного веса просроченной задолжен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ности в кредитах банков реальному сектору экономики с 6,5%о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4,1%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1.10.2000.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Доля сомнительных и безнадежных ссуд в совокупном кредитном портфеле дей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ствующих кредитных организаций уменьши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лась с 13,4%о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6,8%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1.10.2000.</w:t>
      </w:r>
      <w:r>
        <w:rPr>
          <w:rStyle w:val="a7"/>
          <w:rFonts w:ascii="Times New Roman" w:hAnsi="Times New Roman" w:cs="Times New Roman"/>
          <w:b w:val="0"/>
          <w:bCs w:val="0"/>
          <w:noProof/>
          <w:sz w:val="28"/>
          <w:szCs w:val="28"/>
        </w:rPr>
        <w:footnoteReference w:id="11"/>
      </w:r>
    </w:p>
    <w:p w:rsidR="00CB30C1" w:rsidRDefault="00CB30C1">
      <w:pPr>
        <w:pStyle w:val="3"/>
        <w:spacing w:before="12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CB30C1" w:rsidRDefault="00CB30C1">
      <w:pPr>
        <w:pStyle w:val="3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пассивов действующих кредитных организаций, сгруппированных по источникам средств</w:t>
      </w:r>
      <w:r>
        <w:rPr>
          <w:rStyle w:val="a7"/>
          <w:b/>
          <w:bCs/>
          <w:sz w:val="28"/>
          <w:szCs w:val="28"/>
        </w:rPr>
        <w:footnoteReference w:id="12"/>
      </w:r>
    </w:p>
    <w:tbl>
      <w:tblPr>
        <w:tblW w:w="0" w:type="auto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134"/>
        <w:gridCol w:w="1559"/>
        <w:gridCol w:w="1134"/>
      </w:tblGrid>
      <w:tr w:rsidR="00CB30C1">
        <w:trPr>
          <w:trHeight w:hRule="exact"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Пассивы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1.01.2000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1.10.2000</w:t>
            </w:r>
          </w:p>
        </w:tc>
      </w:tr>
      <w:tr w:rsidR="00CB30C1">
        <w:trPr>
          <w:trHeight w:hRule="exact" w:val="61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Млрд.</w:t>
            </w:r>
          </w:p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Млрд.</w:t>
            </w:r>
          </w:p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noProof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 xml:space="preserve">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%</w:t>
            </w:r>
          </w:p>
        </w:tc>
      </w:tr>
      <w:tr w:rsidR="00CB30C1">
        <w:trPr>
          <w:trHeight w:hRule="exact"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Всего пассивов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1586.4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2176.1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</w:p>
        </w:tc>
      </w:tr>
      <w:tr w:rsidR="00CB30C1">
        <w:trPr>
          <w:trHeight w:hRule="exact"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ind w:firstLine="4151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 т.ч.: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CB30C1">
        <w:trPr>
          <w:cantSplit/>
          <w:trHeight w:hRule="exact"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Фонды и прибыль банков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226,8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14.3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281,0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12.9</w:t>
            </w:r>
          </w:p>
        </w:tc>
      </w:tr>
      <w:tr w:rsidR="00CB30C1">
        <w:trPr>
          <w:cantSplit/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Кредиты, полученные банками </w:t>
            </w:r>
          </w:p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от Банка России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13.9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0.6</w:t>
            </w:r>
          </w:p>
        </w:tc>
      </w:tr>
      <w:tr w:rsidR="00CB30C1">
        <w:trPr>
          <w:cantSplit/>
          <w:trHeight w:hRule="exact"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Счета банков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62,4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101.3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4.7</w:t>
            </w:r>
          </w:p>
        </w:tc>
      </w:tr>
      <w:tr w:rsidR="00CB30C1">
        <w:trPr>
          <w:cantSplit/>
          <w:trHeight w:hRule="exact"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Межбанковские кредиты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173,4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173.3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8.0</w:t>
            </w:r>
          </w:p>
        </w:tc>
      </w:tr>
      <w:tr w:rsidR="00CB30C1">
        <w:trPr>
          <w:cantSplit/>
          <w:trHeight w:hRule="exact"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Вклады населения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297,1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407.8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18.7</w:t>
            </w:r>
          </w:p>
        </w:tc>
      </w:tr>
      <w:tr w:rsidR="00CB30C1">
        <w:trPr>
          <w:cantSplit/>
          <w:trHeight w:hRule="exact" w:val="5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Средства, привлеченные от </w:t>
            </w:r>
          </w:p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предприятий и организаций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472,1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29.8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688.7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31.6</w:t>
            </w:r>
          </w:p>
        </w:tc>
      </w:tr>
      <w:tr w:rsidR="00CB30C1">
        <w:trPr>
          <w:cantSplit/>
          <w:trHeight w:hRule="exact" w:val="49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Выпущенные долговые обязательства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5.9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158.9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7.3</w:t>
            </w:r>
          </w:p>
        </w:tc>
      </w:tr>
      <w:tr w:rsidR="00CB30C1">
        <w:trPr>
          <w:cantSplit/>
          <w:trHeight w:hRule="exact" w:val="2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Прочие пассивы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223,9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noProof/>
                <w:sz w:val="20"/>
                <w:szCs w:val="20"/>
              </w:rPr>
              <w:t>350 7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30C1" w:rsidRDefault="00CB30C1">
            <w:pPr>
              <w:spacing w:before="20" w:line="240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16.1</w:t>
            </w:r>
          </w:p>
        </w:tc>
      </w:tr>
    </w:tbl>
    <w:p w:rsidR="00CB30C1" w:rsidRDefault="00CB30C1">
      <w:pPr>
        <w:spacing w:line="240" w:lineRule="auto"/>
        <w:jc w:val="left"/>
      </w:pP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анализируемый период активизировалась работа банков по кредитованию населе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ния. Объем кредитов населению в инвалюте с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вырос на 15,5%, в рублях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79,6%).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Вместе с тем доля указанных кредитов в активах банковской системы оста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ется незначительной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— 1,7%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2,0%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Объем остатков на корсчетах банков с Банке России и коммерческих банках за пер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вые три квартала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вырос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27.7 .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составив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285,7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млрд. рублей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 их доля в совокупных активах банковской систе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мы сократилась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14,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7%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13.1%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Одновременно депозиты банков, размещенные в Банке России, выросли за ука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занный период в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раз, составив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79,1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млрд. рублей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Улучшение финансового состояния предприятий ряда секторов экономики спо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собствовало интенсивному росту ресурсной базы банковской системы. Об этом свидетельствует рост объема средств,  привлеченных банками от предприятий и ор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ганизаций. Доля средств, привлечен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ных банками от предприятий и организаций в совокупных пассивах банковской системы вы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росла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29,8%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31,6%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1.10.2000.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Однако структура пассивов не позволяет банкам активно использовать их для кредитования экономики. Более 70% средств предприятий в банках находятся на расчетных и текущих счетах, более 80% депозитов населения привлечено на сроки менее полугода. В силу этого банки, осуществляющие кредитование экономики, подвержены высоким рискам ликвидности. Увеличению сроков депозитов населения (которые, согласно ГК РФ, фактически являются депозитами до востребования) препятствует отсутствие системы гарантирования вкладов граждан в банках.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Роль долговых обязательств в ресурс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ной базе банковской системы не изменилась. Как показывает таблица 5, при росте объема выпущенных банками дол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говых обязательств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на 29,3% их доля в пассивах банковской сис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темы составила на указанные даты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7.3%.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Из таблиц также видно, что начинает постепенно восста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навливаться рынок рублевых межбанковских кредитов и депози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тов, разрушенный кризисом 1998 г. Объем привлеченных межбан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ковских кредитов и депозитов в рублях вырос в анализируемый период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56,5%, хотя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доля межбанковских кредитов в совокуп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ных пассивах банковской системы снизилась с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10,9%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8%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Рост ресурсной базы и ликвидности кре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дитных организаций, улучшение состояния их кредитного портфеля в течение первых трех кварталов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года, отзыв лицензий у финансово неустойчивых банков способствовали постепенному улучшению показателей финан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совой устойчивости банковской системы в це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лом.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По состоянию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текущая 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быль действующих кредитных организаций достигла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22,4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млрд. рублей. Число прибыль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ных банков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составило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1212,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91</w:t>
      </w:r>
      <w:r>
        <w:rPr>
          <w:rFonts w:ascii="Times New Roman" w:hAnsi="Times New Roman" w:cs="Times New Roman"/>
          <w:b w:val="0"/>
          <w:bCs w:val="0"/>
          <w:i/>
          <w:iCs/>
          <w:noProof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7%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числа действующих банков. Вместе с тем кредитным организациям пока не уда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лось погасить накопленные убытки прошлых лет. Общим результатом их финансовой дея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тельности с учетом итогов прошлых лет на 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>1.10.2000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стали убытки в размере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31,8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млрд. рублей.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 рассматриваемый период сохрани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лась имевшая место и ранее  концентрация активов банковской системы в крупнейших по величине активов банках. По состоянию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50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крупнейших по активам банков приходилось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76,5%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купных активов банковской системы (на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1.01.2000—76.6%), 79,1%;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общего объ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ема кредитов предприятиям и организациям (81,1%о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1.01.2000), 68,6%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общей суммы средств, привлеченных банками от предпри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ятий и организаций (на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1.01.2000— 65.6%).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Удельный вес Сбербанка России в совокупных активах действующих банков на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1.10.2000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ставил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26,3%,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общем объеме вкладов насе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ления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7б%, в общем объеме вложений в 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сударственные ценные бумаги в национальной валюте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 59,7%,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остатках на расчетных и текущих счетах клиентов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 20,2%,</w:t>
      </w: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объеме кредитов реальному сектору экономики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 30,4%.</w:t>
      </w:r>
      <w:r>
        <w:rPr>
          <w:rStyle w:val="a7"/>
          <w:rFonts w:ascii="Times New Roman" w:hAnsi="Times New Roman" w:cs="Times New Roman"/>
          <w:b w:val="0"/>
          <w:bCs w:val="0"/>
          <w:noProof/>
          <w:sz w:val="28"/>
          <w:szCs w:val="28"/>
        </w:rPr>
        <w:footnoteReference w:id="13"/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тенденцией является и то, что, как показывает рисунок 1</w:t>
      </w:r>
      <w:r>
        <w:rPr>
          <w:rStyle w:val="a7"/>
          <w:sz w:val="28"/>
          <w:szCs w:val="28"/>
        </w:rPr>
        <w:footnoteReference w:id="14"/>
      </w:r>
      <w:r>
        <w:rPr>
          <w:sz w:val="28"/>
          <w:szCs w:val="28"/>
        </w:rPr>
        <w:t xml:space="preserve">, к концу 2000 г. основным источником доходов банков осталось кредитование, которое устойчиво растет, в отличие от предыдущих периодов, когда доходы извлекались в основном из валютных операций и операций с государственными ценными бумагами. </w:t>
      </w:r>
    </w:p>
    <w:p w:rsidR="00CB30C1" w:rsidRDefault="00CB30C1">
      <w:pPr>
        <w:pStyle w:val="3"/>
        <w:spacing w:before="120"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:rsidR="00CB30C1" w:rsidRDefault="005F0BCD">
      <w:pPr>
        <w:pStyle w:val="20"/>
        <w:tabs>
          <w:tab w:val="left" w:pos="3828"/>
        </w:tabs>
        <w:ind w:left="0" w:firstLine="0"/>
        <w:jc w:val="center"/>
        <w:rPr>
          <w:rFonts w:ascii="Courier" w:hAnsi="Courier" w:cs="Courier"/>
          <w:sz w:val="24"/>
          <w:szCs w:val="24"/>
        </w:rPr>
      </w:pPr>
      <w:r>
        <w:rPr>
          <w:rFonts w:ascii="Courier" w:hAnsi="Courier" w:cs="Courier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pt;height:273pt" fillcolor="window">
            <v:imagedata r:id="rId7" o:title=""/>
          </v:shape>
        </w:pic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</w:p>
    <w:p w:rsidR="00CB30C1" w:rsidRDefault="00CB30C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Доходность государственных ценных бумаг к осени достигла чрезвычайно низкого уровня – 10% годовых по коротким выпускам и, обеспечив банкам некоторую величину доходов за первые три квартала, исчерпала резервы для роста.</w:t>
      </w:r>
    </w:p>
    <w:p w:rsidR="00CB30C1" w:rsidRDefault="00CB30C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Пока российская банковская система так и не адаптировалась к отсутствию развитого рынка госбумаг. Процентная маржа, хотя и впервые за последние пять лет ставшая положительной, не может заменить доходы от госбумаг и валюты. Усугубляют ситуацию и крайне низкие процентные ставки. Нельзя, в этой связи, не согласиться с мнением многих экономистов, что если в течение следующего года не удастся либо резко увеличить объемы кредитования при сохранении положительных реальных процентных ставок, либо предложить банкам значительный объем новых финансовых инструментов, заменяющих прежние вложения в ГКО-ОФЗ, то деятельность российской кредитной системы может оказаться на грани убыточности.</w:t>
      </w:r>
    </w:p>
    <w:p w:rsidR="00CB30C1" w:rsidRDefault="00CB30C1">
      <w:pPr>
        <w:pStyle w:val="3"/>
        <w:spacing w:before="120"/>
        <w:ind w:firstLine="720"/>
        <w:jc w:val="both"/>
        <w:rPr>
          <w:rFonts w:ascii="Courier" w:hAnsi="Courier" w:cs="Courier"/>
        </w:rPr>
      </w:pPr>
    </w:p>
    <w:p w:rsidR="00CB30C1" w:rsidRDefault="00CB30C1">
      <w:pPr>
        <w:pStyle w:val="3"/>
        <w:spacing w:before="120"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Перспективы развития кредитной системы России</w:t>
      </w:r>
    </w:p>
    <w:p w:rsidR="00CB30C1" w:rsidRDefault="00CB30C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благоприятного сценария развития российской экономики (рост ВВП на 4-4,5%, продолжение монетизации экономики и укрепление рубля на 8-9%, а также усиление процессов концентрации и реструктуризации банковского капитала) экономистами</w:t>
      </w:r>
      <w:r>
        <w:rPr>
          <w:rStyle w:val="a7"/>
          <w:sz w:val="28"/>
          <w:szCs w:val="28"/>
        </w:rPr>
        <w:footnoteReference w:id="15"/>
      </w:r>
      <w:r>
        <w:rPr>
          <w:sz w:val="28"/>
          <w:szCs w:val="28"/>
        </w:rPr>
        <w:t xml:space="preserve"> предполагаются следующие направления развития кредитной системы. </w:t>
      </w:r>
    </w:p>
    <w:p w:rsidR="00CB30C1" w:rsidRDefault="00CB30C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Первое</w:t>
      </w:r>
      <w:r>
        <w:rPr>
          <w:sz w:val="28"/>
          <w:szCs w:val="28"/>
        </w:rPr>
        <w:t>. Активизация кредитования (кредиты могут достигнуть 0,4-0,7% ВВП), что приведет к росту  активов на 0,6-0,9% ВВП. При этом в условиях подъема внутреннего спроса и сокращения внешнеторгового сальдо продолжится рост прежде всего рублевого кредитования. Объем государственных ценных бумаг в портфелях банков по номиналу увеличится незначительно.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Второе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Увеличение капитализации банков, причем без особого участия государства. Совокупный капитал российских банков близок к докризисному уровню лишь номинально. Реальный капитал отечественной банковской системы около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млрд дол. США. Это ниже капитала одного не самого крупного американского банка. Несмотря на то, что практика прямого участия государства в рекапитализации банков имеется в ряде стран,  у государства сеть в распоряжении и другие способы, позволяющие найти источники рекапитализации в самой банковской системе. Так, значительный эффект могут дать косвенные меры поддержки банков со стороны государства. Доходы кредитных учреждений  в 2001 г. будут примерно соответствовать доходам второго полугодия 2000 г. (то есть 40-50 млрд. руб. за год или 0,5-0,6% ВВП). Произойдет дальнейшее увеличение роли доходов от кредитования (так как пойдет отдача от прироста кредитов 2000 г.).</w:t>
      </w:r>
    </w:p>
    <w:p w:rsidR="00CB30C1" w:rsidRDefault="00CB30C1">
      <w:pPr>
        <w:pStyle w:val="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роли вкладов населения по мере роста реальных доходов можно предположить, лишь при условии сохранения действующего уровня цен на основные продукты (доля депозитов населения в банковских пассивах увеличится с 19,3% до 21-22%) В противном случае эти цифры могут, наоборот, уменьшиться. 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Третье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Нацио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нальные интересы страны требуют формирования самостоятельной, устойчивой  кредитной сис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темы. Именно с национальными приоритетами должна быть связана политика в отношении бан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ков с участием иностранного капитала. Тезис о том, что широкий допуск данных кредитных уч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реждений на российский рынок банковских услуг усилит конкуренцию и, соответственно, уско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рит эффективное развитие отрасли, на наш взгляд, не совсем корректен. Вряд ли можно в данном случае гово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рить о равноправной конкуренции, так как конкурировать будут не конкретные банки, а ста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бильность и устойчивость той или иной западной страны с нестабильностью и изменениями в России. В связи с этим необходимо взвешенно подходить к деятельности иностранных кредит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ных учреждений.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Четвертое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Исключительное значение для успешного развития российской кредитной системы имеет налаживание адекватного потребностям экономического роста взаимодействия банков с реальным сектором.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Коммерческие банки, с одной стороны, заинтересованы в кредитовании реального сектора. Это классическая банковская операция с хорошо изученными рисками. Но с другой стороны здесь есть две существенные проблемы, связанные с недостаточной защищенностью банков в отношениях кредитор</w:t>
      </w:r>
      <w:r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t xml:space="preserve"> —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заемщик и кратко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срочностью пассивов. Банки не могут расширять кредитование, потому что государство не обес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печивает защиту их интересов в случае возникновения проблем с возвращением ссуд.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Еще более сложной проблемой является активизация инвестиционной деятельности банков. Пока в экономике сохраняются денежные суррогаты, бар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тер, неплатежи, банковская система не может активно осуществлять инвестиционную деятельность. В стране еще не созрели условия для долгосрочных накоп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>лений  и ни один коммерческий банк не пойдет на риски длительных инвестиций без государст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softHyphen/>
        <w:t xml:space="preserve">венных гарантий. </w:t>
      </w:r>
    </w:p>
    <w:p w:rsidR="00CB30C1" w:rsidRDefault="00CB30C1">
      <w:pPr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Пятое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По всей видимости, структура отечественной кредитной системы в части преобладания в ней банковских учреждений не претерпит изменений.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принятия стратегических решений на настоящий момент Правительство и Банк России не предложили ничего принципиально нового, что могло бы как-то существенно изменить сложившуюся конфигурацию отечественной  кредитной системы. Т.н. “Программа Грефа” – программа социально-экономического развития страны до 2010 г. – не содержит, на наш взгляд, сколько-либо кардинальных мер, могущих действительно радикально оздоровить действующую кредитную систему.  Этой программой предлагаются меры нормативного характера (усиление надзора, ускорение ликвидации несостоятельных кредитных организаций, изменение видов выдаваемых лицензий и т.п.), которые, в принципе, и так осуществляются Банком России, хотя и достаточно медленно.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Характерно, что предложенный Правительством ряд мер, направлен, в первую очередь, на повышение капитализации банковской системы и развитие новых технологий. Среди них отметим прежде всего осознание необходимости приравнять налогообложение банков к налогообложению предприятий (как по ставкам, так и по составу затрат), а также создание полноценной законодательной базы по электронным документам в России.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безусловный интерес представляют “Концептуальные основы развития банковской системы России”, представленные на Х съезде Ассоциации российских банков. Этот документ рассматривает банковскую отрасль как облетающую большим потенциалом самоорганизации. Основное внимание при этом уделяется принципам, в соответствии с которыми государство может развивать банковскую отрасль на основе законов и правительственных решении: многоукладность, равноправная конку</w:t>
      </w:r>
      <w:r>
        <w:rPr>
          <w:sz w:val="28"/>
          <w:szCs w:val="28"/>
        </w:rPr>
        <w:softHyphen/>
        <w:t>ренция, рыночная дисциплина, развитие финансово-экономического федерализма, соответствие кредитно-финансового сектора реальному и другие.</w:t>
      </w:r>
    </w:p>
    <w:p w:rsidR="00CB30C1" w:rsidRDefault="00CB30C1">
      <w:pPr>
        <w:pStyle w:val="3"/>
        <w:spacing w:before="12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наш взгляд, именно соблюдение или несоблюдение этих основных принципов и определяет, в значительной мере, перспективы развития отечественной кредитной системы.</w:t>
      </w:r>
      <w:bookmarkStart w:id="0" w:name="_GoBack"/>
      <w:bookmarkEnd w:id="0"/>
    </w:p>
    <w:sectPr w:rsidR="00CB30C1">
      <w:pgSz w:w="11906" w:h="16838"/>
      <w:pgMar w:top="1134" w:right="850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D9" w:rsidRDefault="004E1ED9">
      <w:pPr>
        <w:spacing w:line="240" w:lineRule="auto"/>
      </w:pPr>
      <w:r>
        <w:separator/>
      </w:r>
    </w:p>
  </w:endnote>
  <w:endnote w:type="continuationSeparator" w:id="0">
    <w:p w:rsidR="004E1ED9" w:rsidRDefault="004E1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D9" w:rsidRDefault="004E1ED9">
      <w:pPr>
        <w:spacing w:line="240" w:lineRule="auto"/>
      </w:pPr>
      <w:r>
        <w:separator/>
      </w:r>
    </w:p>
  </w:footnote>
  <w:footnote w:type="continuationSeparator" w:id="0">
    <w:p w:rsidR="004E1ED9" w:rsidRDefault="004E1ED9">
      <w:pPr>
        <w:spacing w:line="240" w:lineRule="auto"/>
      </w:pPr>
      <w:r>
        <w:continuationSeparator/>
      </w:r>
    </w:p>
  </w:footnote>
  <w:footnote w:id="1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силу этого обстоятельства в дальнейшем по ходу работы мы будем рассматривать, главным образом, банковскую системы</w:t>
      </w:r>
    </w:p>
  </w:footnote>
  <w:footnote w:id="2">
    <w:p w:rsidR="004E1ED9" w:rsidRDefault="00CB30C1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Источник: Бюллетень банковской статистики, №12, 2000 г., изд-во Банка России</w:t>
      </w:r>
    </w:p>
  </w:footnote>
  <w:footnote w:id="3">
    <w:p w:rsidR="004E1ED9" w:rsidRDefault="00CB30C1">
      <w:pPr>
        <w:pStyle w:val="a6"/>
      </w:pPr>
      <w:r>
        <w:rPr>
          <w:rStyle w:val="a7"/>
        </w:rPr>
        <w:footnoteRef/>
      </w:r>
      <w:r>
        <w:t xml:space="preserve"> Источник: Вестник Банка России, №65 (493), 2000</w:t>
      </w:r>
    </w:p>
  </w:footnote>
  <w:footnote w:id="4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Источник: Бюллетень банковской статистики, №1, 2001</w:t>
      </w:r>
    </w:p>
  </w:footnote>
  <w:footnote w:id="5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Вестник Банка России, №65, 2000</w:t>
      </w:r>
    </w:p>
  </w:footnote>
  <w:footnote w:id="6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Источник: Вестник Банка России, №70, 2000</w:t>
      </w:r>
    </w:p>
  </w:footnote>
  <w:footnote w:id="7">
    <w:p w:rsidR="00CB30C1" w:rsidRDefault="00CB30C1">
      <w:pPr>
        <w:widowControl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Style w:val="a7"/>
          <w:b w:val="0"/>
          <w:bCs w:val="0"/>
          <w:sz w:val="20"/>
          <w:szCs w:val="20"/>
        </w:rPr>
        <w:footnoteRef/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под иностранными банками понимаются банки, 100% уставного капитала которых принадлежит нерезидентам. </w:t>
      </w:r>
    </w:p>
    <w:p w:rsidR="004E1ED9" w:rsidRDefault="004E1ED9">
      <w:pPr>
        <w:widowControl/>
        <w:spacing w:line="360" w:lineRule="auto"/>
        <w:ind w:firstLine="720"/>
        <w:jc w:val="both"/>
      </w:pPr>
    </w:p>
  </w:footnote>
  <w:footnote w:id="8">
    <w:p w:rsidR="004E1ED9" w:rsidRDefault="00CB30C1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Источник: Вестник Банка России, №65, 2000</w:t>
      </w:r>
    </w:p>
  </w:footnote>
  <w:footnote w:id="9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Источник: Вестник Банка России, №65, 2000</w:t>
      </w:r>
    </w:p>
  </w:footnote>
  <w:footnote w:id="10">
    <w:p w:rsidR="004E1ED9" w:rsidRDefault="00CB30C1">
      <w:pPr>
        <w:pStyle w:val="a6"/>
        <w:ind w:right="-4387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Источник: Развитие российской банковской системы: два года после кризиса \\ препринт ИЭ РАН, М., 2000</w:t>
      </w:r>
    </w:p>
  </w:footnote>
  <w:footnote w:id="11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Источник: Вестник Банка России, №65, 2000</w:t>
      </w:r>
    </w:p>
  </w:footnote>
  <w:footnote w:id="12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Источник: Вестник Банка России, №65, 2000</w:t>
      </w:r>
    </w:p>
  </w:footnote>
  <w:footnote w:id="13">
    <w:p w:rsidR="004E1ED9" w:rsidRDefault="00CB30C1">
      <w:pPr>
        <w:pStyle w:val="a6"/>
      </w:pPr>
      <w:r>
        <w:rPr>
          <w:rStyle w:val="a7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Источник: Вестник Банка России, №65, 2000</w:t>
      </w:r>
    </w:p>
  </w:footnote>
  <w:footnote w:id="14">
    <w:p w:rsidR="004E1ED9" w:rsidRDefault="00CB30C1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Развитие российской банковской системы: два года после кризиса \\ препринт ИЭ РАН, М., 2000</w:t>
      </w:r>
    </w:p>
  </w:footnote>
  <w:footnote w:id="15">
    <w:p w:rsidR="00CB30C1" w:rsidRDefault="00CB30C1">
      <w:pPr>
        <w:pStyle w:val="a6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Развитие российской банковской системы: два года после кризиса \\ препринт ИЭ РАН, М., 2000</w:t>
      </w:r>
    </w:p>
    <w:p w:rsidR="004E1ED9" w:rsidRDefault="004E1ED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B2943"/>
    <w:multiLevelType w:val="singleLevel"/>
    <w:tmpl w:val="1E108B44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B0872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78C"/>
    <w:rsid w:val="002247EB"/>
    <w:rsid w:val="004E1ED9"/>
    <w:rsid w:val="00573944"/>
    <w:rsid w:val="005F0BCD"/>
    <w:rsid w:val="008E478C"/>
    <w:rsid w:val="00CB30C1"/>
    <w:rsid w:val="00CC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3697902-2094-4B27-9458-ED921EAA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640" w:lineRule="auto"/>
      <w:jc w:val="center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uiPriority w:val="99"/>
    <w:pPr>
      <w:keepNext/>
      <w:widowControl/>
      <w:numPr>
        <w:numId w:val="2"/>
      </w:numPr>
      <w:spacing w:before="360" w:after="60" w:line="240" w:lineRule="auto"/>
      <w:ind w:firstLine="720"/>
      <w:jc w:val="both"/>
    </w:pPr>
    <w:rPr>
      <w:i/>
      <w:iCs/>
      <w:sz w:val="24"/>
      <w:szCs w:val="24"/>
    </w:rPr>
  </w:style>
  <w:style w:type="paragraph" w:customStyle="1" w:styleId="5">
    <w:name w:val="заголовок 5"/>
    <w:basedOn w:val="a"/>
    <w:next w:val="a"/>
    <w:uiPriority w:val="99"/>
    <w:pPr>
      <w:keepNext/>
      <w:widowControl/>
      <w:spacing w:line="360" w:lineRule="auto"/>
    </w:pPr>
    <w:rPr>
      <w:sz w:val="24"/>
      <w:szCs w:val="24"/>
      <w:lang w:val="en-GB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spacing w:line="240" w:lineRule="auto"/>
    </w:pPr>
    <w:rPr>
      <w:b w:val="0"/>
      <w:bCs w:val="0"/>
      <w:sz w:val="28"/>
      <w:szCs w:val="28"/>
    </w:rPr>
  </w:style>
  <w:style w:type="character" w:customStyle="1" w:styleId="a5">
    <w:name w:val="Основной текст Знак"/>
    <w:link w:val="a4"/>
    <w:uiPriority w:val="99"/>
    <w:semiHidden/>
    <w:rPr>
      <w:rFonts w:ascii="Arial" w:hAnsi="Arial" w:cs="Arial"/>
      <w:b/>
      <w:bCs/>
      <w:sz w:val="18"/>
      <w:szCs w:val="18"/>
    </w:rPr>
  </w:style>
  <w:style w:type="paragraph" w:styleId="20">
    <w:name w:val="Body Text 2"/>
    <w:basedOn w:val="a"/>
    <w:link w:val="21"/>
    <w:uiPriority w:val="99"/>
    <w:pPr>
      <w:widowControl/>
      <w:spacing w:line="240" w:lineRule="auto"/>
      <w:ind w:left="1134" w:firstLine="567"/>
      <w:jc w:val="both"/>
    </w:pPr>
    <w:rPr>
      <w:b w:val="0"/>
      <w:bCs w:val="0"/>
      <w:sz w:val="26"/>
      <w:szCs w:val="26"/>
    </w:rPr>
  </w:style>
  <w:style w:type="character" w:customStyle="1" w:styleId="21">
    <w:name w:val="Основной текст 2 Знак"/>
    <w:link w:val="20"/>
    <w:uiPriority w:val="99"/>
    <w:semiHidden/>
    <w:rPr>
      <w:rFonts w:ascii="Arial" w:hAnsi="Arial" w:cs="Arial"/>
      <w:b/>
      <w:bCs/>
      <w:sz w:val="18"/>
      <w:szCs w:val="18"/>
    </w:rPr>
  </w:style>
  <w:style w:type="paragraph" w:customStyle="1" w:styleId="a6">
    <w:name w:val="текст сноски"/>
    <w:basedOn w:val="a"/>
    <w:uiPriority w:val="99"/>
    <w:pPr>
      <w:widowControl/>
      <w:spacing w:line="240" w:lineRule="auto"/>
      <w:jc w:val="left"/>
    </w:pPr>
    <w:rPr>
      <w:rFonts w:ascii="Baltica" w:hAnsi="Baltica" w:cs="Baltica"/>
      <w:b w:val="0"/>
      <w:bCs w:val="0"/>
      <w:sz w:val="20"/>
      <w:szCs w:val="20"/>
    </w:rPr>
  </w:style>
  <w:style w:type="character" w:customStyle="1" w:styleId="a7">
    <w:name w:val="знак сноски"/>
    <w:uiPriority w:val="99"/>
    <w:rPr>
      <w:vertAlign w:val="superscript"/>
    </w:rPr>
  </w:style>
  <w:style w:type="paragraph" w:styleId="3">
    <w:name w:val="Body Text Indent 3"/>
    <w:basedOn w:val="a"/>
    <w:link w:val="30"/>
    <w:uiPriority w:val="99"/>
    <w:pPr>
      <w:widowControl/>
      <w:spacing w:line="240" w:lineRule="auto"/>
      <w:ind w:firstLine="709"/>
      <w:jc w:val="left"/>
    </w:pPr>
    <w:rPr>
      <w:b w:val="0"/>
      <w:bCs w:val="0"/>
      <w:sz w:val="24"/>
      <w:szCs w:val="24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Arial" w:hAnsi="Arial" w:cs="Arial"/>
      <w:b/>
      <w:bCs/>
      <w:sz w:val="16"/>
      <w:szCs w:val="16"/>
    </w:rPr>
  </w:style>
  <w:style w:type="paragraph" w:customStyle="1" w:styleId="FR2">
    <w:name w:val="FR2"/>
    <w:uiPriority w:val="99"/>
    <w:pPr>
      <w:widowControl w:val="0"/>
      <w:autoSpaceDE w:val="0"/>
      <w:autoSpaceDN w:val="0"/>
      <w:spacing w:before="20"/>
      <w:ind w:left="1960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line="340" w:lineRule="auto"/>
      <w:ind w:left="840" w:right="800"/>
      <w:jc w:val="center"/>
    </w:pPr>
    <w:rPr>
      <w:rFonts w:ascii="Arial" w:hAnsi="Arial" w:cs="Arial"/>
      <w:b/>
      <w:bCs/>
    </w:rPr>
  </w:style>
  <w:style w:type="paragraph" w:customStyle="1" w:styleId="FR5">
    <w:name w:val="FR5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3382</Words>
  <Characters>19282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СОВРЕМЕННОЙ КРЕДИТНОЙ СИСТЕМЫ РОССИИ И ПЕРСПЕКТИВЫ ЕЕ РАЗВИТИЯ</vt:lpstr>
    </vt:vector>
  </TitlesOfParts>
  <Company>Дом</Company>
  <LinksUpToDate>false</LinksUpToDate>
  <CharactersWithSpaces>22619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СОВРЕМЕННОЙ КРЕДИТНОЙ СИСТЕМЫ РОССИИ И ПЕРСПЕКТИВЫ ЕЕ РАЗВИТИЯ</dc:title>
  <dc:subject/>
  <dc:creator>Домашний Пользователь</dc:creator>
  <cp:keywords/>
  <dc:description/>
  <cp:lastModifiedBy>admin</cp:lastModifiedBy>
  <cp:revision>2</cp:revision>
  <dcterms:created xsi:type="dcterms:W3CDTF">2014-03-13T06:24:00Z</dcterms:created>
  <dcterms:modified xsi:type="dcterms:W3CDTF">2014-03-13T06:24:00Z</dcterms:modified>
</cp:coreProperties>
</file>