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A57E7">
        <w:rPr>
          <w:bCs/>
          <w:color w:val="000000"/>
          <w:sz w:val="28"/>
          <w:szCs w:val="28"/>
        </w:rPr>
        <w:t>Федеральное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="001B4CB8" w:rsidRPr="001A57E7">
        <w:rPr>
          <w:bCs/>
          <w:color w:val="000000"/>
          <w:sz w:val="28"/>
          <w:szCs w:val="28"/>
        </w:rPr>
        <w:t>агентство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по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образованию</w:t>
      </w:r>
    </w:p>
    <w:p w:rsidR="00B574EE" w:rsidRPr="001A57E7" w:rsidRDefault="00B574E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A57E7">
        <w:rPr>
          <w:bCs/>
          <w:color w:val="000000"/>
          <w:sz w:val="28"/>
          <w:szCs w:val="28"/>
        </w:rPr>
        <w:t>Рязанский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государственный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технологический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колледж</w:t>
      </w: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A57E7">
        <w:rPr>
          <w:bCs/>
          <w:color w:val="000000"/>
          <w:sz w:val="28"/>
          <w:szCs w:val="28"/>
        </w:rPr>
        <w:t>Курсовая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работа</w:t>
      </w:r>
      <w:r w:rsidR="00F47FAE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по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дисциплине: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Сферы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и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объекты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аудита</w:t>
      </w: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A57E7">
        <w:rPr>
          <w:bCs/>
          <w:color w:val="000000"/>
          <w:sz w:val="28"/>
          <w:szCs w:val="28"/>
        </w:rPr>
        <w:t>на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Cs/>
          <w:color w:val="000000"/>
          <w:sz w:val="28"/>
          <w:szCs w:val="28"/>
        </w:rPr>
        <w:t>тему:</w:t>
      </w:r>
      <w:r w:rsidR="00CA5B3C" w:rsidRPr="001A57E7">
        <w:rPr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Аудит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операций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с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нематериальными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F47FAE" w:rsidRPr="001A57E7">
        <w:rPr>
          <w:b/>
          <w:bCs/>
          <w:color w:val="000000"/>
          <w:sz w:val="28"/>
          <w:szCs w:val="28"/>
        </w:rPr>
        <w:t>активами</w:t>
      </w:r>
    </w:p>
    <w:p w:rsidR="003E5587" w:rsidRPr="001A57E7" w:rsidRDefault="003E5587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E53E2" w:rsidRPr="001A57E7" w:rsidRDefault="00FE53E2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7FAE" w:rsidRPr="001A57E7" w:rsidRDefault="00F47FAE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E53E2" w:rsidRPr="001A57E7" w:rsidRDefault="00FE53E2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5B3C" w:rsidRPr="001A57E7" w:rsidRDefault="00CA5B3C" w:rsidP="00F47FAE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Рязань, 2007 год</w:t>
      </w:r>
    </w:p>
    <w:p w:rsidR="005F5A78" w:rsidRPr="001A57E7" w:rsidRDefault="00CA5B3C" w:rsidP="00F47FA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="005F5A78" w:rsidRPr="001A57E7">
        <w:rPr>
          <w:b/>
          <w:bCs/>
          <w:color w:val="000000"/>
          <w:sz w:val="28"/>
          <w:szCs w:val="28"/>
        </w:rPr>
        <w:t>Содержание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A5B3C" w:rsidRPr="001A57E7" w:rsidRDefault="00B574EE" w:rsidP="00F47F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Введение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</w:p>
    <w:p w:rsidR="00C62AEA" w:rsidRPr="001A57E7" w:rsidRDefault="00F47FAE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1.1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Цели,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задачи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15911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15911" w:rsidRPr="001A57E7">
        <w:rPr>
          <w:color w:val="000000"/>
          <w:sz w:val="28"/>
          <w:szCs w:val="28"/>
        </w:rPr>
        <w:t>источники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информации</w:t>
      </w:r>
    </w:p>
    <w:p w:rsidR="00B574EE" w:rsidRPr="001A57E7" w:rsidRDefault="00C62AEA" w:rsidP="00CA5B3C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1.2</w:t>
      </w:r>
      <w:r w:rsidR="00F47FAE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</w:t>
      </w:r>
    </w:p>
    <w:p w:rsidR="00B574EE" w:rsidRPr="001A57E7" w:rsidRDefault="00C62AEA" w:rsidP="00CA5B3C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1.3</w:t>
      </w:r>
      <w:r w:rsidR="00F47FAE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</w:t>
      </w:r>
    </w:p>
    <w:p w:rsidR="00B574EE" w:rsidRPr="001A57E7" w:rsidRDefault="00C62AEA" w:rsidP="00CA5B3C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1.4</w:t>
      </w:r>
      <w:r w:rsidR="00F47FAE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</w:t>
      </w:r>
    </w:p>
    <w:p w:rsidR="00B574EE" w:rsidRPr="001A57E7" w:rsidRDefault="00C62AEA" w:rsidP="00CA5B3C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1.5</w:t>
      </w:r>
      <w:r w:rsidR="00F47FAE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налогообложения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опер</w:t>
      </w:r>
      <w:r w:rsidR="00BF60AC" w:rsidRPr="001A57E7">
        <w:rPr>
          <w:color w:val="000000"/>
          <w:sz w:val="28"/>
          <w:szCs w:val="28"/>
        </w:rPr>
        <w:t>ациях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60AC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60AC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60AC" w:rsidRPr="001A57E7">
        <w:rPr>
          <w:color w:val="000000"/>
          <w:sz w:val="28"/>
          <w:szCs w:val="28"/>
        </w:rPr>
        <w:t>активам</w:t>
      </w:r>
    </w:p>
    <w:p w:rsidR="00B574EE" w:rsidRPr="001A57E7" w:rsidRDefault="005F5A78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2.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активам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«АЛЬФА»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Заключение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Список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литературы</w:t>
      </w:r>
    </w:p>
    <w:p w:rsidR="00B574EE" w:rsidRPr="001A57E7" w:rsidRDefault="00B574EE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Приложения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Pr="001A57E7">
        <w:rPr>
          <w:b/>
          <w:bCs/>
          <w:color w:val="000000"/>
          <w:sz w:val="28"/>
          <w:szCs w:val="28"/>
        </w:rPr>
        <w:t>Введение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Переход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народного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страны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рыночной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экономике,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ускоренное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развитие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предпринимательства,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возникновение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новых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организационно-правовых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многообразных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собственности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коренным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повлияли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механизм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системы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контроля.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Экономический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России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становится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важнейших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элементов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рыночной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экономики,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выполняющим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функцию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управления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предпринимательства.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Одним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значимых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настоящее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время,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перспективных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эффективных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финансово-хозяйственной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условиях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рынка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независимый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способствует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повышению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эффективности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финансово-коммерческой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хозяйствования.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достоверности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целесообразности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выявление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злоупотреблений,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вскрытие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внутрипроизводственных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резервов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повышения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эффективности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разработка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предложений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устранению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имеющихся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недостатков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требуют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глубоких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методологии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техники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аудита.</w:t>
      </w:r>
    </w:p>
    <w:p w:rsidR="00BA3817" w:rsidRPr="001A57E7" w:rsidRDefault="00926223" w:rsidP="00CA5B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процессе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финансово-хозяйственной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используют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только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ценности,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имеющие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натурально-вещественную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форму,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активы,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которые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имеют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такого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признака,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вещественная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субстанция.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Поэтому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мере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развития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экономики,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внедрения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новых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технологий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выпуска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наукоемкой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становятся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одной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наиболее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важных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составных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частей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являются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основным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ресурсом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конкурентной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борьбе.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Это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особенно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справедливо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организаций,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имеющих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устойчивую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деловую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репутацию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рынке,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владеющих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известными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товарными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знаками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работающих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рынке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наукоемкой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продукции.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современных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условиях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формирование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полной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достоверной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информации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хозяйственных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процессах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практически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невозможно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без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объектах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имеют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повсеместное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применение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поэтому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правильная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постановка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учета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должна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находиться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центре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внимания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A3817" w:rsidRPr="001A57E7">
        <w:rPr>
          <w:color w:val="000000"/>
          <w:sz w:val="28"/>
          <w:szCs w:val="28"/>
        </w:rPr>
        <w:t>аппарата.</w:t>
      </w:r>
    </w:p>
    <w:p w:rsidR="00BA3817" w:rsidRPr="001A57E7" w:rsidRDefault="00BA3817" w:rsidP="00CA5B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Значение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велико.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настоящее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время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структуре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промышленности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составляет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среднем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15-20%.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дальнейшем,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считают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экономисты,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ожидать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значительного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увеличения.</w:t>
      </w:r>
    </w:p>
    <w:p w:rsidR="00B574EE" w:rsidRPr="001A57E7" w:rsidRDefault="00BA3817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Цель</w:t>
      </w:r>
      <w:r w:rsidR="00B574EE" w:rsidRPr="001A57E7">
        <w:rPr>
          <w:color w:val="000000"/>
          <w:sz w:val="28"/>
          <w:szCs w:val="28"/>
        </w:rPr>
        <w:t>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выражение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мнения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полноте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достоверности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финансово</w:t>
      </w:r>
      <w:r w:rsidR="00C62AEA" w:rsidRPr="001A57E7">
        <w:rPr>
          <w:color w:val="000000"/>
          <w:sz w:val="28"/>
          <w:szCs w:val="28"/>
        </w:rPr>
        <w:t>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(</w:t>
      </w:r>
      <w:r w:rsidR="00B574EE" w:rsidRPr="001A57E7">
        <w:rPr>
          <w:color w:val="000000"/>
          <w:sz w:val="28"/>
          <w:szCs w:val="28"/>
        </w:rPr>
        <w:t>бухгалтерской)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аудируемых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лиц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части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показателей,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отражающих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порядка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законодательству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РФ.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2AEA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Pr="001A57E7">
        <w:rPr>
          <w:b/>
          <w:bCs/>
          <w:color w:val="000000"/>
          <w:sz w:val="28"/>
          <w:szCs w:val="28"/>
        </w:rPr>
        <w:t>1.Аудит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операций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с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Pr="001A57E7">
        <w:rPr>
          <w:b/>
          <w:bCs/>
          <w:color w:val="000000"/>
          <w:sz w:val="28"/>
          <w:szCs w:val="28"/>
        </w:rPr>
        <w:t>нематериальными</w:t>
      </w:r>
      <w:r w:rsidR="00CA5B3C" w:rsidRPr="001A57E7">
        <w:rPr>
          <w:b/>
          <w:bCs/>
          <w:color w:val="000000"/>
          <w:sz w:val="28"/>
          <w:szCs w:val="28"/>
        </w:rPr>
        <w:t xml:space="preserve"> активами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2AEA" w:rsidRPr="001A57E7" w:rsidRDefault="00F47FAE" w:rsidP="00F47FAE">
      <w:pPr>
        <w:numPr>
          <w:ilvl w:val="1"/>
          <w:numId w:val="3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1A57E7">
        <w:rPr>
          <w:b/>
          <w:bCs/>
          <w:color w:val="000000"/>
          <w:sz w:val="28"/>
          <w:szCs w:val="28"/>
        </w:rPr>
        <w:t xml:space="preserve"> </w:t>
      </w:r>
      <w:r w:rsidR="00C62AEA" w:rsidRPr="001A57E7">
        <w:rPr>
          <w:b/>
          <w:bCs/>
          <w:color w:val="000000"/>
          <w:sz w:val="28"/>
          <w:szCs w:val="28"/>
        </w:rPr>
        <w:t>Цели,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62AEA" w:rsidRPr="001A57E7">
        <w:rPr>
          <w:b/>
          <w:bCs/>
          <w:color w:val="000000"/>
          <w:sz w:val="28"/>
          <w:szCs w:val="28"/>
        </w:rPr>
        <w:t>задачи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62AEA" w:rsidRPr="001A57E7">
        <w:rPr>
          <w:b/>
          <w:bCs/>
          <w:color w:val="000000"/>
          <w:sz w:val="28"/>
          <w:szCs w:val="28"/>
        </w:rPr>
        <w:t>аудита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62AEA" w:rsidRPr="001A57E7">
        <w:rPr>
          <w:b/>
          <w:bCs/>
          <w:color w:val="000000"/>
          <w:sz w:val="28"/>
          <w:szCs w:val="28"/>
        </w:rPr>
        <w:t>опер</w:t>
      </w:r>
      <w:r w:rsidR="00DB13FE" w:rsidRPr="001A57E7">
        <w:rPr>
          <w:b/>
          <w:bCs/>
          <w:color w:val="000000"/>
          <w:sz w:val="28"/>
          <w:szCs w:val="28"/>
        </w:rPr>
        <w:t>аций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DB13FE" w:rsidRPr="001A57E7">
        <w:rPr>
          <w:b/>
          <w:bCs/>
          <w:color w:val="000000"/>
          <w:sz w:val="28"/>
          <w:szCs w:val="28"/>
        </w:rPr>
        <w:t>с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DB13FE" w:rsidRPr="001A57E7">
        <w:rPr>
          <w:b/>
          <w:bCs/>
          <w:color w:val="000000"/>
          <w:sz w:val="28"/>
          <w:szCs w:val="28"/>
        </w:rPr>
        <w:t>нематериальными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DB13FE" w:rsidRPr="001A57E7">
        <w:rPr>
          <w:b/>
          <w:bCs/>
          <w:color w:val="000000"/>
          <w:sz w:val="28"/>
          <w:szCs w:val="28"/>
        </w:rPr>
        <w:t>активами.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DB13FE" w:rsidRPr="001A57E7">
        <w:rPr>
          <w:b/>
          <w:bCs/>
          <w:color w:val="000000"/>
          <w:sz w:val="28"/>
          <w:szCs w:val="28"/>
        </w:rPr>
        <w:t>И</w:t>
      </w:r>
      <w:r w:rsidR="00C62AEA" w:rsidRPr="001A57E7">
        <w:rPr>
          <w:b/>
          <w:bCs/>
          <w:color w:val="000000"/>
          <w:sz w:val="28"/>
          <w:szCs w:val="28"/>
        </w:rPr>
        <w:t>сточники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62AEA" w:rsidRPr="001A57E7">
        <w:rPr>
          <w:b/>
          <w:bCs/>
          <w:color w:val="000000"/>
          <w:sz w:val="28"/>
          <w:szCs w:val="28"/>
        </w:rPr>
        <w:t>информации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1B4CB8" w:rsidRPr="001A57E7" w:rsidRDefault="001B4CB8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относят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натурально-вещественной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используемые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длительного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(свыше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года)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приносящие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доход.</w:t>
      </w:r>
    </w:p>
    <w:p w:rsidR="001B4CB8" w:rsidRPr="001A57E7" w:rsidRDefault="001B4CB8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Учёт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Положением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«Учёт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активов»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(ПБУ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14/2000),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утверждённым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приказом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Минфина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России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16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октября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2000г.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№91н.</w:t>
      </w:r>
    </w:p>
    <w:p w:rsidR="00C62AEA" w:rsidRPr="001A57E7" w:rsidRDefault="00C62AEA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Задачи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удостовериться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следующем:</w:t>
      </w:r>
    </w:p>
    <w:p w:rsidR="00C62AEA" w:rsidRPr="001A57E7" w:rsidRDefault="00C62AEA" w:rsidP="00CA5B3C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отнесения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нематериальным;</w:t>
      </w:r>
    </w:p>
    <w:p w:rsidR="00C62AEA" w:rsidRPr="001A57E7" w:rsidRDefault="00C62AEA" w:rsidP="00CA5B3C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C62AEA" w:rsidRPr="001A57E7" w:rsidRDefault="00C62AEA" w:rsidP="00CA5B3C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C62AEA" w:rsidRPr="001A57E7" w:rsidRDefault="00C62AEA" w:rsidP="00CA5B3C">
      <w:pPr>
        <w:numPr>
          <w:ilvl w:val="0"/>
          <w:numId w:val="30"/>
        </w:numPr>
        <w:tabs>
          <w:tab w:val="clear" w:pos="1146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C62AEA" w:rsidRPr="001A57E7" w:rsidRDefault="001B4CB8" w:rsidP="00CA5B3C">
      <w:pPr>
        <w:numPr>
          <w:ilvl w:val="0"/>
          <w:numId w:val="30"/>
        </w:numPr>
        <w:tabs>
          <w:tab w:val="clear" w:pos="1146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начислений;</w:t>
      </w:r>
    </w:p>
    <w:p w:rsidR="001B4CB8" w:rsidRPr="001A57E7" w:rsidRDefault="001B4CB8" w:rsidP="00CA5B3C">
      <w:pPr>
        <w:numPr>
          <w:ilvl w:val="0"/>
          <w:numId w:val="30"/>
        </w:numPr>
        <w:tabs>
          <w:tab w:val="clear" w:pos="1146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Последовательность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применения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отношении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1B4CB8" w:rsidRPr="001A57E7" w:rsidRDefault="001B4CB8" w:rsidP="00CA5B3C">
      <w:pPr>
        <w:numPr>
          <w:ilvl w:val="0"/>
          <w:numId w:val="30"/>
        </w:numPr>
        <w:tabs>
          <w:tab w:val="clear" w:pos="1146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отдельным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</w:p>
    <w:p w:rsidR="001B4CB8" w:rsidRPr="001A57E7" w:rsidRDefault="001B4CB8" w:rsidP="00CA5B3C">
      <w:pPr>
        <w:numPr>
          <w:ilvl w:val="0"/>
          <w:numId w:val="30"/>
        </w:numPr>
        <w:tabs>
          <w:tab w:val="clear" w:pos="1146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остаточной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раскрытия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информации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отчётности.</w:t>
      </w:r>
    </w:p>
    <w:p w:rsidR="001B4CB8" w:rsidRPr="001A57E7" w:rsidRDefault="001B4CB8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выражение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достоверности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(бухгалтерской)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показателей,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законодательству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РФ.</w:t>
      </w:r>
    </w:p>
    <w:p w:rsidR="001B4CB8" w:rsidRPr="001A57E7" w:rsidRDefault="001B4CB8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документы:</w:t>
      </w:r>
    </w:p>
    <w:p w:rsidR="00DB13FE" w:rsidRPr="001A57E7" w:rsidRDefault="00DB13FE" w:rsidP="00CA5B3C">
      <w:pPr>
        <w:numPr>
          <w:ilvl w:val="0"/>
          <w:numId w:val="34"/>
        </w:numPr>
        <w:tabs>
          <w:tab w:val="clear" w:pos="54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Карточка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1)</w:t>
      </w:r>
    </w:p>
    <w:p w:rsidR="00DB13FE" w:rsidRPr="001A57E7" w:rsidRDefault="00DB13FE" w:rsidP="00CA5B3C">
      <w:pPr>
        <w:numPr>
          <w:ilvl w:val="0"/>
          <w:numId w:val="34"/>
        </w:numPr>
        <w:tabs>
          <w:tab w:val="clear" w:pos="54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акт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</w:p>
    <w:p w:rsidR="00DB13FE" w:rsidRPr="001A57E7" w:rsidRDefault="00DB13FE" w:rsidP="00CA5B3C">
      <w:pPr>
        <w:numPr>
          <w:ilvl w:val="0"/>
          <w:numId w:val="34"/>
        </w:numPr>
        <w:tabs>
          <w:tab w:val="clear" w:pos="540"/>
          <w:tab w:val="left" w:pos="567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приёмопередаточные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акты</w:t>
      </w:r>
    </w:p>
    <w:p w:rsidR="00DB13FE" w:rsidRPr="001A57E7" w:rsidRDefault="00515911" w:rsidP="00CA5B3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4.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договоры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уступки,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договоры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купли-продажи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предприятия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целом</w:t>
      </w:r>
    </w:p>
    <w:p w:rsidR="00DB13FE" w:rsidRPr="001A57E7" w:rsidRDefault="00515911" w:rsidP="00CA5B3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5.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карточка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счёта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«Нематериальные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активы»</w:t>
      </w:r>
    </w:p>
    <w:p w:rsidR="00DB13FE" w:rsidRPr="001A57E7" w:rsidRDefault="00515911" w:rsidP="00CA5B3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6.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приказ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политике</w:t>
      </w:r>
    </w:p>
    <w:p w:rsidR="00DB13FE" w:rsidRPr="001A57E7" w:rsidRDefault="00515911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7.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ведомости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аналитического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счёту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«Нематериальные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активы»,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05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«Амортизация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активов»</w:t>
      </w:r>
    </w:p>
    <w:p w:rsidR="00DB13FE" w:rsidRPr="001A57E7" w:rsidRDefault="00515911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8.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бухгалтерский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баланс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№1),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приложение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балансу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B13FE" w:rsidRPr="001A57E7">
        <w:rPr>
          <w:color w:val="000000"/>
          <w:sz w:val="28"/>
          <w:szCs w:val="28"/>
        </w:rPr>
        <w:t>№5).</w:t>
      </w:r>
    </w:p>
    <w:p w:rsidR="00DB13FE" w:rsidRPr="001A57E7" w:rsidRDefault="00252EA2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руководствуется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нормативными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актами:</w:t>
      </w:r>
    </w:p>
    <w:p w:rsidR="00252EA2" w:rsidRPr="001A57E7" w:rsidRDefault="00252EA2" w:rsidP="00CA5B3C">
      <w:pPr>
        <w:numPr>
          <w:ilvl w:val="0"/>
          <w:numId w:val="32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Федеральный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№129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21.11.1996г.</w:t>
      </w:r>
    </w:p>
    <w:p w:rsidR="00252EA2" w:rsidRPr="001A57E7" w:rsidRDefault="00252EA2" w:rsidP="00CA5B3C">
      <w:pPr>
        <w:numPr>
          <w:ilvl w:val="0"/>
          <w:numId w:val="32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Положение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ведению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(приказ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Минфина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№34н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29.07.1998г.)</w:t>
      </w:r>
    </w:p>
    <w:p w:rsidR="00252EA2" w:rsidRPr="001A57E7" w:rsidRDefault="00252EA2" w:rsidP="00CA5B3C">
      <w:pPr>
        <w:numPr>
          <w:ilvl w:val="0"/>
          <w:numId w:val="32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План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финансово-хозяйственной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инструкция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применению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(приказ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Минфина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№94н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31.10.2000г.)</w:t>
      </w:r>
    </w:p>
    <w:p w:rsidR="00252EA2" w:rsidRPr="001A57E7" w:rsidRDefault="00252EA2" w:rsidP="00CA5B3C">
      <w:pPr>
        <w:numPr>
          <w:ilvl w:val="0"/>
          <w:numId w:val="32"/>
        </w:numPr>
        <w:tabs>
          <w:tab w:val="clear" w:pos="1440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Положение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«Учёт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(приказ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Минфина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№91н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16.10.2000г.)</w:t>
      </w:r>
    </w:p>
    <w:p w:rsidR="001B4CB8" w:rsidRPr="001A57E7" w:rsidRDefault="001B4CB8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574EE" w:rsidRPr="001A57E7" w:rsidRDefault="00C62AEA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b/>
          <w:bCs/>
          <w:color w:val="000000"/>
          <w:sz w:val="28"/>
          <w:szCs w:val="28"/>
        </w:rPr>
        <w:t>1.2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Аудит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операций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по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поступлению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нематериальных</w:t>
      </w:r>
      <w:r w:rsidR="00CA5B3C" w:rsidRPr="001A57E7">
        <w:rPr>
          <w:b/>
          <w:bCs/>
          <w:color w:val="000000"/>
          <w:sz w:val="28"/>
          <w:szCs w:val="28"/>
        </w:rPr>
        <w:t xml:space="preserve"> активов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направлению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позволит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правомерность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действительность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совершённых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сделок,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62AEA"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организацию.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направлению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ряд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процедур:</w:t>
      </w:r>
    </w:p>
    <w:p w:rsidR="00B574EE" w:rsidRPr="001A57E7" w:rsidRDefault="00B574EE" w:rsidP="00CA5B3C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обоснованности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отнесения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категории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выяснить,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соблюдалось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единовременное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условий,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подтверждающие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(патенты,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свидетельства,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другие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документы).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убедиться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намерении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управленческих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превышающего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12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месяцев.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Такое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работников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руководящего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звена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предмет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предполагаемых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2.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логическим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продолжением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предыдущей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Её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главная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просматривает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предмет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возможных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ошибок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(формальных,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логических,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несоответствия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неполного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заполнения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отдельных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данных).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3.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совершённых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сделок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сопоставляются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содержащиеся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платёжных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именно: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указанного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подтверждающем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регистрации;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платёжного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4.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Экспертиза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заключается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правообладателя,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объёма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территориального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временного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аспекта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пошлин,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законодательством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производится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рабочим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предыдущего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убедиться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охранному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истёк.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5.Проверка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сальдо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04"Нематериальные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активы"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остатков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прослеживания,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сальдо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содержит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каких-либо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искажений,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оказать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влияние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достоверность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(бухгалтерской)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удостовериться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остатки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</w:t>
      </w:r>
      <w:r w:rsidR="00926223" w:rsidRPr="001A57E7">
        <w:rPr>
          <w:color w:val="000000"/>
          <w:sz w:val="28"/>
          <w:szCs w:val="28"/>
        </w:rPr>
        <w:t>не</w:t>
      </w:r>
      <w:r w:rsidRPr="001A57E7">
        <w:rPr>
          <w:color w:val="000000"/>
          <w:sz w:val="28"/>
          <w:szCs w:val="28"/>
        </w:rPr>
        <w:t>сены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предыдущего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6.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перечня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организацию.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просмотра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источники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перечень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принадлежащих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состоянию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перечень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поступивших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7.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приёмке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предусматривает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ознакомление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приказом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приёмке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круга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входящих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её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дальнейшем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вопросам,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организацию.</w:t>
      </w:r>
    </w:p>
    <w:p w:rsidR="00B574EE" w:rsidRPr="001A57E7" w:rsidRDefault="00B574EE" w:rsidP="00CA5B3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8.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Основная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состоит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уверенности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поступившим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Заметим,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фиксироваться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объективного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существования,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просматриваются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сравниваются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(карточки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приёме-передаче)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устанавливают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возможные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ошибки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(формальные,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арифметические,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хронологические,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оценочные).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проведён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работников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аппарата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обработки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Кроме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целесообразно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могут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9.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обоснованности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обязательным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условием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ошибки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могут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отразиться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достоверности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(бухгалтерской)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отчетности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ряда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этапе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убедиться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соблюдались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требования,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640DDF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п</w:t>
      </w:r>
      <w:r w:rsidRPr="001A57E7">
        <w:rPr>
          <w:color w:val="000000"/>
          <w:sz w:val="28"/>
          <w:szCs w:val="28"/>
        </w:rPr>
        <w:t>риобретённым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плату,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обоснованность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особое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внимание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уделяется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дополнительных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состояние,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пригодное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запланированных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целях,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согласно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непосредственно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Необходимые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прослеживания,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пересчёта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арифметических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аналитических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изучения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элементов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взноса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уставный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капитал,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обратить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внимание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как: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учредительных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возможности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уставного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капитала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ненадёжными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средствами,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числе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необходимость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законодательством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случаях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привлечения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независимых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экспертов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ненадёжных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вкладов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учредителей.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взноса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уставный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капитал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сопоставления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внесённого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стоимостью,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указанный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согласовании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учредителями.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Проверяя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безвозмездно,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встречный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контроль,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установить,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добровольных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инвесторов,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выяснить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посредством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главного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рыночных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10.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применения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аналитической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08/5,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19/2,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68,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69,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75/2,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76,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91,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98/2.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оприходования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разрезе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корреспонденции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08/5.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поступивших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поступивших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сопоставления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наименования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количества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оприходованных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аналитическими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контрагентов.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11.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особое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внимание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обращено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правовое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очередь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силами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привлечением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сторонних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Затем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условиям,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содержащимся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п.7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самостоятельно,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сканирования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прослеживания,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обоснованность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привлечением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сторонних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обратить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внимание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перечня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принадлежащих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обязательств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12.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тождественности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отчетности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убедиться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тождественности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показателей,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отражающих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информацию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состоянии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движении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достижения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просматриваются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сопоставляется</w:t>
      </w:r>
      <w:r w:rsidRPr="001A57E7">
        <w:rPr>
          <w:color w:val="000000"/>
          <w:sz w:val="28"/>
          <w:szCs w:val="28"/>
        </w:rPr>
        <w:t>: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показатели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содержащей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остатками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оборотами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05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главной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книге;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остатки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обороты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субсчетам,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открытым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разрезе,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главной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книге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аналогичными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показателями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синтетического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учёта;</w:t>
      </w:r>
    </w:p>
    <w:p w:rsidR="00640DDF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остатки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обороты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субсчета,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открытым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разрезе,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счетам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аналитического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учёта.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574EE" w:rsidRPr="001A57E7" w:rsidRDefault="00252EA2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b/>
          <w:bCs/>
          <w:color w:val="000000"/>
          <w:sz w:val="28"/>
          <w:szCs w:val="28"/>
        </w:rPr>
        <w:t>1.3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Аудит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амортизации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нематериальных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B574EE" w:rsidRPr="001A57E7">
        <w:rPr>
          <w:b/>
          <w:bCs/>
          <w:color w:val="000000"/>
          <w:sz w:val="28"/>
          <w:szCs w:val="28"/>
        </w:rPr>
        <w:t>активов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4EE" w:rsidRPr="001A57E7" w:rsidRDefault="00640DD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Основная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установление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факта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соблюдения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несоблюдения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положений,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содержащихся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разделе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3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14/2000,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исчисления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отчислений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574EE"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однородные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исчислены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ежемесячных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отчислений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утверждённой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направлению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ряд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процедур: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обязательно,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её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организационно-распредительные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подтверждающие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специальной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экспертной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уполномоченной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совершать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приказы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соблюдения.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требованиям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п.17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каких-либо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пересматривались,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причину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обоснованность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пересмотрения.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отчислений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</w:t>
      </w:r>
      <w:r w:rsidR="00640DDF" w:rsidRPr="001A57E7">
        <w:rPr>
          <w:color w:val="000000"/>
          <w:sz w:val="28"/>
          <w:szCs w:val="28"/>
        </w:rPr>
        <w:t>смотрением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полезно</w:t>
      </w:r>
      <w:r w:rsidRPr="001A57E7">
        <w:rPr>
          <w:color w:val="000000"/>
          <w:sz w:val="28"/>
          <w:szCs w:val="28"/>
        </w:rPr>
        <w:t>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изменились,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информация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изменениях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раскрыты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640DDF"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изменений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денежном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выражении.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2.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необходимо: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проанализировать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элементы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ознакомиться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системой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однородных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процессов,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либо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нужд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управления;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методом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пересчёта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арифметических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работниками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однородных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используя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прослеживания,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утверждённого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используемому;</w:t>
      </w:r>
    </w:p>
    <w:p w:rsidR="00B574EE" w:rsidRPr="001A57E7" w:rsidRDefault="00B574EE" w:rsidP="00CA5B3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просматривая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сравнивая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окончания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начислений.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начислялась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когда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убыток.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3.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амортизационных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отчислений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посредством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05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сопоставляются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20,23,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25,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26,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29,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44,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97.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4.Проверка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однородных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B574EE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отражённые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элементов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каждой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группы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однородных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способам,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лицом.</w:t>
      </w:r>
    </w:p>
    <w:p w:rsidR="00640DDF" w:rsidRPr="001A57E7" w:rsidRDefault="00B574EE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Технология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заключается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сверке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положений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карточки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учёта.</w:t>
      </w:r>
    </w:p>
    <w:p w:rsidR="00CA5B3C" w:rsidRPr="001A57E7" w:rsidRDefault="00640DD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="00CA5B3C" w:rsidRPr="001A57E7">
        <w:rPr>
          <w:b/>
          <w:bCs/>
          <w:color w:val="000000"/>
          <w:sz w:val="28"/>
          <w:szCs w:val="28"/>
        </w:rPr>
        <w:t>1.4 Аудит операций по выбытию нематериальных активов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300" w:rsidRPr="001A57E7" w:rsidRDefault="009E0300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направлению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позволит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следующее: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правомерность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операциям,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выбытию,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доходов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лица.</w:t>
      </w:r>
    </w:p>
    <w:p w:rsidR="009E0300" w:rsidRPr="001A57E7" w:rsidRDefault="009E0300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ряд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процедур:</w:t>
      </w:r>
    </w:p>
    <w:p w:rsidR="009E0300" w:rsidRPr="001A57E7" w:rsidRDefault="009E0300" w:rsidP="00CA5B3C">
      <w:pPr>
        <w:numPr>
          <w:ilvl w:val="0"/>
          <w:numId w:val="3"/>
        </w:numPr>
        <w:tabs>
          <w:tab w:val="clear" w:pos="1564"/>
          <w:tab w:val="num" w:pos="1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Определение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причин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баланса.</w:t>
      </w:r>
    </w:p>
    <w:p w:rsidR="009E0300" w:rsidRPr="001A57E7" w:rsidRDefault="00801582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Цель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установить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просмотра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опросов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основные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причины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определить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перечень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принадлежащих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состоянию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начало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периода,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перечень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выбывших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течение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487E42" w:rsidRPr="001A57E7">
        <w:rPr>
          <w:color w:val="000000"/>
          <w:sz w:val="28"/>
          <w:szCs w:val="28"/>
        </w:rPr>
        <w:t>периода.</w:t>
      </w:r>
    </w:p>
    <w:p w:rsidR="00E95D6A" w:rsidRPr="001A57E7" w:rsidRDefault="00487E42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Кроме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принадлежащие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приносить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экономическую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выгоду.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(управленческих)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третьим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организации,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анализируются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производственные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процессы,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осуществляемые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организации,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просматриваются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сравниваются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соответствующие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заключённые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договоры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передачу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использование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5D6A" w:rsidRPr="001A57E7">
        <w:rPr>
          <w:color w:val="000000"/>
          <w:sz w:val="28"/>
          <w:szCs w:val="28"/>
        </w:rPr>
        <w:t>активов.</w:t>
      </w:r>
    </w:p>
    <w:p w:rsidR="00E95D6A" w:rsidRPr="001A57E7" w:rsidRDefault="00E95D6A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правомерности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оформления:</w:t>
      </w:r>
    </w:p>
    <w:p w:rsidR="00487E42" w:rsidRPr="001A57E7" w:rsidRDefault="00E95D6A" w:rsidP="00CA5B3C">
      <w:pPr>
        <w:numPr>
          <w:ilvl w:val="0"/>
          <w:numId w:val="4"/>
        </w:numPr>
        <w:tabs>
          <w:tab w:val="clear" w:pos="121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случае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уступке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(иным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аналогичным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договором)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отметкой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федеральном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исполнительной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власти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интеллектуальной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собственности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списание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№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НМА-1,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акт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списании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акты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3820C0" w:rsidRPr="001A57E7">
        <w:rPr>
          <w:color w:val="000000"/>
          <w:sz w:val="28"/>
          <w:szCs w:val="28"/>
        </w:rPr>
        <w:t>комиссии);</w:t>
      </w:r>
    </w:p>
    <w:p w:rsidR="003820C0" w:rsidRPr="001A57E7" w:rsidRDefault="003820C0" w:rsidP="00CA5B3C">
      <w:pPr>
        <w:numPr>
          <w:ilvl w:val="0"/>
          <w:numId w:val="4"/>
        </w:numPr>
        <w:tabs>
          <w:tab w:val="clear" w:pos="121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вклада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уставный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капитал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других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учредительных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документов;</w:t>
      </w:r>
    </w:p>
    <w:p w:rsidR="003820C0" w:rsidRPr="001A57E7" w:rsidRDefault="003820C0" w:rsidP="00CA5B3C">
      <w:pPr>
        <w:numPr>
          <w:ilvl w:val="0"/>
          <w:numId w:val="4"/>
        </w:numPr>
        <w:tabs>
          <w:tab w:val="clear" w:pos="121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безвозмездной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уступке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исключительных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(других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аналогичных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договоров)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необходимых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списание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46EA" w:rsidRPr="001A57E7">
        <w:rPr>
          <w:color w:val="000000"/>
          <w:sz w:val="28"/>
          <w:szCs w:val="28"/>
        </w:rPr>
        <w:t>активов;</w:t>
      </w:r>
    </w:p>
    <w:p w:rsidR="007E724B" w:rsidRPr="001A57E7" w:rsidRDefault="007E724B" w:rsidP="00CA5B3C">
      <w:pPr>
        <w:numPr>
          <w:ilvl w:val="0"/>
          <w:numId w:val="4"/>
        </w:numPr>
        <w:tabs>
          <w:tab w:val="clear" w:pos="121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случае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прекращения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(управленческих)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моральным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износом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истечением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приказов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(распоряжений)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других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документов.</w:t>
      </w:r>
    </w:p>
    <w:p w:rsidR="007E724B" w:rsidRPr="001A57E7" w:rsidRDefault="007E724B" w:rsidP="00CA5B3C">
      <w:pPr>
        <w:numPr>
          <w:ilvl w:val="0"/>
          <w:numId w:val="3"/>
        </w:numPr>
        <w:tabs>
          <w:tab w:val="clear" w:pos="1564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7E724B" w:rsidRPr="001A57E7" w:rsidRDefault="007E724B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предусматривает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ознакомление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аудитора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приказом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создании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комиссии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оценке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списанию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определение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круга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лиц,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входящих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её</w:t>
      </w:r>
      <w:r w:rsidR="00CA5B3C" w:rsidRPr="001A57E7">
        <w:rPr>
          <w:color w:val="000000"/>
          <w:sz w:val="28"/>
          <w:szCs w:val="28"/>
        </w:rPr>
        <w:t xml:space="preserve"> </w:t>
      </w:r>
      <w:r w:rsidR="00EF77F7" w:rsidRPr="001A57E7">
        <w:rPr>
          <w:color w:val="000000"/>
          <w:sz w:val="28"/>
          <w:szCs w:val="28"/>
        </w:rPr>
        <w:t>состав.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Далее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проводиться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опрос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лиц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выбытием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AF028C" w:rsidRPr="001A57E7">
        <w:rPr>
          <w:color w:val="000000"/>
          <w:sz w:val="28"/>
          <w:szCs w:val="28"/>
        </w:rPr>
        <w:t>организации.</w:t>
      </w:r>
    </w:p>
    <w:p w:rsidR="00AF028C" w:rsidRPr="001A57E7" w:rsidRDefault="00AF028C" w:rsidP="00CA5B3C">
      <w:pPr>
        <w:numPr>
          <w:ilvl w:val="0"/>
          <w:numId w:val="3"/>
        </w:numPr>
        <w:tabs>
          <w:tab w:val="clear" w:pos="1564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AF028C" w:rsidRPr="001A57E7" w:rsidRDefault="00AF028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Основная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задача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которыми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001EC7" w:rsidRPr="001A57E7">
        <w:rPr>
          <w:color w:val="000000"/>
          <w:sz w:val="28"/>
          <w:szCs w:val="28"/>
        </w:rPr>
        <w:t>выбытием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001EC7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001EC7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001EC7" w:rsidRPr="001A57E7">
        <w:rPr>
          <w:color w:val="000000"/>
          <w:sz w:val="28"/>
          <w:szCs w:val="28"/>
        </w:rPr>
        <w:t>активов.</w:t>
      </w:r>
    </w:p>
    <w:p w:rsidR="007C5D43" w:rsidRPr="001A57E7" w:rsidRDefault="007C5D43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просматривает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(карточки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списании)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полистно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устанавливает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возможные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ошибки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(формальные,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арифметические,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хронологические,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оценочные).</w:t>
      </w:r>
    </w:p>
    <w:p w:rsidR="007C5D43" w:rsidRPr="001A57E7" w:rsidRDefault="007C5D43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проведён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опрос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работников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обработки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802874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02874"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802874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802874" w:rsidRPr="001A57E7">
        <w:rPr>
          <w:color w:val="000000"/>
          <w:sz w:val="28"/>
          <w:szCs w:val="28"/>
        </w:rPr>
        <w:t>активов.</w:t>
      </w:r>
    </w:p>
    <w:p w:rsidR="000F0857" w:rsidRPr="001A57E7" w:rsidRDefault="00802874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Кроме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целесообразно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сравнения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могут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</w:t>
      </w:r>
      <w:r w:rsidR="000F0857" w:rsidRPr="001A57E7">
        <w:rPr>
          <w:color w:val="000000"/>
          <w:sz w:val="28"/>
          <w:szCs w:val="28"/>
        </w:rPr>
        <w:t>оследующих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0F0857"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0F0857" w:rsidRPr="001A57E7">
        <w:rPr>
          <w:color w:val="000000"/>
          <w:sz w:val="28"/>
          <w:szCs w:val="28"/>
        </w:rPr>
        <w:t>процедур.</w:t>
      </w:r>
    </w:p>
    <w:p w:rsidR="00802874" w:rsidRPr="001A57E7" w:rsidRDefault="000F0857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4.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выбытию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1049A6" w:rsidRPr="001A57E7">
        <w:rPr>
          <w:color w:val="000000"/>
          <w:sz w:val="28"/>
          <w:szCs w:val="28"/>
        </w:rPr>
        <w:t>активов.</w:t>
      </w:r>
    </w:p>
    <w:p w:rsidR="001049A6" w:rsidRPr="001A57E7" w:rsidRDefault="001049A6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Данная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применения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аналитической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счетов.</w:t>
      </w:r>
    </w:p>
    <w:p w:rsidR="001049A6" w:rsidRPr="001A57E7" w:rsidRDefault="000428A4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Так,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счетам: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05,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52,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58,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62,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68,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76,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91.</w:t>
      </w:r>
    </w:p>
    <w:p w:rsidR="000428A4" w:rsidRPr="001A57E7" w:rsidRDefault="000428A4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Своевременность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сопоставления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указанной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</w:t>
      </w:r>
      <w:r w:rsidR="005D77F0" w:rsidRPr="001A57E7">
        <w:rPr>
          <w:color w:val="000000"/>
          <w:sz w:val="28"/>
          <w:szCs w:val="28"/>
        </w:rPr>
        <w:t>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учёта,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датами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регистрации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соответствующих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договоров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федеральном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органе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исполнительной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власти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интеллектуальной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собственности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датами,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указанными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учётных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D77F0" w:rsidRPr="001A57E7">
        <w:rPr>
          <w:color w:val="000000"/>
          <w:sz w:val="28"/>
          <w:szCs w:val="28"/>
        </w:rPr>
        <w:t>документах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№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НМА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1,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акт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списании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92DF5" w:rsidRPr="001A57E7">
        <w:rPr>
          <w:color w:val="000000"/>
          <w:sz w:val="28"/>
          <w:szCs w:val="28"/>
        </w:rPr>
        <w:t>активов).</w:t>
      </w:r>
    </w:p>
    <w:p w:rsidR="003E2CC2" w:rsidRPr="001A57E7" w:rsidRDefault="003E2CC2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списывается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истечением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52EC0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баланса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сопоставить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дату,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указанную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акте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списание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объекта,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подписанном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специальной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комиссией,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датой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окончания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срока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действия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охранного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C52EC0" w:rsidRPr="001A57E7">
        <w:rPr>
          <w:color w:val="000000"/>
          <w:sz w:val="28"/>
          <w:szCs w:val="28"/>
        </w:rPr>
        <w:t>документа.</w:t>
      </w:r>
    </w:p>
    <w:p w:rsidR="00C52EC0" w:rsidRPr="001A57E7" w:rsidRDefault="00C52EC0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Осуществляя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проанализировать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совершённые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конце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начале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достаточных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относящиеся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периоду,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аудируемого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лица.</w:t>
      </w:r>
    </w:p>
    <w:p w:rsidR="00044AB8" w:rsidRPr="001A57E7" w:rsidRDefault="00C52EC0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прослеживания,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заключающийся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просмотре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относящихся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операциям</w:t>
      </w:r>
      <w:r w:rsidR="00824186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="00824186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824186" w:rsidRPr="001A57E7">
        <w:rPr>
          <w:color w:val="000000"/>
          <w:sz w:val="28"/>
          <w:szCs w:val="28"/>
        </w:rPr>
        <w:t>направлении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данным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данным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93012F" w:rsidRPr="001A57E7">
        <w:rPr>
          <w:color w:val="000000"/>
          <w:sz w:val="28"/>
          <w:szCs w:val="28"/>
        </w:rPr>
        <w:t>(проверяется</w:t>
      </w:r>
      <w:r w:rsidR="00BF076B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действительно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списан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нематериальный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актив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завышена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конец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отчётного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периода),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обратном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порядке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финансовой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данным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регистров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(проверяется,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отражены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полностью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своевременно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все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расходы,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доходы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BF076B" w:rsidRPr="001A57E7">
        <w:rPr>
          <w:color w:val="000000"/>
          <w:sz w:val="28"/>
          <w:szCs w:val="28"/>
        </w:rPr>
        <w:t>активов</w:t>
      </w:r>
      <w:r w:rsidR="00515911" w:rsidRPr="001A57E7">
        <w:rPr>
          <w:color w:val="000000"/>
          <w:sz w:val="28"/>
          <w:szCs w:val="28"/>
        </w:rPr>
        <w:t>)</w:t>
      </w:r>
      <w:r w:rsidR="00CF56DF" w:rsidRPr="001A57E7">
        <w:rPr>
          <w:color w:val="000000"/>
          <w:sz w:val="28"/>
          <w:szCs w:val="28"/>
        </w:rPr>
        <w:t>.</w:t>
      </w:r>
    </w:p>
    <w:p w:rsidR="00CF56DF" w:rsidRPr="001A57E7" w:rsidRDefault="00CF56DF" w:rsidP="00CA5B3C">
      <w:pPr>
        <w:numPr>
          <w:ilvl w:val="0"/>
          <w:numId w:val="3"/>
        </w:numPr>
        <w:tabs>
          <w:tab w:val="clear" w:pos="1564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инвентаризаций</w:t>
      </w:r>
    </w:p>
    <w:p w:rsidR="00CF56DF" w:rsidRPr="001A57E7" w:rsidRDefault="00CF56D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выяснить,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проводятся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случаях,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законодательством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инициативные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своевременно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оформляются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проведения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инвентаризаций,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какие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меры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устранению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недостатков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1A31CF" w:rsidRPr="001A57E7">
        <w:rPr>
          <w:color w:val="000000"/>
          <w:sz w:val="28"/>
          <w:szCs w:val="28"/>
        </w:rPr>
        <w:t>принимаются.</w:t>
      </w:r>
    </w:p>
    <w:p w:rsidR="001A31CF" w:rsidRPr="001A57E7" w:rsidRDefault="001A31C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Получить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указанную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информацию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полистного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просмотра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документов:</w:t>
      </w:r>
    </w:p>
    <w:p w:rsidR="001A31CF" w:rsidRPr="001A57E7" w:rsidRDefault="001A31CF" w:rsidP="00CA5B3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Приказа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инвентаризации;</w:t>
      </w:r>
    </w:p>
    <w:p w:rsidR="001A31CF" w:rsidRPr="001A57E7" w:rsidRDefault="001A31CF" w:rsidP="00CA5B3C">
      <w:pPr>
        <w:numPr>
          <w:ilvl w:val="0"/>
          <w:numId w:val="35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Приказа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руководителя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постоянной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действующей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инвентаризационной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комиссии;</w:t>
      </w:r>
    </w:p>
    <w:p w:rsidR="001A31CF" w:rsidRPr="001A57E7" w:rsidRDefault="001A31CF" w:rsidP="00CA5B3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Книги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приказов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инвентаризации;</w:t>
      </w:r>
    </w:p>
    <w:p w:rsidR="00044AB8" w:rsidRPr="001A57E7" w:rsidRDefault="001A31CF" w:rsidP="00CA5B3C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Инвентаризационной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описи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</w:t>
      </w:r>
      <w:r w:rsidR="00044AB8" w:rsidRPr="001A57E7">
        <w:rPr>
          <w:color w:val="000000"/>
          <w:sz w:val="28"/>
          <w:szCs w:val="28"/>
        </w:rPr>
        <w:t>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044AB8" w:rsidRPr="001A57E7">
        <w:rPr>
          <w:color w:val="000000"/>
          <w:sz w:val="28"/>
          <w:szCs w:val="28"/>
        </w:rPr>
        <w:t>активов</w:t>
      </w:r>
    </w:p>
    <w:p w:rsidR="001A31CF" w:rsidRPr="001A57E7" w:rsidRDefault="001A31C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(форма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№</w:t>
      </w:r>
      <w:r w:rsidR="00CA5B3C" w:rsidRPr="001A57E7">
        <w:rPr>
          <w:color w:val="000000"/>
          <w:sz w:val="28"/>
          <w:szCs w:val="28"/>
        </w:rPr>
        <w:t xml:space="preserve"> </w:t>
      </w:r>
      <w:r w:rsidR="006B421C" w:rsidRPr="001A57E7">
        <w:rPr>
          <w:color w:val="000000"/>
          <w:sz w:val="28"/>
          <w:szCs w:val="28"/>
        </w:rPr>
        <w:t>ИНВ.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1а);</w:t>
      </w:r>
    </w:p>
    <w:p w:rsidR="000F0857" w:rsidRPr="001A57E7" w:rsidRDefault="001A31CF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Проверка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правильности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отражения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путём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взаимного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контроля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корреспондирующих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счетов: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05,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08/5,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70,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73/2,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91,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94,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98/4.</w:t>
      </w: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B3C" w:rsidRPr="001A57E7" w:rsidRDefault="00CA5B3C" w:rsidP="00CA5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57E7">
        <w:rPr>
          <w:b/>
          <w:bCs/>
          <w:color w:val="000000"/>
          <w:sz w:val="28"/>
          <w:szCs w:val="28"/>
        </w:rPr>
        <w:t>1.5 Аудит налогообложения в операциях с нематериальными активами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7BCD" w:rsidRPr="001A57E7" w:rsidRDefault="005B7BCD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налогообложения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изучает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политику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налогового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доказательств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соблюдения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требований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действующего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налогового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дополнительной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информационной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базы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налоговые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регистры.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рассмотрении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вопросов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налогообложения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виду,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применительно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категории,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нормативные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учитывают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особенности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создания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(приобретения),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функционирования,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(передачи).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взимаются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налоги: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(НДС);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прибыль.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Исчисление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обстоятельствами:</w:t>
      </w:r>
    </w:p>
    <w:p w:rsidR="008D706F" w:rsidRPr="001A57E7" w:rsidRDefault="008D706F" w:rsidP="00CA5B3C">
      <w:pPr>
        <w:numPr>
          <w:ilvl w:val="0"/>
          <w:numId w:val="14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условиями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8D706F" w:rsidRPr="001A57E7" w:rsidRDefault="008D706F" w:rsidP="00CA5B3C">
      <w:pPr>
        <w:numPr>
          <w:ilvl w:val="0"/>
          <w:numId w:val="14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назначением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конкретных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предназначенных:</w:t>
      </w:r>
    </w:p>
    <w:p w:rsidR="008D706F" w:rsidRPr="001A57E7" w:rsidRDefault="008D706F" w:rsidP="00CA5B3C">
      <w:pPr>
        <w:numPr>
          <w:ilvl w:val="1"/>
          <w:numId w:val="14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облагаемых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стоимость;</w:t>
      </w:r>
    </w:p>
    <w:p w:rsidR="008D706F" w:rsidRPr="001A57E7" w:rsidRDefault="008D706F" w:rsidP="00CA5B3C">
      <w:pPr>
        <w:numPr>
          <w:ilvl w:val="1"/>
          <w:numId w:val="14"/>
        </w:numPr>
        <w:tabs>
          <w:tab w:val="clear" w:pos="1440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облагаемых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учитывать:</w:t>
      </w:r>
    </w:p>
    <w:p w:rsidR="008D706F" w:rsidRPr="001A57E7" w:rsidRDefault="008D706F" w:rsidP="00CA5B3C">
      <w:pPr>
        <w:numPr>
          <w:ilvl w:val="0"/>
          <w:numId w:val="37"/>
        </w:numPr>
        <w:tabs>
          <w:tab w:val="clear" w:pos="644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должен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получатель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(покупатель)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оплачивать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поставщику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(продавцу,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передающей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стороне)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стоимость;</w:t>
      </w:r>
    </w:p>
    <w:p w:rsidR="008D706F" w:rsidRPr="001A57E7" w:rsidRDefault="008D706F" w:rsidP="00CA5B3C">
      <w:pPr>
        <w:numPr>
          <w:ilvl w:val="0"/>
          <w:numId w:val="15"/>
        </w:numPr>
        <w:tabs>
          <w:tab w:val="clear" w:pos="1004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куда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отнести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8D706F" w:rsidRPr="001A57E7" w:rsidRDefault="00044AB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</w:t>
      </w:r>
      <w:r w:rsidR="008D706F" w:rsidRPr="001A57E7">
        <w:rPr>
          <w:color w:val="000000"/>
          <w:sz w:val="28"/>
          <w:szCs w:val="28"/>
        </w:rPr>
        <w:t>ассмотрим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операции:</w:t>
      </w:r>
    </w:p>
    <w:p w:rsidR="008D706F" w:rsidRPr="001A57E7" w:rsidRDefault="008D706F" w:rsidP="00CA5B3C">
      <w:pPr>
        <w:numPr>
          <w:ilvl w:val="1"/>
          <w:numId w:val="15"/>
        </w:numPr>
        <w:tabs>
          <w:tab w:val="clear" w:pos="1724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предназначенных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изготовления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облагаемых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действует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порядок: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предприятием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приобретённого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издержки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обращения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через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месяцев.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виду,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возникает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тогда,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когда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произошёл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тогда,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когда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наступил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полезного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приобретённого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предприятия.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приобретённые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числились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капитальных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вложений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активов)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следовательно,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оснований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было.</w:t>
      </w:r>
    </w:p>
    <w:p w:rsidR="008D706F" w:rsidRPr="001A57E7" w:rsidRDefault="008D706F" w:rsidP="00CA5B3C">
      <w:pPr>
        <w:numPr>
          <w:ilvl w:val="1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используемых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изготовления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облагаемых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0E53D8" w:rsidRPr="001A57E7">
        <w:rPr>
          <w:color w:val="000000"/>
          <w:sz w:val="28"/>
          <w:szCs w:val="28"/>
        </w:rPr>
        <w:t>иметь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виду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следующее: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освобождённых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списываются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</w:t>
      </w:r>
      <w:r w:rsidR="000E53D8" w:rsidRPr="001A57E7">
        <w:rPr>
          <w:color w:val="000000"/>
          <w:sz w:val="28"/>
          <w:szCs w:val="28"/>
        </w:rPr>
        <w:t>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0E53D8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0E53D8" w:rsidRPr="001A57E7">
        <w:rPr>
          <w:color w:val="000000"/>
          <w:sz w:val="28"/>
          <w:szCs w:val="28"/>
        </w:rPr>
        <w:t>общеустановленном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0E53D8" w:rsidRPr="001A57E7">
        <w:rPr>
          <w:color w:val="000000"/>
          <w:sz w:val="28"/>
          <w:szCs w:val="28"/>
        </w:rPr>
        <w:t>порядке.</w:t>
      </w:r>
      <w:r w:rsidR="00CA5B3C" w:rsidRPr="001A57E7">
        <w:rPr>
          <w:color w:val="000000"/>
          <w:sz w:val="28"/>
          <w:szCs w:val="28"/>
        </w:rPr>
        <w:t xml:space="preserve"> </w:t>
      </w:r>
      <w:r w:rsidR="000E53D8" w:rsidRPr="001A57E7">
        <w:rPr>
          <w:color w:val="000000"/>
          <w:sz w:val="28"/>
          <w:szCs w:val="28"/>
        </w:rPr>
        <w:t>П</w:t>
      </w:r>
      <w:r w:rsidRPr="001A57E7">
        <w:rPr>
          <w:color w:val="000000"/>
          <w:sz w:val="28"/>
          <w:szCs w:val="28"/>
        </w:rPr>
        <w:t>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продукции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(работ,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освобождённых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относятся,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учитываются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издержки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производства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обращения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через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порядке.</w:t>
      </w:r>
    </w:p>
    <w:p w:rsidR="008D706F" w:rsidRPr="001A57E7" w:rsidRDefault="008D706F" w:rsidP="00CA5B3C">
      <w:pPr>
        <w:numPr>
          <w:ilvl w:val="1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Предприятие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стать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обладателем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выполнения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которому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исполнитель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освобождается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стоимость.</w:t>
      </w:r>
    </w:p>
    <w:p w:rsidR="000E53D8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bCs/>
          <w:color w:val="000000"/>
          <w:sz w:val="28"/>
          <w:szCs w:val="28"/>
        </w:rPr>
        <w:t>Исчисление</w:t>
      </w:r>
      <w:r w:rsidR="00CA5B3C" w:rsidRPr="001A57E7">
        <w:rPr>
          <w:bCs/>
          <w:i/>
          <w:iCs/>
          <w:color w:val="000000"/>
          <w:sz w:val="28"/>
          <w:szCs w:val="28"/>
        </w:rPr>
        <w:t xml:space="preserve"> </w:t>
      </w:r>
      <w:r w:rsidRPr="001A57E7">
        <w:rPr>
          <w:bCs/>
          <w:i/>
          <w:iCs/>
          <w:color w:val="000000"/>
          <w:sz w:val="28"/>
          <w:szCs w:val="28"/>
        </w:rPr>
        <w:t>НДС</w:t>
      </w:r>
      <w:r w:rsidR="00CA5B3C" w:rsidRPr="001A57E7">
        <w:rPr>
          <w:bCs/>
          <w:i/>
          <w:iCs/>
          <w:color w:val="000000"/>
          <w:sz w:val="28"/>
          <w:szCs w:val="28"/>
        </w:rPr>
        <w:t xml:space="preserve"> </w:t>
      </w:r>
      <w:r w:rsidRPr="001A57E7">
        <w:rPr>
          <w:bCs/>
          <w:i/>
          <w:iCs/>
          <w:color w:val="000000"/>
          <w:sz w:val="28"/>
          <w:szCs w:val="28"/>
        </w:rPr>
        <w:t>при</w:t>
      </w:r>
      <w:r w:rsidR="00CA5B3C" w:rsidRPr="001A57E7">
        <w:rPr>
          <w:bCs/>
          <w:i/>
          <w:iCs/>
          <w:color w:val="000000"/>
          <w:sz w:val="28"/>
          <w:szCs w:val="28"/>
        </w:rPr>
        <w:t xml:space="preserve"> </w:t>
      </w:r>
      <w:r w:rsidRPr="001A57E7">
        <w:rPr>
          <w:bCs/>
          <w:i/>
          <w:iCs/>
          <w:color w:val="000000"/>
          <w:sz w:val="28"/>
          <w:szCs w:val="28"/>
        </w:rPr>
        <w:t>выбытии</w:t>
      </w:r>
      <w:r w:rsidR="00CA5B3C" w:rsidRPr="001A57E7">
        <w:rPr>
          <w:bCs/>
          <w:i/>
          <w:iCs/>
          <w:color w:val="000000"/>
          <w:sz w:val="28"/>
          <w:szCs w:val="28"/>
        </w:rPr>
        <w:t xml:space="preserve"> </w:t>
      </w:r>
      <w:r w:rsidRPr="001A57E7">
        <w:rPr>
          <w:bCs/>
          <w:i/>
          <w:iCs/>
          <w:color w:val="000000"/>
          <w:sz w:val="28"/>
          <w:szCs w:val="28"/>
        </w:rPr>
        <w:t>нематериальных</w:t>
      </w:r>
      <w:r w:rsidR="00CA5B3C" w:rsidRPr="001A57E7">
        <w:rPr>
          <w:bCs/>
          <w:i/>
          <w:iCs/>
          <w:color w:val="000000"/>
          <w:sz w:val="28"/>
          <w:szCs w:val="28"/>
        </w:rPr>
        <w:t xml:space="preserve"> </w:t>
      </w:r>
      <w:r w:rsidRPr="001A57E7">
        <w:rPr>
          <w:bCs/>
          <w:i/>
          <w:iCs/>
          <w:color w:val="000000"/>
          <w:sz w:val="28"/>
          <w:szCs w:val="28"/>
        </w:rPr>
        <w:t>активов</w:t>
      </w:r>
      <w:r w:rsidRPr="001A57E7">
        <w:rPr>
          <w:color w:val="000000"/>
          <w:sz w:val="28"/>
          <w:szCs w:val="28"/>
        </w:rPr>
        <w:t>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способов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очередь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необходимо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остановиться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таких,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как:</w:t>
      </w:r>
    </w:p>
    <w:p w:rsidR="008D706F" w:rsidRPr="001A57E7" w:rsidRDefault="00515911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реализация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(продажа);</w:t>
      </w:r>
    </w:p>
    <w:p w:rsidR="008D706F" w:rsidRPr="001A57E7" w:rsidRDefault="00515911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2.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безвозмездная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8D706F" w:rsidRPr="001A57E7">
        <w:rPr>
          <w:color w:val="000000"/>
          <w:sz w:val="28"/>
          <w:szCs w:val="28"/>
        </w:rPr>
        <w:t>передача.</w:t>
      </w:r>
    </w:p>
    <w:p w:rsidR="008D706F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возможны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ситуации:</w:t>
      </w:r>
    </w:p>
    <w:p w:rsidR="008D706F" w:rsidRPr="001A57E7" w:rsidRDefault="008D706F" w:rsidP="00CA5B3C">
      <w:pPr>
        <w:numPr>
          <w:ilvl w:val="1"/>
          <w:numId w:val="18"/>
        </w:numPr>
        <w:tabs>
          <w:tab w:val="clear" w:pos="1724"/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без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случае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оборота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</w:t>
      </w:r>
      <w:r w:rsidR="004B3EC2" w:rsidRPr="001A57E7">
        <w:rPr>
          <w:color w:val="000000"/>
          <w:sz w:val="28"/>
          <w:szCs w:val="28"/>
        </w:rPr>
        <w:t>зации</w:t>
      </w:r>
      <w:r w:rsidRPr="001A57E7">
        <w:rPr>
          <w:color w:val="000000"/>
          <w:sz w:val="28"/>
          <w:szCs w:val="28"/>
        </w:rPr>
        <w:t>;</w:t>
      </w:r>
    </w:p>
    <w:p w:rsidR="008D706F" w:rsidRPr="001A57E7" w:rsidRDefault="008D706F" w:rsidP="00CA5B3C">
      <w:pPr>
        <w:numPr>
          <w:ilvl w:val="1"/>
          <w:numId w:val="18"/>
        </w:numPr>
        <w:tabs>
          <w:tab w:val="clear" w:pos="172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равными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долями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подлежащих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внесению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исчисляется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разница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между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продажной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отнесённой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Соответственно</w:t>
      </w:r>
      <w:r w:rsidR="006F448C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если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покупке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полностью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зачтена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вносится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налога.</w:t>
      </w:r>
    </w:p>
    <w:p w:rsidR="00044AB8" w:rsidRPr="001A57E7" w:rsidRDefault="008D706F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безвозмездной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плательщиком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выступает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передающая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сторона.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оборот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налогообложения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исходя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рыночных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цен,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сложившихся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момент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ниже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цен,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определённых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фактической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себестоимости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прибыли,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исчисленной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предельному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уровню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рентабельности,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для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предприятий-монополистов.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06F" w:rsidRPr="001A57E7" w:rsidRDefault="00044AB8" w:rsidP="00CA5B3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="00CA1537" w:rsidRPr="001A57E7">
        <w:rPr>
          <w:b/>
          <w:bCs/>
          <w:color w:val="000000"/>
          <w:sz w:val="28"/>
          <w:szCs w:val="28"/>
        </w:rPr>
        <w:t>2.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Аудит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операций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с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нематериальными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активами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ООО</w:t>
      </w:r>
      <w:r w:rsidR="00CA5B3C" w:rsidRPr="001A57E7">
        <w:rPr>
          <w:b/>
          <w:bCs/>
          <w:color w:val="000000"/>
          <w:sz w:val="28"/>
          <w:szCs w:val="28"/>
        </w:rPr>
        <w:t xml:space="preserve"> </w:t>
      </w:r>
      <w:r w:rsidR="00CA1537" w:rsidRPr="001A57E7">
        <w:rPr>
          <w:b/>
          <w:bCs/>
          <w:color w:val="000000"/>
          <w:sz w:val="28"/>
          <w:szCs w:val="28"/>
        </w:rPr>
        <w:t>«Альфа»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537" w:rsidRPr="001A57E7" w:rsidRDefault="00570E81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Рассмотрим,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проводит</w:t>
      </w:r>
      <w:r w:rsidR="00CA1537" w:rsidRPr="001A57E7">
        <w:rPr>
          <w:color w:val="000000"/>
          <w:sz w:val="28"/>
          <w:szCs w:val="28"/>
        </w:rPr>
        <w:t>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CA1537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«Альфа»</w:t>
      </w:r>
      <w:r w:rsidR="00CA1537" w:rsidRPr="001A57E7">
        <w:rPr>
          <w:color w:val="000000"/>
          <w:sz w:val="28"/>
          <w:szCs w:val="28"/>
        </w:rPr>
        <w:t>:</w:t>
      </w:r>
    </w:p>
    <w:p w:rsidR="00180230" w:rsidRPr="001A57E7" w:rsidRDefault="00180230" w:rsidP="00CA5B3C">
      <w:pPr>
        <w:numPr>
          <w:ilvl w:val="0"/>
          <w:numId w:val="22"/>
        </w:numPr>
        <w:tabs>
          <w:tab w:val="clear" w:pos="114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«Альфа»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разрабатывает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товарный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знак.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рекламного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агентства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разработке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товарного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составила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100000руб.,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20000руб.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Сбор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товарного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составил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18000руб.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регистрах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произведены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записи: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120000руб.;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100000руб.;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20000руб.;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8113D2" w:rsidRPr="001A57E7">
        <w:rPr>
          <w:color w:val="000000"/>
          <w:sz w:val="28"/>
          <w:szCs w:val="28"/>
        </w:rPr>
        <w:t>76</w:t>
      </w:r>
      <w:r w:rsidR="00CA5B3C" w:rsidRPr="001A57E7">
        <w:rPr>
          <w:color w:val="000000"/>
          <w:sz w:val="28"/>
          <w:szCs w:val="28"/>
        </w:rPr>
        <w:t xml:space="preserve"> </w:t>
      </w:r>
      <w:r w:rsidR="008113D2"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8113D2"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="008113D2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8113D2" w:rsidRPr="001A57E7">
        <w:rPr>
          <w:color w:val="000000"/>
          <w:sz w:val="28"/>
          <w:szCs w:val="28"/>
        </w:rPr>
        <w:t>18000руб.;</w:t>
      </w:r>
    </w:p>
    <w:p w:rsidR="008113D2" w:rsidRPr="001A57E7" w:rsidRDefault="008113D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26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76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18000руб.;</w:t>
      </w:r>
    </w:p>
    <w:p w:rsidR="008113D2" w:rsidRPr="001A57E7" w:rsidRDefault="008113D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100000руб.;</w:t>
      </w:r>
    </w:p>
    <w:p w:rsidR="008113D2" w:rsidRPr="001A57E7" w:rsidRDefault="008113D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20000руб.</w:t>
      </w:r>
    </w:p>
    <w:p w:rsidR="008113D2" w:rsidRPr="001A57E7" w:rsidRDefault="008113D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Решение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аудитора:</w:t>
      </w:r>
    </w:p>
    <w:p w:rsidR="00885D8F" w:rsidRPr="001A57E7" w:rsidRDefault="008113D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ситуации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организацией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неправильно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сформирована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первоначальная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нематериального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актив</w:t>
      </w:r>
      <w:r w:rsidR="004A548E" w:rsidRPr="001A57E7">
        <w:rPr>
          <w:color w:val="000000"/>
          <w:sz w:val="28"/>
          <w:szCs w:val="28"/>
        </w:rPr>
        <w:t>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4A548E"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товарного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знака.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Положением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учёту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долгосрочных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инвестиций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положения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ведению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бухгалтерской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отчётности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хозяйственные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операции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следовало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отразить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следующим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образом: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100000руб.;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20000руб.;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76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18000руб.;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76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18000руб.;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118000руб.;</w:t>
      </w:r>
    </w:p>
    <w:p w:rsidR="00B51A88" w:rsidRPr="001A57E7" w:rsidRDefault="00B51A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20000руб.</w:t>
      </w:r>
    </w:p>
    <w:p w:rsidR="00B51A88" w:rsidRPr="001A57E7" w:rsidRDefault="00E8002E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результате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методологии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завышены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затраты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18000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руб.</w:t>
      </w:r>
    </w:p>
    <w:p w:rsidR="00291DC0" w:rsidRPr="001A57E7" w:rsidRDefault="004C66F4" w:rsidP="00CA5B3C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«Альфа»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купила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физического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приватизированную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квартиру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поставила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активы».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нотариальной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конторе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купли-продажи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наличными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521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рубль.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продавцом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произведён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расчётного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лицевой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продавца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Сбербанке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110000рублей,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эту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Сбербанку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780рублей.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Уплаченные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нотариальной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конторе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Сбербанку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списаны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затраты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сторонних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сделаны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записи:</w:t>
      </w:r>
    </w:p>
    <w:p w:rsidR="004C66F4" w:rsidRPr="001A57E7" w:rsidRDefault="004C66F4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44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521р</w:t>
      </w:r>
      <w:r w:rsidR="00C94485" w:rsidRPr="001A57E7">
        <w:rPr>
          <w:color w:val="000000"/>
          <w:sz w:val="28"/>
          <w:szCs w:val="28"/>
        </w:rPr>
        <w:t>уб.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оплачены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нотариальной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конторы;</w:t>
      </w:r>
    </w:p>
    <w:p w:rsidR="004C66F4" w:rsidRPr="001A57E7" w:rsidRDefault="004C66F4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110000руб.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оплачена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C94485" w:rsidRPr="001A57E7">
        <w:rPr>
          <w:color w:val="000000"/>
          <w:sz w:val="28"/>
          <w:szCs w:val="28"/>
        </w:rPr>
        <w:t>покупки;</w:t>
      </w:r>
    </w:p>
    <w:p w:rsidR="00C94485" w:rsidRPr="001A57E7" w:rsidRDefault="00C94485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44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680руб.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оплачены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банка.</w:t>
      </w:r>
    </w:p>
    <w:p w:rsidR="00C94485" w:rsidRPr="001A57E7" w:rsidRDefault="00C94485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Решение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аудитора:</w:t>
      </w:r>
    </w:p>
    <w:p w:rsidR="00C94485" w:rsidRPr="001A57E7" w:rsidRDefault="00C94485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изготовление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доведению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состояния,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они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пригодны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использованию.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купли-продажи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банку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нотариальной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конторы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купли-продажи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связанные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обслуживанием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переводу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денежных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средств,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должны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включаться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расходы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приобретение,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изготовление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доведение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до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состояния,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котором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они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пригодны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E85913" w:rsidRPr="001A57E7">
        <w:rPr>
          <w:color w:val="000000"/>
          <w:sz w:val="28"/>
          <w:szCs w:val="28"/>
        </w:rPr>
        <w:t>использованию:</w:t>
      </w:r>
    </w:p>
    <w:p w:rsidR="00E85913" w:rsidRPr="001A57E7" w:rsidRDefault="00E85913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521руб.</w:t>
      </w:r>
    </w:p>
    <w:p w:rsidR="00E85913" w:rsidRPr="001A57E7" w:rsidRDefault="00E85913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110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000руб.</w:t>
      </w:r>
    </w:p>
    <w:p w:rsidR="00E85913" w:rsidRPr="001A57E7" w:rsidRDefault="00E85913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51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780руб.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Дт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–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111301руб.</w:t>
      </w:r>
    </w:p>
    <w:p w:rsidR="00180230" w:rsidRPr="001A57E7" w:rsidRDefault="00180230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Таким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образом,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завышена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себестоимость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занижена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имущества,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885D8F" w:rsidRPr="001A57E7">
        <w:rPr>
          <w:color w:val="000000"/>
          <w:sz w:val="28"/>
          <w:szCs w:val="28"/>
        </w:rPr>
        <w:t>следовательно,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занижены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имущество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прибыль.</w:t>
      </w:r>
    </w:p>
    <w:p w:rsidR="008C63B2" w:rsidRPr="001A57E7" w:rsidRDefault="008C63B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3.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«Альфа»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приобрела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купли-продажи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пользование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базой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данных,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которые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приносят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доход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месяцев.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Оплата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1920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произведена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купли-продажи.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Ежемесячно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проводилось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размере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178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руб.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учитывался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04</w:t>
      </w:r>
      <w:r w:rsidR="004A548E" w:rsidRPr="001A57E7">
        <w:rPr>
          <w:color w:val="000000"/>
          <w:sz w:val="28"/>
          <w:szCs w:val="28"/>
        </w:rPr>
        <w:t>.</w:t>
      </w:r>
    </w:p>
    <w:p w:rsidR="008C63B2" w:rsidRPr="001A57E7" w:rsidRDefault="008C63B2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Решение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аудитора:</w:t>
      </w:r>
    </w:p>
    <w:p w:rsidR="008C63B2" w:rsidRPr="001A57E7" w:rsidRDefault="0070778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ситуации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допущена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ошибка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неправильным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отнесением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приобретённого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права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базой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данных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объекту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так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как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соответствии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п.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55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Положения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ведению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одним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из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критериев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отнесения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нематериальным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активам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является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длительный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период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использования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(более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1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года).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Кроме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того,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нарушена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методология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оприходования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приобретаемых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плату,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должна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быть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первоначально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отражена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счёте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08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«Капитальные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555592" w:rsidRPr="001A57E7">
        <w:rPr>
          <w:color w:val="000000"/>
          <w:sz w:val="28"/>
          <w:szCs w:val="28"/>
        </w:rPr>
        <w:t>вложения»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4238" w:rsidRPr="001A57E7" w:rsidRDefault="00AB0B9B" w:rsidP="00CA5B3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Pr="001A57E7">
        <w:rPr>
          <w:b/>
          <w:bCs/>
          <w:color w:val="000000"/>
          <w:sz w:val="28"/>
          <w:szCs w:val="28"/>
        </w:rPr>
        <w:t>Заключение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54238" w:rsidRPr="001A57E7" w:rsidRDefault="00554238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возрастанием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последнее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десятилетие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роли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системе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стратегического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управления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увеличивается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количество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осуществляемых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участием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категории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внеоборотных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этой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связи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особую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значимость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приобретают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вопросы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организации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9073FE"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учёта,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налогообложения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B39E4" w:rsidRPr="001A57E7">
        <w:rPr>
          <w:color w:val="000000"/>
          <w:sz w:val="28"/>
          <w:szCs w:val="28"/>
        </w:rPr>
        <w:t>активами.</w:t>
      </w:r>
    </w:p>
    <w:p w:rsidR="00980704" w:rsidRPr="001A57E7" w:rsidRDefault="00980704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Наличие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явной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тенденции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повышению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роли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места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структуре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финансово-хозяйственных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позволяет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говорить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целесообразности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выделения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самостоятельное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направление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сопутствующих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услуг.</w:t>
      </w:r>
    </w:p>
    <w:p w:rsidR="00980704" w:rsidRPr="001A57E7" w:rsidRDefault="00980704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менее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важным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представляется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также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качестве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значимой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составляющей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финансово-хозяйственной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организаций,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особенно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проведении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обязательного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аудита.</w:t>
      </w:r>
    </w:p>
    <w:p w:rsidR="001A599A" w:rsidRPr="001A57E7" w:rsidRDefault="001A599A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ООО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«Альфа»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ответы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вопросы:</w:t>
      </w:r>
    </w:p>
    <w:p w:rsidR="001A599A" w:rsidRPr="001A57E7" w:rsidRDefault="001A599A" w:rsidP="00CA5B3C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соблюдаются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проверяемым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хозяйствующим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субъектом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нормы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действующего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законодательства;</w:t>
      </w:r>
    </w:p>
    <w:p w:rsidR="001A599A" w:rsidRPr="001A57E7" w:rsidRDefault="001A599A" w:rsidP="00CA5B3C">
      <w:pPr>
        <w:pStyle w:val="2"/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7E7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произведена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нематериальных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CA5B3C" w:rsidRPr="001A5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7E7">
        <w:rPr>
          <w:rFonts w:ascii="Times New Roman" w:hAnsi="Times New Roman" w:cs="Times New Roman"/>
          <w:color w:val="000000"/>
          <w:sz w:val="28"/>
          <w:szCs w:val="28"/>
        </w:rPr>
        <w:t>группы;</w:t>
      </w:r>
    </w:p>
    <w:p w:rsidR="001A599A" w:rsidRPr="001A57E7" w:rsidRDefault="001A599A" w:rsidP="00CA5B3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своевременно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приходуются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принимаются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использованию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1A599A" w:rsidRPr="001A57E7" w:rsidRDefault="001A599A" w:rsidP="00CA5B3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обоснован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порядок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вновь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поступившим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1A599A" w:rsidRPr="001A57E7" w:rsidRDefault="001A599A" w:rsidP="00CA5B3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соблюдается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график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документооборота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1A599A" w:rsidRPr="001A57E7" w:rsidRDefault="001A599A" w:rsidP="00CA5B3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проводится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инвентаризация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1A599A" w:rsidRPr="001A57E7" w:rsidRDefault="001A599A" w:rsidP="00CA5B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ходе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процедур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выявлены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следующие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нарушения:</w:t>
      </w:r>
    </w:p>
    <w:p w:rsidR="004A548E" w:rsidRPr="001A57E7" w:rsidRDefault="004A548E" w:rsidP="00CA5B3C">
      <w:pPr>
        <w:numPr>
          <w:ilvl w:val="0"/>
          <w:numId w:val="25"/>
        </w:numPr>
        <w:shd w:val="clear" w:color="auto" w:fill="FFFFFF"/>
        <w:tabs>
          <w:tab w:val="clear" w:pos="1287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неправомерное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хозяйственных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средств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состав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4A548E" w:rsidRPr="001A57E7" w:rsidRDefault="004A548E" w:rsidP="00CA5B3C">
      <w:pPr>
        <w:numPr>
          <w:ilvl w:val="0"/>
          <w:numId w:val="25"/>
        </w:numPr>
        <w:shd w:val="clear" w:color="auto" w:fill="FFFFFF"/>
        <w:tabs>
          <w:tab w:val="clear" w:pos="1287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неправильное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формирование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первоначальной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4A548E" w:rsidRPr="001A57E7" w:rsidRDefault="004A548E" w:rsidP="00CA5B3C">
      <w:pPr>
        <w:numPr>
          <w:ilvl w:val="0"/>
          <w:numId w:val="25"/>
        </w:numPr>
        <w:shd w:val="clear" w:color="auto" w:fill="FFFFFF"/>
        <w:tabs>
          <w:tab w:val="clear" w:pos="1287"/>
          <w:tab w:val="num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неправильное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начисление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амортизации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отдельным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активов;</w:t>
      </w:r>
    </w:p>
    <w:p w:rsidR="004A548E" w:rsidRPr="001A57E7" w:rsidRDefault="004A548E" w:rsidP="00CA5B3C">
      <w:pPr>
        <w:numPr>
          <w:ilvl w:val="0"/>
          <w:numId w:val="25"/>
        </w:numPr>
        <w:tabs>
          <w:tab w:val="clear" w:pos="1287"/>
          <w:tab w:val="num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отсутствие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первичных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документов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оформление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нарушением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установленных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требований.</w:t>
      </w:r>
    </w:p>
    <w:p w:rsidR="00DF54F8" w:rsidRPr="001A57E7" w:rsidRDefault="00DF54F8" w:rsidP="00CA5B3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Нарушение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методологии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операций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активами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может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иметь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существенные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налоговые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последствия: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предъявление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бюджету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добавленную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стоимость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неоплаченным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принятым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объектам;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неначисление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неправильное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определение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НДС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реализации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передаче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дарения;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занижение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налогооблагаемой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счет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включения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стоимости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полученных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договору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дарения;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занижение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налогооблагаемой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прибыли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сумму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убытка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выбытии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нематериального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актива;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удерживается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подоходный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налог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физических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лиц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приобретении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объекта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активов.</w:t>
      </w:r>
    </w:p>
    <w:p w:rsidR="001A599A" w:rsidRPr="001A57E7" w:rsidRDefault="001A599A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704" w:rsidRPr="001A57E7" w:rsidRDefault="00980704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B9B" w:rsidRPr="001A57E7" w:rsidRDefault="00554238" w:rsidP="00CA5B3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br w:type="page"/>
      </w:r>
      <w:r w:rsidR="002E0275" w:rsidRPr="001A57E7">
        <w:rPr>
          <w:b/>
          <w:color w:val="000000"/>
          <w:sz w:val="28"/>
          <w:szCs w:val="28"/>
        </w:rPr>
        <w:t>Список</w:t>
      </w:r>
      <w:r w:rsidR="00CA5B3C" w:rsidRPr="001A57E7">
        <w:rPr>
          <w:b/>
          <w:color w:val="000000"/>
          <w:sz w:val="28"/>
          <w:szCs w:val="28"/>
        </w:rPr>
        <w:t xml:space="preserve"> </w:t>
      </w:r>
      <w:r w:rsidR="002E0275" w:rsidRPr="001A57E7">
        <w:rPr>
          <w:b/>
          <w:color w:val="000000"/>
          <w:sz w:val="28"/>
          <w:szCs w:val="28"/>
        </w:rPr>
        <w:t>литературы</w:t>
      </w:r>
    </w:p>
    <w:p w:rsidR="00CA5B3C" w:rsidRPr="001A57E7" w:rsidRDefault="00CA5B3C" w:rsidP="00CA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0B70" w:rsidRPr="001A57E7" w:rsidRDefault="00A40B70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Федеральный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21.11.96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129-ФЗ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учете».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Федеральный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Закон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07.08.2001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119-ФЗ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«Об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аудиторской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деятельности».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3.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Положение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бухгалтерскому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учету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«Учет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активов</w:t>
      </w:r>
      <w:r w:rsidR="00506284" w:rsidRPr="001A57E7">
        <w:rPr>
          <w:color w:val="000000"/>
          <w:sz w:val="28"/>
          <w:szCs w:val="28"/>
        </w:rPr>
        <w:t>»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(</w:t>
      </w:r>
      <w:r w:rsidRPr="001A57E7">
        <w:rPr>
          <w:color w:val="000000"/>
          <w:sz w:val="28"/>
          <w:szCs w:val="28"/>
        </w:rPr>
        <w:t>ПБУ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14/2000),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утвержденное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Приказом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Минфина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РФ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16.10.2000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91н.</w:t>
      </w:r>
    </w:p>
    <w:p w:rsidR="00A74DB9" w:rsidRPr="001A57E7" w:rsidRDefault="00A74DB9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4.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Алборов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Р.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«Аудит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организациях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промышленности,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торговле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АПК»,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2004.</w:t>
      </w:r>
    </w:p>
    <w:p w:rsidR="00506284" w:rsidRPr="001A57E7" w:rsidRDefault="00A74DB9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5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Балакирева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Н.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М.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«Нематериальные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активы</w:t>
      </w:r>
      <w:r w:rsidR="006B421C" w:rsidRPr="001A57E7">
        <w:rPr>
          <w:color w:val="000000"/>
          <w:sz w:val="28"/>
          <w:szCs w:val="28"/>
        </w:rPr>
        <w:t>: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учёт,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анализ,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аудит»,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2005г.</w:t>
      </w:r>
      <w:r w:rsidRPr="001A57E7">
        <w:rPr>
          <w:color w:val="000000"/>
          <w:sz w:val="28"/>
          <w:szCs w:val="28"/>
        </w:rPr>
        <w:t>6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Бархатов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А.П.,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Крюгер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С.В.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Нематериальные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активы: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бухгалтерский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учет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аудит,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2002.</w:t>
      </w:r>
    </w:p>
    <w:p w:rsidR="00D40D7E" w:rsidRPr="001A57E7" w:rsidRDefault="00A74DB9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7</w:t>
      </w:r>
      <w:r w:rsidR="00506284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Барышников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Н.П.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«В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помощь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бухгалтеру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506284" w:rsidRPr="001A57E7">
        <w:rPr>
          <w:color w:val="000000"/>
          <w:sz w:val="28"/>
          <w:szCs w:val="28"/>
        </w:rPr>
        <w:t>аудитору</w:t>
      </w:r>
      <w:r w:rsidRPr="001A57E7">
        <w:rPr>
          <w:color w:val="000000"/>
          <w:sz w:val="28"/>
          <w:szCs w:val="28"/>
        </w:rPr>
        <w:t>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2004</w:t>
      </w:r>
    </w:p>
    <w:p w:rsidR="00D40D7E" w:rsidRPr="001A57E7" w:rsidRDefault="00D40D7E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8.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Бычкова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С.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М.,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Фомина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Ю.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«Практический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аудит»9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Глушков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И.Е.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Бухгалтерский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учет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на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современном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предприятии</w:t>
      </w:r>
      <w:r w:rsidR="00A74DB9" w:rsidRPr="001A57E7">
        <w:rPr>
          <w:color w:val="000000"/>
          <w:sz w:val="28"/>
          <w:szCs w:val="28"/>
        </w:rPr>
        <w:t>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2003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10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Дружиловская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Т.Ю.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Трактовка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понятия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нематериальных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активов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в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российском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международном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стандартах,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2003.</w:t>
      </w:r>
    </w:p>
    <w:p w:rsidR="00A40B70" w:rsidRPr="001A57E7" w:rsidRDefault="00D40D7E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11.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Кочинёв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Ю.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Ю.,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Вещунова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Н.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Л.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«Аудит: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теория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практика»,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2005г.12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40B70" w:rsidRPr="001A57E7">
        <w:rPr>
          <w:color w:val="000000"/>
          <w:sz w:val="28"/>
          <w:szCs w:val="28"/>
        </w:rPr>
        <w:t>Подольск</w:t>
      </w:r>
      <w:r w:rsidR="00A74DB9" w:rsidRPr="001A57E7">
        <w:rPr>
          <w:color w:val="000000"/>
          <w:sz w:val="28"/>
          <w:szCs w:val="28"/>
        </w:rPr>
        <w:t>ий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В.И.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Аудит.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-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М.: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ЮНИТИ,</w:t>
      </w:r>
      <w:r w:rsidR="00CA5B3C" w:rsidRPr="001A57E7">
        <w:rPr>
          <w:color w:val="000000"/>
          <w:sz w:val="28"/>
          <w:szCs w:val="28"/>
        </w:rPr>
        <w:t xml:space="preserve"> </w:t>
      </w:r>
      <w:r w:rsidR="00A74DB9" w:rsidRPr="001A57E7">
        <w:rPr>
          <w:color w:val="000000"/>
          <w:sz w:val="28"/>
          <w:szCs w:val="28"/>
        </w:rPr>
        <w:t>2005</w:t>
      </w:r>
      <w:r w:rsidR="00A40B70" w:rsidRPr="001A57E7">
        <w:rPr>
          <w:color w:val="000000"/>
          <w:sz w:val="28"/>
          <w:szCs w:val="28"/>
        </w:rPr>
        <w:t>.</w:t>
      </w:r>
    </w:p>
    <w:p w:rsidR="00D40D7E" w:rsidRPr="001A57E7" w:rsidRDefault="00D40D7E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13.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Полисюк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Г.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Б.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«Аудит: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технология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проверки»,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2005г.</w:t>
      </w:r>
    </w:p>
    <w:p w:rsidR="00506284" w:rsidRPr="001A57E7" w:rsidRDefault="00A74DB9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</w:t>
      </w:r>
      <w:r w:rsidR="00D40D7E" w:rsidRPr="001A57E7">
        <w:rPr>
          <w:color w:val="000000"/>
          <w:sz w:val="28"/>
          <w:szCs w:val="28"/>
        </w:rPr>
        <w:t>4</w:t>
      </w:r>
      <w:r w:rsidR="00A40B70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Терехов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А.А.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«Аудит»,</w:t>
      </w:r>
      <w:r w:rsidR="00CA5B3C" w:rsidRPr="001A57E7">
        <w:rPr>
          <w:color w:val="000000"/>
          <w:sz w:val="28"/>
          <w:szCs w:val="28"/>
        </w:rPr>
        <w:t xml:space="preserve"> </w:t>
      </w:r>
      <w:r w:rsidRPr="001A57E7">
        <w:rPr>
          <w:color w:val="000000"/>
          <w:sz w:val="28"/>
          <w:szCs w:val="28"/>
        </w:rPr>
        <w:t>2004</w:t>
      </w:r>
      <w:r w:rsidR="00506284" w:rsidRPr="001A57E7">
        <w:rPr>
          <w:color w:val="000000"/>
          <w:sz w:val="28"/>
          <w:szCs w:val="28"/>
        </w:rPr>
        <w:t>г.</w:t>
      </w:r>
    </w:p>
    <w:p w:rsidR="002D2DEB" w:rsidRPr="001A57E7" w:rsidRDefault="00A74DB9" w:rsidP="00CA5B3C">
      <w:pPr>
        <w:spacing w:line="360" w:lineRule="auto"/>
        <w:jc w:val="both"/>
        <w:rPr>
          <w:color w:val="000000"/>
          <w:sz w:val="28"/>
          <w:szCs w:val="28"/>
        </w:rPr>
      </w:pPr>
      <w:r w:rsidRPr="001A57E7">
        <w:rPr>
          <w:color w:val="000000"/>
          <w:sz w:val="28"/>
          <w:szCs w:val="28"/>
        </w:rPr>
        <w:t>1</w:t>
      </w:r>
      <w:r w:rsidR="00D40D7E" w:rsidRPr="001A57E7">
        <w:rPr>
          <w:color w:val="000000"/>
          <w:sz w:val="28"/>
          <w:szCs w:val="28"/>
        </w:rPr>
        <w:t>5</w:t>
      </w:r>
      <w:r w:rsidR="00506284" w:rsidRPr="001A57E7">
        <w:rPr>
          <w:color w:val="000000"/>
          <w:sz w:val="28"/>
          <w:szCs w:val="28"/>
        </w:rPr>
        <w:t>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Чечёткин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А.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С.,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Клипперт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Е.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Н.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«Организация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учёта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и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аудита.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Учебное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пособие»,</w:t>
      </w:r>
      <w:r w:rsidR="00CA5B3C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2006</w:t>
      </w:r>
      <w:r w:rsidR="00F47FAE" w:rsidRPr="001A57E7">
        <w:rPr>
          <w:color w:val="000000"/>
          <w:sz w:val="28"/>
          <w:szCs w:val="28"/>
        </w:rPr>
        <w:t xml:space="preserve"> </w:t>
      </w:r>
      <w:r w:rsidR="00D40D7E" w:rsidRPr="001A57E7">
        <w:rPr>
          <w:color w:val="000000"/>
          <w:sz w:val="28"/>
          <w:szCs w:val="28"/>
        </w:rPr>
        <w:t>г</w:t>
      </w:r>
      <w:r w:rsidR="00F47FAE" w:rsidRPr="001A57E7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D2DEB" w:rsidRPr="001A57E7" w:rsidSect="00CA5B3C">
      <w:pgSz w:w="11906" w:h="16838" w:code="1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E7" w:rsidRDefault="001A57E7">
      <w:r>
        <w:separator/>
      </w:r>
    </w:p>
  </w:endnote>
  <w:endnote w:type="continuationSeparator" w:id="0">
    <w:p w:rsidR="001A57E7" w:rsidRDefault="001A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E7" w:rsidRDefault="001A57E7">
      <w:r>
        <w:separator/>
      </w:r>
    </w:p>
  </w:footnote>
  <w:footnote w:type="continuationSeparator" w:id="0">
    <w:p w:rsidR="001A57E7" w:rsidRDefault="001A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DACB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01089"/>
    <w:multiLevelType w:val="hybridMultilevel"/>
    <w:tmpl w:val="FF8421AA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0887422D"/>
    <w:multiLevelType w:val="multilevel"/>
    <w:tmpl w:val="6E2AC4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520"/>
      </w:pPr>
      <w:rPr>
        <w:rFonts w:cs="Times New Roman" w:hint="default"/>
      </w:rPr>
    </w:lvl>
  </w:abstractNum>
  <w:abstractNum w:abstractNumId="3">
    <w:nsid w:val="0AAE5B4F"/>
    <w:multiLevelType w:val="hybridMultilevel"/>
    <w:tmpl w:val="41FE2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ED4882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5">
    <w:nsid w:val="0C030458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6">
    <w:nsid w:val="0CA373D3"/>
    <w:multiLevelType w:val="hybridMultilevel"/>
    <w:tmpl w:val="628A9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346D8"/>
    <w:multiLevelType w:val="hybridMultilevel"/>
    <w:tmpl w:val="FEC21FC0"/>
    <w:lvl w:ilvl="0" w:tplc="52D425C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C253B"/>
    <w:multiLevelType w:val="hybridMultilevel"/>
    <w:tmpl w:val="1500E43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17460D45"/>
    <w:multiLevelType w:val="hybridMultilevel"/>
    <w:tmpl w:val="5F9E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B938D7"/>
    <w:multiLevelType w:val="hybridMultilevel"/>
    <w:tmpl w:val="C0A2C1A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B4A1A23"/>
    <w:multiLevelType w:val="hybridMultilevel"/>
    <w:tmpl w:val="13DAE4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F63589B"/>
    <w:multiLevelType w:val="hybridMultilevel"/>
    <w:tmpl w:val="196C9F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9D20DFA"/>
    <w:multiLevelType w:val="multilevel"/>
    <w:tmpl w:val="AB36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2E524228"/>
    <w:multiLevelType w:val="multilevel"/>
    <w:tmpl w:val="48A07A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565C52"/>
    <w:multiLevelType w:val="hybridMultilevel"/>
    <w:tmpl w:val="3C5015C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36313E6"/>
    <w:multiLevelType w:val="multilevel"/>
    <w:tmpl w:val="C9F0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2D3A02"/>
    <w:multiLevelType w:val="hybridMultilevel"/>
    <w:tmpl w:val="39746334"/>
    <w:lvl w:ilvl="0" w:tplc="5CA4710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63E37FE"/>
    <w:multiLevelType w:val="hybridMultilevel"/>
    <w:tmpl w:val="8C808732"/>
    <w:lvl w:ilvl="0" w:tplc="52D425C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396046E2"/>
    <w:multiLevelType w:val="multilevel"/>
    <w:tmpl w:val="6E2AC4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520"/>
      </w:pPr>
      <w:rPr>
        <w:rFonts w:cs="Times New Roman" w:hint="default"/>
      </w:rPr>
    </w:lvl>
  </w:abstractNum>
  <w:abstractNum w:abstractNumId="20">
    <w:nsid w:val="3FC05F2E"/>
    <w:multiLevelType w:val="hybridMultilevel"/>
    <w:tmpl w:val="66EE3EC4"/>
    <w:lvl w:ilvl="0" w:tplc="52D425C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01374E"/>
    <w:multiLevelType w:val="hybridMultilevel"/>
    <w:tmpl w:val="D6DA01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59224A0"/>
    <w:multiLevelType w:val="hybridMultilevel"/>
    <w:tmpl w:val="A550605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471D5669"/>
    <w:multiLevelType w:val="hybridMultilevel"/>
    <w:tmpl w:val="60260F7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78D32D9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25">
    <w:nsid w:val="49B67E90"/>
    <w:multiLevelType w:val="hybridMultilevel"/>
    <w:tmpl w:val="5450ED8C"/>
    <w:lvl w:ilvl="0" w:tplc="CBFC05CA">
      <w:start w:val="1"/>
      <w:numFmt w:val="decimal"/>
      <w:lvlText w:val="%1."/>
      <w:lvlJc w:val="left"/>
      <w:pPr>
        <w:tabs>
          <w:tab w:val="num" w:pos="1564"/>
        </w:tabs>
        <w:ind w:left="156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4CBD35A3"/>
    <w:multiLevelType w:val="hybridMultilevel"/>
    <w:tmpl w:val="D0FE2DDC"/>
    <w:lvl w:ilvl="0" w:tplc="5CA4710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4F5F2359"/>
    <w:multiLevelType w:val="multilevel"/>
    <w:tmpl w:val="6E2AC4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520"/>
      </w:pPr>
      <w:rPr>
        <w:rFonts w:cs="Times New Roman" w:hint="default"/>
      </w:rPr>
    </w:lvl>
  </w:abstractNum>
  <w:abstractNum w:abstractNumId="28">
    <w:nsid w:val="5322005B"/>
    <w:multiLevelType w:val="multilevel"/>
    <w:tmpl w:val="81E231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42"/>
        </w:tabs>
        <w:ind w:left="514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28"/>
        </w:tabs>
        <w:ind w:left="5928" w:hanging="2520"/>
      </w:pPr>
      <w:rPr>
        <w:rFonts w:cs="Times New Roman" w:hint="default"/>
      </w:rPr>
    </w:lvl>
  </w:abstractNum>
  <w:abstractNum w:abstractNumId="29">
    <w:nsid w:val="553E7229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30">
    <w:nsid w:val="56EC74BF"/>
    <w:multiLevelType w:val="hybridMultilevel"/>
    <w:tmpl w:val="FD22A8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1">
    <w:nsid w:val="622B5EDA"/>
    <w:multiLevelType w:val="hybridMultilevel"/>
    <w:tmpl w:val="A2DEB0A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6E94BDB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33">
    <w:nsid w:val="6B0C792B"/>
    <w:multiLevelType w:val="singleLevel"/>
    <w:tmpl w:val="5CA47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/>
        <w:imprint w:val="0"/>
        <w:color w:val="000080"/>
        <w:sz w:val="24"/>
      </w:rPr>
    </w:lvl>
  </w:abstractNum>
  <w:abstractNum w:abstractNumId="34">
    <w:nsid w:val="6DC72A34"/>
    <w:multiLevelType w:val="hybridMultilevel"/>
    <w:tmpl w:val="926227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6E0516A3"/>
    <w:multiLevelType w:val="singleLevel"/>
    <w:tmpl w:val="0E925D76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 w:val="0"/>
        <w:i w:val="0"/>
        <w:color w:val="000080"/>
        <w:sz w:val="28"/>
        <w:u w:val="none"/>
      </w:rPr>
    </w:lvl>
  </w:abstractNum>
  <w:abstractNum w:abstractNumId="36">
    <w:nsid w:val="7C906C25"/>
    <w:multiLevelType w:val="multilevel"/>
    <w:tmpl w:val="1C0EC2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7E6674C3"/>
    <w:multiLevelType w:val="hybridMultilevel"/>
    <w:tmpl w:val="3E7C97E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5"/>
  </w:num>
  <w:num w:numId="4">
    <w:abstractNumId w:val="1"/>
  </w:num>
  <w:num w:numId="5">
    <w:abstractNumId w:val="10"/>
  </w:num>
  <w:num w:numId="6">
    <w:abstractNumId w:val="35"/>
  </w:num>
  <w:num w:numId="7">
    <w:abstractNumId w:val="5"/>
  </w:num>
  <w:num w:numId="8">
    <w:abstractNumId w:val="29"/>
  </w:num>
  <w:num w:numId="9">
    <w:abstractNumId w:val="32"/>
  </w:num>
  <w:num w:numId="10">
    <w:abstractNumId w:val="4"/>
  </w:num>
  <w:num w:numId="11">
    <w:abstractNumId w:val="33"/>
  </w:num>
  <w:num w:numId="12">
    <w:abstractNumId w:val="24"/>
  </w:num>
  <w:num w:numId="13">
    <w:abstractNumId w:val="6"/>
  </w:num>
  <w:num w:numId="14">
    <w:abstractNumId w:val="3"/>
  </w:num>
  <w:num w:numId="15">
    <w:abstractNumId w:val="31"/>
  </w:num>
  <w:num w:numId="16">
    <w:abstractNumId w:val="26"/>
  </w:num>
  <w:num w:numId="17">
    <w:abstractNumId w:val="17"/>
  </w:num>
  <w:num w:numId="18">
    <w:abstractNumId w:val="15"/>
  </w:num>
  <w:num w:numId="19">
    <w:abstractNumId w:val="16"/>
  </w:num>
  <w:num w:numId="20">
    <w:abstractNumId w:val="8"/>
  </w:num>
  <w:num w:numId="21">
    <w:abstractNumId w:val="30"/>
  </w:num>
  <w:num w:numId="22">
    <w:abstractNumId w:val="37"/>
  </w:num>
  <w:num w:numId="23">
    <w:abstractNumId w:val="7"/>
  </w:num>
  <w:num w:numId="24">
    <w:abstractNumId w:val="18"/>
  </w:num>
  <w:num w:numId="25">
    <w:abstractNumId w:val="12"/>
  </w:num>
  <w:num w:numId="26">
    <w:abstractNumId w:val="20"/>
  </w:num>
  <w:num w:numId="27">
    <w:abstractNumId w:val="23"/>
  </w:num>
  <w:num w:numId="28">
    <w:abstractNumId w:val="9"/>
  </w:num>
  <w:num w:numId="29">
    <w:abstractNumId w:val="13"/>
  </w:num>
  <w:num w:numId="30">
    <w:abstractNumId w:val="22"/>
  </w:num>
  <w:num w:numId="31">
    <w:abstractNumId w:val="14"/>
  </w:num>
  <w:num w:numId="32">
    <w:abstractNumId w:val="21"/>
  </w:num>
  <w:num w:numId="33">
    <w:abstractNumId w:val="27"/>
  </w:num>
  <w:num w:numId="34">
    <w:abstractNumId w:val="19"/>
  </w:num>
  <w:num w:numId="35">
    <w:abstractNumId w:val="11"/>
  </w:num>
  <w:num w:numId="36">
    <w:abstractNumId w:val="2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DF"/>
    <w:rsid w:val="00001EC7"/>
    <w:rsid w:val="000428A4"/>
    <w:rsid w:val="00044AB8"/>
    <w:rsid w:val="000E53D8"/>
    <w:rsid w:val="000F0857"/>
    <w:rsid w:val="001049A6"/>
    <w:rsid w:val="00180230"/>
    <w:rsid w:val="0018495C"/>
    <w:rsid w:val="001A31CF"/>
    <w:rsid w:val="001A57E7"/>
    <w:rsid w:val="001A599A"/>
    <w:rsid w:val="001B4CB8"/>
    <w:rsid w:val="001C14BF"/>
    <w:rsid w:val="001F4200"/>
    <w:rsid w:val="00225232"/>
    <w:rsid w:val="00252EA2"/>
    <w:rsid w:val="00291DC0"/>
    <w:rsid w:val="002D2DEB"/>
    <w:rsid w:val="002E0275"/>
    <w:rsid w:val="003820C0"/>
    <w:rsid w:val="00385369"/>
    <w:rsid w:val="00396117"/>
    <w:rsid w:val="003A43D7"/>
    <w:rsid w:val="003B799F"/>
    <w:rsid w:val="003E2CC2"/>
    <w:rsid w:val="003E5587"/>
    <w:rsid w:val="00476011"/>
    <w:rsid w:val="00487E42"/>
    <w:rsid w:val="004A548E"/>
    <w:rsid w:val="004B3EC2"/>
    <w:rsid w:val="004C66F4"/>
    <w:rsid w:val="004F0809"/>
    <w:rsid w:val="00506284"/>
    <w:rsid w:val="00515911"/>
    <w:rsid w:val="00521D59"/>
    <w:rsid w:val="005378E6"/>
    <w:rsid w:val="00554238"/>
    <w:rsid w:val="00555592"/>
    <w:rsid w:val="00561DE8"/>
    <w:rsid w:val="00570E81"/>
    <w:rsid w:val="005B39E4"/>
    <w:rsid w:val="005B7BCD"/>
    <w:rsid w:val="005D77F0"/>
    <w:rsid w:val="005F5A78"/>
    <w:rsid w:val="006064FB"/>
    <w:rsid w:val="00640DDF"/>
    <w:rsid w:val="006B421C"/>
    <w:rsid w:val="006C7899"/>
    <w:rsid w:val="006F448C"/>
    <w:rsid w:val="006F7722"/>
    <w:rsid w:val="00707788"/>
    <w:rsid w:val="007A793E"/>
    <w:rsid w:val="007C5D43"/>
    <w:rsid w:val="007E724B"/>
    <w:rsid w:val="00801582"/>
    <w:rsid w:val="00802874"/>
    <w:rsid w:val="008113D2"/>
    <w:rsid w:val="00824186"/>
    <w:rsid w:val="00885D8F"/>
    <w:rsid w:val="008C63B2"/>
    <w:rsid w:val="008D706F"/>
    <w:rsid w:val="009073FE"/>
    <w:rsid w:val="00926223"/>
    <w:rsid w:val="0093012F"/>
    <w:rsid w:val="00980704"/>
    <w:rsid w:val="009E0300"/>
    <w:rsid w:val="00A40B70"/>
    <w:rsid w:val="00A74DB9"/>
    <w:rsid w:val="00A80B75"/>
    <w:rsid w:val="00AB0B9B"/>
    <w:rsid w:val="00AE3715"/>
    <w:rsid w:val="00AF028C"/>
    <w:rsid w:val="00AF46EA"/>
    <w:rsid w:val="00B42424"/>
    <w:rsid w:val="00B51A88"/>
    <w:rsid w:val="00B574EE"/>
    <w:rsid w:val="00BA3817"/>
    <w:rsid w:val="00BF076B"/>
    <w:rsid w:val="00BF60AC"/>
    <w:rsid w:val="00C2707A"/>
    <w:rsid w:val="00C52EB1"/>
    <w:rsid w:val="00C52EC0"/>
    <w:rsid w:val="00C62AEA"/>
    <w:rsid w:val="00C94485"/>
    <w:rsid w:val="00CA1537"/>
    <w:rsid w:val="00CA5B3C"/>
    <w:rsid w:val="00CE1E15"/>
    <w:rsid w:val="00CF3A6B"/>
    <w:rsid w:val="00CF56DF"/>
    <w:rsid w:val="00D03458"/>
    <w:rsid w:val="00D40D7E"/>
    <w:rsid w:val="00DB13FE"/>
    <w:rsid w:val="00DF54F8"/>
    <w:rsid w:val="00DF7E4A"/>
    <w:rsid w:val="00E705A1"/>
    <w:rsid w:val="00E8002E"/>
    <w:rsid w:val="00E85913"/>
    <w:rsid w:val="00E92DF5"/>
    <w:rsid w:val="00E95D6A"/>
    <w:rsid w:val="00ED33B3"/>
    <w:rsid w:val="00EF77F7"/>
    <w:rsid w:val="00F075D2"/>
    <w:rsid w:val="00F47FAE"/>
    <w:rsid w:val="00FE53E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0EB0AC-D89D-44BD-A796-FDE49C0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2EB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52EB1"/>
    <w:rPr>
      <w:rFonts w:cs="Times New Roman"/>
    </w:rPr>
  </w:style>
  <w:style w:type="paragraph" w:styleId="2">
    <w:name w:val="Body Text Indent 2"/>
    <w:basedOn w:val="a"/>
    <w:link w:val="20"/>
    <w:uiPriority w:val="99"/>
    <w:rsid w:val="001A599A"/>
    <w:pPr>
      <w:ind w:firstLine="709"/>
      <w:jc w:val="center"/>
    </w:pPr>
    <w:rPr>
      <w:rFonts w:ascii="Times New Roman CYR" w:hAnsi="Times New Roman CYR" w:cs="Times New Roman CYR"/>
      <w:sz w:val="40"/>
      <w:szCs w:val="40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A8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47FA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F47F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6466</Words>
  <Characters>36858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43238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atos</dc:creator>
  <cp:keywords/>
  <dc:description/>
  <cp:lastModifiedBy>Irina</cp:lastModifiedBy>
  <cp:revision>2</cp:revision>
  <cp:lastPrinted>2007-12-03T18:18:00Z</cp:lastPrinted>
  <dcterms:created xsi:type="dcterms:W3CDTF">2014-08-10T10:29:00Z</dcterms:created>
  <dcterms:modified xsi:type="dcterms:W3CDTF">2014-08-10T10:29:00Z</dcterms:modified>
</cp:coreProperties>
</file>