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3B" w:rsidRPr="00F12201" w:rsidRDefault="00E3013B" w:rsidP="00CA22C4">
      <w:pPr>
        <w:tabs>
          <w:tab w:val="left" w:pos="4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E3013B" w:rsidRPr="00CA22C4" w:rsidRDefault="00E3013B" w:rsidP="00CA22C4">
      <w:pPr>
        <w:tabs>
          <w:tab w:val="left" w:pos="42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E3013B" w:rsidRPr="00CA22C4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Глава 1. Анализ ЗАО ВТБ-24</w:t>
      </w:r>
    </w:p>
    <w:p w:rsidR="00E3013B" w:rsidRPr="00CA22C4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 </w:t>
      </w:r>
      <w:r w:rsidRPr="00CA22C4">
        <w:rPr>
          <w:rFonts w:ascii="Times New Roman" w:hAnsi="Times New Roman" w:cs="Times New Roman"/>
          <w:sz w:val="28"/>
          <w:szCs w:val="28"/>
        </w:rPr>
        <w:t xml:space="preserve">История развития </w:t>
      </w:r>
    </w:p>
    <w:p w:rsidR="00E3013B" w:rsidRPr="00621CE0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1.2 Автоматизация в филиале ЗАО ВТБ-24</w:t>
      </w:r>
    </w:p>
    <w:p w:rsidR="00E3013B" w:rsidRPr="00F12201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Глава 2. Анализ автоматизированной системы «БИСКВИТ</w:t>
      </w:r>
      <w:r w:rsidR="00F12201">
        <w:rPr>
          <w:rFonts w:ascii="Times New Roman" w:hAnsi="Times New Roman" w:cs="Times New Roman"/>
          <w:sz w:val="28"/>
          <w:szCs w:val="28"/>
        </w:rPr>
        <w:t>»</w:t>
      </w:r>
    </w:p>
    <w:p w:rsidR="00E3013B" w:rsidRPr="00621CE0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2.1 Основные характеристики АБС «Бисквит»</w:t>
      </w:r>
    </w:p>
    <w:p w:rsidR="00E3013B" w:rsidRPr="00621CE0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2.2 Преимущества и недостатки системы</w:t>
      </w:r>
    </w:p>
    <w:p w:rsidR="00E3013B" w:rsidRPr="00621CE0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E3013B" w:rsidRPr="00621CE0" w:rsidRDefault="00E3013B" w:rsidP="00621CE0">
      <w:pPr>
        <w:tabs>
          <w:tab w:val="left" w:pos="42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Введение</w:t>
      </w:r>
    </w:p>
    <w:p w:rsidR="00E3013B" w:rsidRPr="00CA22C4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 xml:space="preserve">В последнее десятилетие банковская деятельность в России переживает период бурных изменений, которые вызваны, с одной стороны, радикальным преобразованием экономической системы, а с другой - внедрением новых информационных технологий и глобализацией финансовых рынков. На волне радикальных рыночных реформ банковская система страны коренным образом изменилась: она приобрела двухуровневую структуру, увеличилось количество банковских организаций, при этом все они основывают свою деятельность на рыночных принципах, что создает условия для разбития конкуренции на рынке банковских услуг. 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>Внедрение информационных технологий открыло перед банками новые возможности по управлению рисками, развитию прогрессивных форм обслуживания клиентов, дальнейшей диверсификации их деятельности. Информационные технологии стали основой многих финансовых инноваций, привели к созданию различных финансовых инструментов, которые сократили степень неполноты и несовершенства финансовых рынков.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>В новых условиях банки вынуждены противостоять широкому кругу потенциальных конкурентов. Информатизация финансовой деятельности ускорили процессы глобализации, означающие для банков необходимость ориентироваться в своей деятельности не на национальные, а в большей степени на глобальные рынки, соответствовать международным стандартам банковских операций и требованиям к управлению рисками. Как правило, внедрение современных банковских технологий снижает уровень рисков, сопутствующих проведению расчетов.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>Таким образом, актуальность темы курсовой работы заключается в необходимости критического анализа традиционных и новых банковских технологий проведения расчетных, платежных, валютных и других операций, а так же поиска путей их синтеза.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>Целью исследования является изучение практики освоения банковских инфокоммуникаций для проведения расчетных, платежных, валютных и других операций отечественными кредитными организациями и разработка рекомендаций по повышению эффективности их использования.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A22C4">
        <w:rPr>
          <w:rFonts w:ascii="Times New Roman" w:hAnsi="Times New Roman" w:cs="Times New Roman"/>
          <w:color w:val="auto"/>
          <w:sz w:val="28"/>
          <w:szCs w:val="28"/>
        </w:rPr>
        <w:t>Объектом исследования выступает ЗАО-ВТБ 24 филиал ЦИК «Новослободский», а предметом - экономические отношения, складывающиеся в процессе проведения различных операций на основе банковских технологий и автоматизированная банковская система «БИСКВИТ».</w:t>
      </w: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13B" w:rsidRPr="008721A4" w:rsidRDefault="00FB79B7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t>банк информационный валютный платежный</w:t>
      </w:r>
    </w:p>
    <w:p w:rsidR="00E3013B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Pr="00CA22C4">
        <w:rPr>
          <w:rFonts w:ascii="Times New Roman" w:hAnsi="Times New Roman" w:cs="Times New Roman"/>
          <w:color w:val="auto"/>
          <w:sz w:val="28"/>
          <w:szCs w:val="28"/>
        </w:rPr>
        <w:t>Глава 1. Анализ ЗАО-ВТБ24</w:t>
      </w:r>
    </w:p>
    <w:p w:rsidR="00E3013B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13B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CE0">
        <w:rPr>
          <w:rFonts w:ascii="Times New Roman" w:hAnsi="Times New Roman" w:cs="Times New Roman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>1 История развития</w:t>
      </w:r>
    </w:p>
    <w:p w:rsidR="00E3013B" w:rsidRPr="00CA22C4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"Банк ВТБ 24" (прежнее название – ЗАО "Коммерческий банк развития предпринимательской деятельности "ГУТА-БАНК") был создан на основании решения общего собрания Участников Коммерческого банка развития предпринимательской деятельности ООО "ГУТА-БАНК". Банк является правопреемником ООО КБ "ГУТА-БАНК" по всем его правам и обязанностям в соответствии с передаточным актом.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До 16 июля 2004 года банк входил в состав группы аффилированных компаний – "Группа "ГУТА", осуществляя функции основного расчетного центра группы.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На общем собрании акционеров от 6 июня 2005 года ЗАО "КБ "ГУТА-БАНК" был переименован в ЗАО "Внешторгбанк Розничные услуги". На розничном рынке его деятельность осуществлялась с использованием торговой марки "Внешторгбанк-24". 14 ноября 2006 года ЗАО "Внешторгбанк Розничные услуги" был переименован в ЗАО "ВТБ 24".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Банк имеет генеральную лицензию, выданную Центральным банком Российской Федерации на проведение банковских операций в рублях и в иностранной валюте с юридическими и физическими лицами, лицензию на осуществление операций с драгоценными металлами, лицензию дилера на рынке ценных бумаг, лицензию брокера на рынке фьючерсов и опционов и т.д. Банк является участником системы страхования вкладов.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"ВТБ 24" специализируется на оказании банковских услуг и кредитовании населения и предприятий малого бизнеса.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Основным акционером "ВТБ24" является ОАО "Банк ВТБ".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Филиалы: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 xml:space="preserve">Сеть банка формируют более 500 филиалов и дополнительных офисов в 68 регионах страны.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Число сотрудников около 20000 человек. </w:t>
      </w:r>
    </w:p>
    <w:p w:rsidR="00E3013B" w:rsidRPr="00621CE0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Дополнительный офис ЦИК (центр ипотечного кредитования) Новослободский специализирован на обслуживание физических и </w:t>
      </w:r>
      <w:r w:rsidRPr="00621CE0">
        <w:rPr>
          <w:rFonts w:ascii="Times New Roman" w:hAnsi="Times New Roman" w:cs="Times New Roman"/>
          <w:sz w:val="28"/>
          <w:szCs w:val="28"/>
        </w:rPr>
        <w:t>юридических лиц, а также специализирован на ипотечном кредитовании.</w:t>
      </w:r>
    </w:p>
    <w:p w:rsidR="00E3013B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Штат филиала составляет 70 сотрудников, где основная часть сотрудников занимается обслуживанием физических лиц (отдел обслуживания и продаж), часть – обслуживанием юридических лиц, часть – ипотечным кредитованием. В штат также входят администраторы зала, секретарь и руководство.</w:t>
      </w:r>
    </w:p>
    <w:p w:rsidR="00E3013B" w:rsidRPr="00621CE0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Автоматизация в филиале ВТБ-24</w:t>
      </w:r>
    </w:p>
    <w:p w:rsidR="00E3013B" w:rsidRPr="00621CE0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Основные информационные системы, которые используются в работе – АБС «БИСКВИТ», Ломбарди, Аналитик</w:t>
      </w:r>
      <w:r w:rsidRPr="00CA22C4">
        <w:rPr>
          <w:rFonts w:ascii="Times New Roman" w:hAnsi="Times New Roman" w:cs="Times New Roman"/>
          <w:sz w:val="28"/>
          <w:szCs w:val="28"/>
        </w:rPr>
        <w:t xml:space="preserve">, Телебанк, </w:t>
      </w:r>
      <w:r w:rsidRPr="00CA22C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CA22C4">
        <w:rPr>
          <w:rFonts w:ascii="Times New Roman" w:hAnsi="Times New Roman" w:cs="Times New Roman"/>
          <w:sz w:val="28"/>
          <w:szCs w:val="28"/>
        </w:rPr>
        <w:t xml:space="preserve">, </w:t>
      </w:r>
      <w:r w:rsidRPr="00CA22C4">
        <w:rPr>
          <w:rFonts w:ascii="Times New Roman" w:hAnsi="Times New Roman" w:cs="Times New Roman"/>
          <w:sz w:val="28"/>
          <w:szCs w:val="28"/>
          <w:lang w:val="en-US"/>
        </w:rPr>
        <w:t>Exel</w:t>
      </w:r>
      <w:r w:rsidRPr="00CA22C4">
        <w:rPr>
          <w:rFonts w:ascii="Times New Roman" w:hAnsi="Times New Roman" w:cs="Times New Roman"/>
          <w:sz w:val="28"/>
          <w:szCs w:val="28"/>
        </w:rPr>
        <w:t xml:space="preserve">, </w:t>
      </w:r>
      <w:r w:rsidRPr="00CA22C4">
        <w:rPr>
          <w:rFonts w:ascii="Times New Roman" w:hAnsi="Times New Roman" w:cs="Times New Roman"/>
          <w:sz w:val="28"/>
          <w:szCs w:val="28"/>
          <w:lang w:val="en-US"/>
        </w:rPr>
        <w:t>Entranet</w:t>
      </w:r>
      <w:r w:rsidRPr="00CA22C4">
        <w:rPr>
          <w:rFonts w:ascii="Times New Roman" w:hAnsi="Times New Roman" w:cs="Times New Roman"/>
          <w:sz w:val="28"/>
          <w:szCs w:val="28"/>
        </w:rPr>
        <w:t xml:space="preserve">, </w:t>
      </w:r>
      <w:r w:rsidRPr="00CA22C4">
        <w:rPr>
          <w:rFonts w:ascii="Times New Roman" w:hAnsi="Times New Roman" w:cs="Times New Roman"/>
          <w:sz w:val="28"/>
          <w:szCs w:val="28"/>
          <w:lang w:val="en-US"/>
        </w:rPr>
        <w:t>Outlook</w:t>
      </w:r>
      <w:r w:rsidRPr="00CA22C4">
        <w:rPr>
          <w:rFonts w:ascii="Times New Roman" w:hAnsi="Times New Roman" w:cs="Times New Roman"/>
          <w:sz w:val="28"/>
          <w:szCs w:val="28"/>
        </w:rPr>
        <w:t>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Все основные операции проводятся в АБС «БИСКВИТ», поэтому на нем акцентируем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внимание.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Основная оргтехника, применяемая при обслуживании клиентов это: компьютеры, принтеры, сканеры,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копировальный аппарат, факс.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На сегодняшний день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все бизнес-процессы автоматизированы.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Автоматизированная система состоит из трех компонентов: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1) клиентской части системы;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2) объектов сервера данных;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3) процедур сервера приложений.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Клиентская часть системы обеспечивает взаимодействие пользователя с системой. Никакой обработки данных в клиентской части не происходит. Ее назначение сводится к тому, чтобы принять от пользователя запрос на выполнение операции системы и необходимые для выполнения этого запроса данные. После того, как запрос реализован, клиентская часть дает пользователю возможность ознакомиться с результатами выполнения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Объекты сервера данных являются центральной частью системы. Здесь хранятся все данные системы и процедуры, обеспечивающие выполнение ее операций. Хранимые процедуры получают запрос от клиентской части на выполнение операций и подготавливают для нее результаты своей работы. Для выполнения некоторых специфических операций хранимые процедуры могут вызывать процедуры сервера приложений.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На сервере приложений выполняются специализированные AS-процедуры, которые вызываются по запросам от процедур сервера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Процедуры сервера приложений обеспечивают функционирование системы безопасности и управления доступом, а также выполняют ту часть прикладных операций, для которой реализация средствами сервера данных неэффективна. AS-процедуры могут обращаться и к объектам сервера данных, если это необходимо для их работы.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A22C4">
        <w:rPr>
          <w:rFonts w:ascii="Times New Roman" w:hAnsi="Times New Roman" w:cs="Times New Roman"/>
          <w:sz w:val="28"/>
          <w:szCs w:val="28"/>
        </w:rPr>
        <w:t>Клиентская часть системы. Основное назначение клиентской части системы — обеспечить взаимодействие пользователя с системой, предполагающее организацию интерфейса пользователя (отображение и обработка событий) и связь с сервером данных (Manager SQL).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Интерфейс пользователя состоит из процедур отображения результатов работы системы, представленных в виде экранных форм или отчетов, а также из процедур обработки событий, возникающих в результате действий пользователя или по сообщениям сервера данных.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Объекты сервера данных. Объекты сервера данных — это таблицы и процедуры. По своему назначению они разделяются на системные (в контексте банковской системы, а не базы данных) и прикладные.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 xml:space="preserve">Системные объекты реализуют задачи “секретности” и управления доступом (этим правом обладает только уполномоченный оператор — так называемый “офицер безопасности”).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Доступ к прикладным объектам клиентов возможен только через узкую “щель”, определенную системой безопасности. Система построена так, что все функции, необходимые клиенту, реализуются через вызов хранимых процедур. Последние надежно защищены системой управления доступом, и поэтому давать разрешение пользователю на использование таблиц нет необходимости. Иначе пришлось бы заботиться о том, кому из персонала банка следует передать таблицу для выполнения определенных действий.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3013B" w:rsidRPr="00621CE0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621CE0">
        <w:rPr>
          <w:rFonts w:ascii="Times New Roman" w:hAnsi="Times New Roman" w:cs="Times New Roman"/>
          <w:sz w:val="28"/>
          <w:szCs w:val="28"/>
        </w:rPr>
        <w:t>Глава 2. Анализ автоматизированной системы «Бисквит»</w:t>
      </w:r>
    </w:p>
    <w:p w:rsidR="00E3013B" w:rsidRPr="00621CE0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Pr="00621CE0">
        <w:rPr>
          <w:rFonts w:ascii="Times New Roman" w:hAnsi="Times New Roman" w:cs="Times New Roman"/>
          <w:sz w:val="28"/>
          <w:szCs w:val="28"/>
        </w:rPr>
        <w:t xml:space="preserve">Основные характеристики АБС </w:t>
      </w:r>
      <w:r>
        <w:rPr>
          <w:rFonts w:ascii="Times New Roman" w:hAnsi="Times New Roman" w:cs="Times New Roman"/>
          <w:sz w:val="28"/>
          <w:szCs w:val="28"/>
        </w:rPr>
        <w:t>« БИСКВИТ»</w:t>
      </w:r>
    </w:p>
    <w:p w:rsidR="00E3013B" w:rsidRPr="00621CE0" w:rsidRDefault="00E3013B" w:rsidP="00621CE0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tabs>
          <w:tab w:val="left" w:pos="6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Созданная в 1991 г. фирма «Банковские информационные</w:t>
      </w:r>
      <w:r w:rsidRPr="00CA22C4">
        <w:rPr>
          <w:rFonts w:ascii="Times New Roman" w:hAnsi="Times New Roman" w:cs="Times New Roman"/>
          <w:sz w:val="28"/>
          <w:szCs w:val="28"/>
        </w:rPr>
        <w:t xml:space="preserve"> системы» («БИС») сразу приступила к разработке собственной банковской системы, используя опыт своих специалистов по применению СУБД Progress американской компании Progress Software Corp. Хотя эта компания и ее продукты (СУБД, инструментарий разработки и отладки приложений, средства взаимодействия с другими СУБД и администрирования) на рынке России не так известны, как продукты Oracle, за рубежом на них созданы и успешно функционируют различные корпоративные информационные системы, в том числе и АБС. Следует учесть и тот факт, что, по оценке системных интеграторов в Америке, компания неоднократно оказывалась в числе лидеров по уровню поддержки своих партнеров. Это дало основание фирме «БИС» стать одним из дистрибьюторов продуктов Progress и развивать АБС «Бисквит» на этой платформе.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Разработчики определяют ее как интегрированную масштабируемую банковскую систему, пригодную как для небольших, так и крупных коммерческих банков. В настоящее время имеется опыт эксплуатации системы «Бисквит» в банках с количеством проводок свыше 10 тыс. в день. Использованная в ее основе СУБД Progress придает системе полную независимость от платформы и возможность выбора оптимальной конфигурации аппаратных средств и операционной системы. Кроме того, активный словарь данных ядра СУБД позволяет автоматически осуществлять контроль за целостностью и непротиворечивостью данных единой для всех функциональных модулей «Бисквита» базы и восстанавливать ее целостность после сбоев. Из числа функциональных возможностей Progress, придающих дополнительные качества АБС, стоит отметить также полную обработку распределенных транзакций и полноценную работу в режиме удаленного доступа.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Ядро системы обеспечивает общие функции администрирования, управление доступом, ведение справочников и базовые функции банковского бухгалтерского учета, а также набор функциональных модулей — экранных и выходных форм, процедур расчета. Такая структура дает пользователям возможность оптимально настроить параметры АБС применительно к конкретным условиям работы банка — задать круг пользователей и определить права их доступа к данным, процедурам, счетам, устройствам вывода. В результате можно подготовить гибко настраиваемый набор рабочих мест для сотрудников банка и сформировать маршруты документопотоков в системе с учетом организационной структуры банка.</w:t>
      </w:r>
    </w:p>
    <w:p w:rsidR="00E3013B" w:rsidRPr="00CA22C4" w:rsidRDefault="00E3013B" w:rsidP="00CA22C4">
      <w:pPr>
        <w:tabs>
          <w:tab w:val="left" w:pos="6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Сама система состоит из двух диалоговых окон. Первое – это так называемая «реплика», она служит базой данной, где можно информацию только просматривать. По функциональности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она не представляет никаких сложностей. Здесь операционист находит нужного клиента и просматривает всю необходимую информацию: сведения о клиенте, его персональные данные, номера, виды счетов, вкладов, кредитов,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сроки и т.д.</w:t>
      </w:r>
    </w:p>
    <w:p w:rsidR="00E3013B" w:rsidRPr="00CA22C4" w:rsidRDefault="00E3013B" w:rsidP="00CA22C4">
      <w:pPr>
        <w:tabs>
          <w:tab w:val="left" w:pos="6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Основная же программа, это так называемый «боевой БИСКВИТ», в нем совершаются все основные операции, открываются и закрываются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операционные дни.</w:t>
      </w:r>
    </w:p>
    <w:p w:rsidR="00E3013B" w:rsidRPr="00CA22C4" w:rsidRDefault="00E3013B" w:rsidP="00CA22C4">
      <w:pPr>
        <w:tabs>
          <w:tab w:val="left" w:pos="643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Рабочий «БИСКВИТ» состоит в свою очередь из двух модулей: базовый и модуль розничных услуг. Такие основные операции, как открытие счетов,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закрытие,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выдача кредитов и др. проводятся в модуле розничных услуг. В базовом модуле осуществляются переводы, оформляются выписки, производится сбор информации об услугах, которыми пользуется клиент.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Каждому объекту системы — лицевому счету, клиенту, банковской проводке, финансовому инструменту — соответствует экранная форма, позволяющая конкретному сотруднику, если администратор наделил его такими правами, производить предусмотренные данной реализацией АБС операции. А за счет рекурсивной навигации связанных в базе данных объектов сотрудник может, не выходя из режима обработки документа (рис. 2), просмотреть реквизиты клиента, данные об открытых клиентом счетах и остатках на них, ранее выполненных по ним операциях, реквизиты банков-корреспондентов и пр. При этом любое изменение данных, связанное с выполнением операции, становится доступным всем пользователям системы сразу по завершении транзакции — внесении изменений во все взаимосвязанные части базы данных.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Независимо от того, в какой архитектуре — клиент--сервер или центр--терминал — реализована система, пользователь всегда будет видеть перед собой единые экранные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и выполнять единый набор действий. Вместе с тем АБС «Бисквит» предусматривает разработку и собственных прикладных решений пользователей решения. Можно, в частности, вносить изменения в меню системы, справочники и классификаторы, поставляемые в составе системы «внешние», не затрагивающие работы ядра процедуры, а также разрабатывать индивидуальные процедуры, которые могут включаться в состав существующих технологий банка.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Специалисты «Автобанка», анализировавшие возможности «Бисквита», отметили тот факт, что к середине 1997 г. эта АБС была внедрена в 49 банках. Причем в одном из них, «Тверь УниверсалБанке», система была установлена, настроена и эксплуатировалась в 19 региональных филиалах, т. е. условия для инсталляции системы оказались близкими к тем, которые сложились в филиальной сети «Автобанка». Это стало еще одним из факторов, определившим выбор АБС фирмы «БИС».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В составе «Бисквита» кроме базового ядра реализованы такие модули (наборы функциональных процедур и форм), как «Финансовая отчетность и анализ», «Кредиты и депозиты», «Обмен электронными документами», «Расчет заработной платы», «Учет ценных бумаг», «Учет материальных ценностей» и «Сводная отчетность банка». Для филиальной сети «Автобанка» на момент внедрения АБС этого набора оказалось более чем достаточно. Но все большее развитие рыночных операций с ценными бумагами (дилинг) заставляет руководство банка искать пути внедрения современных технологий и в эту сферу деятельности, поскольку от скорости и четкости выполнения операций зависит приток новых клиентов и их удовлетворенность услугами банка.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Традиционно российские АБС сосредоточивались на выполнении всех операций, предусмотренных основной деятельностью любого банка и объединяемых в «операционные дни». В результате любой анализ деятельности сводился к анализу фактически проведенных операций и представлял по сути обработку отчетов. В условиях развития дилинга банкам нужны средства для анализа планируемых на будущее операций — позиционного учета. В «Бисквите» разработчиками создана подсистема «Анализ XL», обеспечивающая интерфейс модуля «Финансовая отчетность и анализ» к Microsoft Excel и возможность выполнения анализа средствами электронных таблиц с отображением результатов в графической форме.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Заметим, что для этого не потребовалось изменять структуру базы данных или разрабатывать какие-либо специальные функциональные модули и процедуры в рамках АБС — в единой базе данных выделена аналитическая часть, к которой пользователь получает доступ через интерфейс «Анализ XL» в пределах определенных для него администратором прав. И результаты анализа данных в соответствующем разрезе становятся для него доступными сразу после загрузки интерфейсной подсистемы, вызова соответствующих таблиц и запуска макрокоманд .</w:t>
      </w:r>
    </w:p>
    <w:p w:rsidR="00E3013B" w:rsidRPr="00621CE0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Предложенное «БИС» решение оказалось достаточно гибким, не снижающим функциональные возможности системы и не перегружающим серверы БД. Более того, поскольку в АБС «Бисквит» использована единая база данных, обеспечивающая полную интеграцию функциональных модулей, разработчики пошли дальше. Ими создается отдельный пакет, названный «Ассамблея», который позволит обеспечить многомерное представление и анализ финансовой информации также с отображением результатов анализа в графическом виде. Его появление должно привлечь к системе пристальное внимание других банков, которые стремятся переходить от систем фактического учета к системам, обеспечивающим возможности широкого анализа и прогнозирования своей деятельности.</w:t>
      </w:r>
    </w:p>
    <w:p w:rsidR="00E3013B" w:rsidRPr="00621CE0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621CE0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еимущества и недостатки системы</w:t>
      </w:r>
    </w:p>
    <w:p w:rsidR="00E3013B" w:rsidRPr="00621CE0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621CE0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Основными преимущества системы: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высокая производительность, позволяющая системе в головном офисе поддерживать одновременную работу нескольких сотен пользователей с заданными временными характеристиками; 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максимальная надежность; 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возможность построения схемы, позволяющей дополнительным офисам работать на центральном компьютере в режиме on-line;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наличие отработанного решения для филиалов; 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"открытость" системы в плане ее адаптации к технологии банка и расширения функциональных возможностей.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легкое меню управления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удобный интерфейс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удобная поисковая система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позволяет увидеть и систематизировать большой объем информации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высокая система безопасности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существует возможность автоматической проверки данных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возможность работы сразу в нескольких операционных днях</w:t>
      </w:r>
    </w:p>
    <w:p w:rsidR="00E3013B" w:rsidRPr="00CA22C4" w:rsidRDefault="00E3013B" w:rsidP="00CA22C4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есть полный набор готовых отчетным форм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Недостатки системы: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отсутствие редактора форм для печатных документов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плохо реализована почта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если происходит сбой в «Реплике», то в «Боевом Бисквите» работать сложно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перегруженность системы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сбои в системе</w:t>
      </w:r>
    </w:p>
    <w:p w:rsidR="00E3013B" w:rsidRPr="00CA22C4" w:rsidRDefault="00E3013B" w:rsidP="00CA22C4">
      <w:pPr>
        <w:pStyle w:val="a4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 xml:space="preserve">требуется модернизация 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kern w:val="36"/>
          <w:sz w:val="28"/>
          <w:szCs w:val="28"/>
        </w:rPr>
        <w:t>Заключение</w:t>
      </w:r>
    </w:p>
    <w:p w:rsidR="00E3013B" w:rsidRPr="00CA22C4" w:rsidRDefault="00E3013B" w:rsidP="00621CE0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Из всего сказанного можно сделать вывод,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современных компьютерных технологий приносит банкам крупные прибыли и помогает им победить в конкурентной борьбе. Любая автоматизированная банковская система представляет из себя сложный аппаратно-программный комплекс, состоящий из множества взаимосвязанных модулей. Совершенно очевидна роль сетевых технологий в таких системах. По сути БС представляет из себя комплекс, состоящий из множества локальных и глобальных вычислительных сетей. В БС сегодня применяется самое современное сетевое и телекоммуникационное оборудование. От правильного построения сетевой структуры БС зависит эффективность и надежность ее функционирования.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Поскольку спрос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на БС достаточно высок,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цена высока, многие крупные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компании-производители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компьютерной 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ПО предлагают на рынке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свои разработки в данной области. Перед отделом автоматизации банка встает трудный вопрос выбора оптимального решения. Банковская сфера определяет два основных требования к БС - обеспечение надежности и безопасности передачи коммерческой информации. В последнее время для взаимодействия с клиентами и осуществления расчетов все чаще используются открытые глобальные сети (например Internet). Последнее обстоятельство еще более усиливает значимость защиты передаваемых данных от несанкционированного доступа.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Судя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по всему, в ближайшее время темпы развития БС (особенно в нашей стране) будут стремительно расти. Практически все появляющиеся сетевые технологии будут быстро браться банками на вооружение. Неизбежны процессы интеграции банков в рамках национальных и мировых банковских сообществ. Это обеспечит постоянный рост качества банковских услуг, от которого выиграют, в конечном счете все - и банки и их клиенты.</w:t>
      </w:r>
    </w:p>
    <w:p w:rsidR="00E3013B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  <w:t>Используемая литература</w:t>
      </w:r>
    </w:p>
    <w:p w:rsidR="00E3013B" w:rsidRPr="00CA22C4" w:rsidRDefault="00E3013B" w:rsidP="00CA2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Автоматизация банковской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//</w:t>
      </w:r>
      <w:r w:rsidRPr="00CA22C4">
        <w:rPr>
          <w:rFonts w:ascii="Times New Roman" w:hAnsi="Times New Roman" w:cs="Times New Roman"/>
          <w:sz w:val="28"/>
          <w:szCs w:val="28"/>
        </w:rPr>
        <w:t xml:space="preserve">“Московское Финансовое Объединение”.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2C4">
        <w:rPr>
          <w:rFonts w:ascii="Times New Roman" w:hAnsi="Times New Roman" w:cs="Times New Roman"/>
          <w:sz w:val="28"/>
          <w:szCs w:val="28"/>
        </w:rPr>
        <w:t>-1994, 288с.</w:t>
      </w: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Ермошкин Н.Н. Информационные технологии в розничном банке / Н.Н. Ермошкин // Расчеты и операционная работа в КБ, № 5, 2005</w:t>
      </w: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www.bankir.ru</w:t>
      </w: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www.intechbank.ru</w:t>
      </w: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1CE0">
        <w:rPr>
          <w:rFonts w:ascii="Times New Roman" w:hAnsi="Times New Roman" w:cs="Times New Roman"/>
          <w:sz w:val="28"/>
          <w:szCs w:val="28"/>
        </w:rPr>
        <w:t>www.moscombank.ru</w:t>
      </w:r>
    </w:p>
    <w:p w:rsidR="00E3013B" w:rsidRPr="00CA22C4" w:rsidRDefault="00E3013B" w:rsidP="00621CE0">
      <w:pPr>
        <w:pStyle w:val="a4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2C4">
        <w:rPr>
          <w:rFonts w:ascii="Times New Roman" w:hAnsi="Times New Roman" w:cs="Times New Roman"/>
          <w:sz w:val="28"/>
          <w:szCs w:val="28"/>
        </w:rPr>
        <w:t>www.vkabank.ru</w:t>
      </w:r>
    </w:p>
    <w:p w:rsidR="00E3013B" w:rsidRPr="008721A4" w:rsidRDefault="00E3013B" w:rsidP="00CA22C4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3013B" w:rsidRPr="008721A4" w:rsidSect="00CA22C4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D33" w:rsidRDefault="00611D33" w:rsidP="00AD548A">
      <w:pPr>
        <w:spacing w:after="0" w:line="240" w:lineRule="auto"/>
      </w:pPr>
      <w:r>
        <w:separator/>
      </w:r>
    </w:p>
  </w:endnote>
  <w:endnote w:type="continuationSeparator" w:id="0">
    <w:p w:rsidR="00611D33" w:rsidRDefault="00611D33" w:rsidP="00AD5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13B" w:rsidRDefault="00B23EB1">
    <w:pPr>
      <w:pStyle w:val="a8"/>
      <w:jc w:val="center"/>
    </w:pPr>
    <w:r>
      <w:rPr>
        <w:noProof/>
      </w:rPr>
      <w:t>1</w:t>
    </w:r>
  </w:p>
  <w:p w:rsidR="00E3013B" w:rsidRDefault="00E301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D33" w:rsidRDefault="00611D33" w:rsidP="00AD548A">
      <w:pPr>
        <w:spacing w:after="0" w:line="240" w:lineRule="auto"/>
      </w:pPr>
      <w:r>
        <w:separator/>
      </w:r>
    </w:p>
  </w:footnote>
  <w:footnote w:type="continuationSeparator" w:id="0">
    <w:p w:rsidR="00611D33" w:rsidRDefault="00611D33" w:rsidP="00AD5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A4" w:rsidRPr="008721A4" w:rsidRDefault="008721A4" w:rsidP="008721A4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96706"/>
    <w:multiLevelType w:val="hybridMultilevel"/>
    <w:tmpl w:val="387669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6E98"/>
    <w:multiLevelType w:val="hybridMultilevel"/>
    <w:tmpl w:val="1452DD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B2A65"/>
    <w:multiLevelType w:val="hybridMultilevel"/>
    <w:tmpl w:val="04F2F0F4"/>
    <w:lvl w:ilvl="0" w:tplc="BF2EDA86">
      <w:start w:val="1"/>
      <w:numFmt w:val="decimal"/>
      <w:lvlText w:val="%1."/>
      <w:lvlJc w:val="left"/>
      <w:pPr>
        <w:ind w:left="35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96" w:hanging="180"/>
      </w:pPr>
      <w:rPr>
        <w:rFonts w:cs="Times New Roman"/>
      </w:rPr>
    </w:lvl>
  </w:abstractNum>
  <w:abstractNum w:abstractNumId="3">
    <w:nsid w:val="16F90A60"/>
    <w:multiLevelType w:val="hybridMultilevel"/>
    <w:tmpl w:val="DAD2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7D78EF"/>
    <w:multiLevelType w:val="multilevel"/>
    <w:tmpl w:val="85BAB8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27022196"/>
    <w:multiLevelType w:val="hybridMultilevel"/>
    <w:tmpl w:val="5EA2CEA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88B0D68"/>
    <w:multiLevelType w:val="hybridMultilevel"/>
    <w:tmpl w:val="D56E65EA"/>
    <w:lvl w:ilvl="0" w:tplc="5010EA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9960AC9"/>
    <w:multiLevelType w:val="hybridMultilevel"/>
    <w:tmpl w:val="32B834A4"/>
    <w:lvl w:ilvl="0" w:tplc="A61279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FB4038"/>
    <w:multiLevelType w:val="hybridMultilevel"/>
    <w:tmpl w:val="ADEE2EFE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>
    <w:nsid w:val="2FAA386D"/>
    <w:multiLevelType w:val="hybridMultilevel"/>
    <w:tmpl w:val="765E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F53303"/>
    <w:multiLevelType w:val="hybridMultilevel"/>
    <w:tmpl w:val="B9D2575E"/>
    <w:lvl w:ilvl="0" w:tplc="E9FAA886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11">
    <w:nsid w:val="52316035"/>
    <w:multiLevelType w:val="hybridMultilevel"/>
    <w:tmpl w:val="319A33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12616"/>
    <w:multiLevelType w:val="multilevel"/>
    <w:tmpl w:val="3DDA2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E7174A"/>
    <w:multiLevelType w:val="hybridMultilevel"/>
    <w:tmpl w:val="4CCEED6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A72726"/>
    <w:multiLevelType w:val="hybridMultilevel"/>
    <w:tmpl w:val="0F5A7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7"/>
  </w:num>
  <w:num w:numId="11">
    <w:abstractNumId w:val="3"/>
  </w:num>
  <w:num w:numId="12">
    <w:abstractNumId w:val="6"/>
  </w:num>
  <w:num w:numId="13">
    <w:abstractNumId w:val="1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1777"/>
    <w:rsid w:val="00053ECA"/>
    <w:rsid w:val="000B39B2"/>
    <w:rsid w:val="00240675"/>
    <w:rsid w:val="00295376"/>
    <w:rsid w:val="0033029D"/>
    <w:rsid w:val="00377D60"/>
    <w:rsid w:val="00437E38"/>
    <w:rsid w:val="004D629A"/>
    <w:rsid w:val="00611D33"/>
    <w:rsid w:val="00621CE0"/>
    <w:rsid w:val="006D0D63"/>
    <w:rsid w:val="006E1777"/>
    <w:rsid w:val="0070501A"/>
    <w:rsid w:val="007516C5"/>
    <w:rsid w:val="00770AE1"/>
    <w:rsid w:val="007767F3"/>
    <w:rsid w:val="00862F54"/>
    <w:rsid w:val="0087195F"/>
    <w:rsid w:val="008721A4"/>
    <w:rsid w:val="008A3045"/>
    <w:rsid w:val="00927E54"/>
    <w:rsid w:val="00A5235C"/>
    <w:rsid w:val="00A74375"/>
    <w:rsid w:val="00A93B7F"/>
    <w:rsid w:val="00AD548A"/>
    <w:rsid w:val="00B02D04"/>
    <w:rsid w:val="00B23EB1"/>
    <w:rsid w:val="00B53469"/>
    <w:rsid w:val="00B63634"/>
    <w:rsid w:val="00C204F4"/>
    <w:rsid w:val="00C24908"/>
    <w:rsid w:val="00C52666"/>
    <w:rsid w:val="00CA22C4"/>
    <w:rsid w:val="00CB2160"/>
    <w:rsid w:val="00D25568"/>
    <w:rsid w:val="00D900FF"/>
    <w:rsid w:val="00DC647C"/>
    <w:rsid w:val="00E3013B"/>
    <w:rsid w:val="00E610C8"/>
    <w:rsid w:val="00E913B3"/>
    <w:rsid w:val="00F12201"/>
    <w:rsid w:val="00FB79B7"/>
    <w:rsid w:val="00FC1036"/>
    <w:rsid w:val="00F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47C5C1-686D-4F65-A1F6-C18690D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5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40675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4067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70501A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styleId="a4">
    <w:name w:val="List Paragraph"/>
    <w:basedOn w:val="a"/>
    <w:uiPriority w:val="99"/>
    <w:qFormat/>
    <w:rsid w:val="0033029D"/>
    <w:pPr>
      <w:ind w:left="720"/>
    </w:pPr>
  </w:style>
  <w:style w:type="character" w:styleId="a5">
    <w:name w:val="Hyperlink"/>
    <w:uiPriority w:val="99"/>
    <w:rsid w:val="00AD548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AD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link w:val="a6"/>
    <w:uiPriority w:val="99"/>
    <w:semiHidden/>
    <w:locked/>
    <w:rsid w:val="00AD548A"/>
    <w:rPr>
      <w:rFonts w:cs="Times New Roman"/>
    </w:rPr>
  </w:style>
  <w:style w:type="paragraph" w:styleId="a8">
    <w:name w:val="footer"/>
    <w:basedOn w:val="a"/>
    <w:link w:val="a9"/>
    <w:uiPriority w:val="99"/>
    <w:rsid w:val="00AD5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link w:val="a8"/>
    <w:uiPriority w:val="99"/>
    <w:locked/>
    <w:rsid w:val="00AD54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7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3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4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48">
                              <w:marLeft w:val="240"/>
                              <w:marRight w:val="24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BDBDB"/>
                                <w:right w:val="none" w:sz="0" w:space="0" w:color="auto"/>
                              </w:divBdr>
                              <w:divsChild>
                                <w:div w:id="1666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Irina</cp:lastModifiedBy>
  <cp:revision>2</cp:revision>
  <dcterms:created xsi:type="dcterms:W3CDTF">2014-09-12T12:53:00Z</dcterms:created>
  <dcterms:modified xsi:type="dcterms:W3CDTF">2014-09-12T12:53:00Z</dcterms:modified>
</cp:coreProperties>
</file>